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89078C">
      <w:pPr>
        <w:pStyle w:val="46"/>
        <w:spacing w:line="360" w:lineRule="auto"/>
        <w:ind w:left="787" w:hanging="734"/>
        <w:jc w:val="center"/>
        <w:rPr>
          <w:rFonts w:hint="eastAsia" w:ascii="Times New Roman" w:hAnsi="宋体" w:eastAsia="宋体"/>
          <w:sz w:val="48"/>
          <w:szCs w:val="48"/>
          <w:highlight w:val="none"/>
          <w:lang w:eastAsia="zh-CN"/>
        </w:rPr>
      </w:pPr>
      <w:bookmarkStart w:id="394" w:name="_GoBack"/>
      <w:bookmarkEnd w:id="394"/>
      <w:r>
        <w:rPr>
          <w:rFonts w:hint="eastAsia" w:ascii="Times New Roman" w:hAnsi="宋体" w:eastAsia="宋体"/>
          <w:sz w:val="48"/>
          <w:szCs w:val="48"/>
          <w:highlight w:val="none"/>
          <w:lang w:eastAsia="zh-CN"/>
        </w:rPr>
        <w:t>2025年-2026年南宁轨道地产建筑工程有限责任公司钢筋集中采购项目</w:t>
      </w:r>
    </w:p>
    <w:p w14:paraId="405F5234">
      <w:pPr>
        <w:pStyle w:val="46"/>
        <w:ind w:left="787" w:hanging="734"/>
        <w:rPr>
          <w:rFonts w:ascii="Times New Roman" w:hAnsi="宋体" w:eastAsia="宋体"/>
          <w:sz w:val="48"/>
          <w:szCs w:val="48"/>
          <w:highlight w:val="none"/>
        </w:rPr>
      </w:pPr>
    </w:p>
    <w:p w14:paraId="4052B822">
      <w:pPr>
        <w:pStyle w:val="45"/>
        <w:rPr>
          <w:rFonts w:ascii="Times New Roman" w:hAnsi="宋体" w:eastAsia="宋体"/>
          <w:sz w:val="48"/>
          <w:szCs w:val="48"/>
          <w:highlight w:val="none"/>
        </w:rPr>
      </w:pPr>
    </w:p>
    <w:p w14:paraId="4B1019FD">
      <w:pPr>
        <w:pStyle w:val="45"/>
        <w:rPr>
          <w:rFonts w:ascii="Times New Roman" w:hAnsi="宋体" w:eastAsia="宋体"/>
          <w:sz w:val="48"/>
          <w:szCs w:val="48"/>
          <w:highlight w:val="none"/>
        </w:rPr>
      </w:pPr>
    </w:p>
    <w:p w14:paraId="4B44E456">
      <w:pPr>
        <w:spacing w:line="360" w:lineRule="auto"/>
        <w:jc w:val="center"/>
        <w:rPr>
          <w:sz w:val="72"/>
          <w:szCs w:val="72"/>
          <w:highlight w:val="none"/>
        </w:rPr>
      </w:pPr>
      <w:r>
        <w:rPr>
          <w:rFonts w:hint="eastAsia" w:hAnsi="宋体"/>
          <w:sz w:val="72"/>
          <w:szCs w:val="72"/>
          <w:highlight w:val="none"/>
        </w:rPr>
        <w:t>招标文件</w:t>
      </w:r>
    </w:p>
    <w:p w14:paraId="6D225236">
      <w:pPr>
        <w:spacing w:line="360" w:lineRule="auto"/>
        <w:ind w:firstLine="437"/>
        <w:rPr>
          <w:szCs w:val="21"/>
          <w:highlight w:val="none"/>
        </w:rPr>
      </w:pPr>
    </w:p>
    <w:p w14:paraId="1156BE69">
      <w:pPr>
        <w:spacing w:line="360" w:lineRule="auto"/>
        <w:ind w:firstLine="437"/>
        <w:rPr>
          <w:szCs w:val="21"/>
          <w:highlight w:val="none"/>
        </w:rPr>
      </w:pPr>
    </w:p>
    <w:p w14:paraId="76EE81C9">
      <w:pPr>
        <w:spacing w:line="360" w:lineRule="auto"/>
        <w:ind w:firstLine="437"/>
        <w:rPr>
          <w:szCs w:val="21"/>
          <w:highlight w:val="none"/>
        </w:rPr>
      </w:pPr>
    </w:p>
    <w:p w14:paraId="253BC87A">
      <w:pPr>
        <w:spacing w:line="360" w:lineRule="auto"/>
        <w:ind w:firstLine="437"/>
        <w:rPr>
          <w:szCs w:val="21"/>
          <w:highlight w:val="none"/>
        </w:rPr>
      </w:pPr>
    </w:p>
    <w:p w14:paraId="54B1ECE3">
      <w:pPr>
        <w:spacing w:line="360" w:lineRule="auto"/>
        <w:ind w:firstLine="437"/>
        <w:rPr>
          <w:szCs w:val="21"/>
          <w:highlight w:val="none"/>
        </w:rPr>
      </w:pPr>
    </w:p>
    <w:p w14:paraId="6BA82E79">
      <w:pPr>
        <w:spacing w:line="360" w:lineRule="auto"/>
        <w:ind w:firstLine="437"/>
        <w:rPr>
          <w:szCs w:val="21"/>
          <w:highlight w:val="none"/>
        </w:rPr>
      </w:pPr>
    </w:p>
    <w:p w14:paraId="30A78CE4">
      <w:pPr>
        <w:spacing w:line="360" w:lineRule="auto"/>
        <w:jc w:val="center"/>
        <w:rPr>
          <w:rFonts w:hint="eastAsia" w:eastAsia="宋体"/>
          <w:sz w:val="28"/>
          <w:szCs w:val="28"/>
          <w:highlight w:val="none"/>
          <w:u w:val="single"/>
          <w:lang w:eastAsia="zh-CN"/>
        </w:rPr>
      </w:pPr>
      <w:r>
        <w:rPr>
          <w:rFonts w:hint="eastAsia" w:hAnsi="宋体"/>
          <w:sz w:val="28"/>
          <w:szCs w:val="28"/>
          <w:highlight w:val="none"/>
        </w:rPr>
        <w:t>项目编号：</w:t>
      </w:r>
      <w:r>
        <w:rPr>
          <w:rFonts w:hint="eastAsia"/>
          <w:sz w:val="28"/>
          <w:szCs w:val="28"/>
          <w:highlight w:val="none"/>
          <w:u w:val="single"/>
          <w:lang w:eastAsia="zh-CN"/>
        </w:rPr>
        <w:t>SKZX-2025-HW012</w:t>
      </w:r>
    </w:p>
    <w:p w14:paraId="6325202F">
      <w:pPr>
        <w:spacing w:line="360" w:lineRule="auto"/>
        <w:ind w:firstLine="437"/>
        <w:rPr>
          <w:szCs w:val="21"/>
          <w:highlight w:val="none"/>
        </w:rPr>
      </w:pPr>
    </w:p>
    <w:p w14:paraId="4EC2BDF3">
      <w:pPr>
        <w:spacing w:line="360" w:lineRule="auto"/>
        <w:ind w:firstLine="437"/>
        <w:rPr>
          <w:szCs w:val="21"/>
          <w:highlight w:val="none"/>
        </w:rPr>
      </w:pPr>
    </w:p>
    <w:p w14:paraId="38AD8DCA">
      <w:pPr>
        <w:spacing w:line="360" w:lineRule="auto"/>
        <w:ind w:firstLine="437"/>
        <w:rPr>
          <w:szCs w:val="21"/>
          <w:highlight w:val="none"/>
        </w:rPr>
      </w:pPr>
    </w:p>
    <w:p w14:paraId="0EAA42DE">
      <w:pPr>
        <w:spacing w:line="360" w:lineRule="auto"/>
        <w:ind w:firstLine="437"/>
        <w:rPr>
          <w:szCs w:val="21"/>
          <w:highlight w:val="none"/>
        </w:rPr>
      </w:pPr>
    </w:p>
    <w:p w14:paraId="4443B5E6">
      <w:pPr>
        <w:spacing w:line="360" w:lineRule="auto"/>
        <w:ind w:firstLine="437"/>
        <w:rPr>
          <w:szCs w:val="21"/>
          <w:highlight w:val="none"/>
        </w:rPr>
      </w:pPr>
    </w:p>
    <w:p w14:paraId="75E1F9BC">
      <w:pPr>
        <w:spacing w:line="360" w:lineRule="auto"/>
        <w:ind w:firstLine="437"/>
        <w:rPr>
          <w:szCs w:val="21"/>
          <w:highlight w:val="none"/>
        </w:rPr>
      </w:pPr>
    </w:p>
    <w:p w14:paraId="1518361A">
      <w:pPr>
        <w:spacing w:line="360" w:lineRule="auto"/>
        <w:ind w:firstLine="437"/>
        <w:rPr>
          <w:szCs w:val="21"/>
          <w:highlight w:val="none"/>
        </w:rPr>
      </w:pPr>
    </w:p>
    <w:p w14:paraId="5AAE4259">
      <w:pPr>
        <w:spacing w:line="360" w:lineRule="auto"/>
        <w:ind w:firstLine="437"/>
        <w:rPr>
          <w:szCs w:val="21"/>
          <w:highlight w:val="none"/>
        </w:rPr>
      </w:pPr>
    </w:p>
    <w:p w14:paraId="63B52622">
      <w:pPr>
        <w:spacing w:line="360" w:lineRule="auto"/>
        <w:rPr>
          <w:szCs w:val="21"/>
          <w:highlight w:val="none"/>
        </w:rPr>
      </w:pPr>
    </w:p>
    <w:p w14:paraId="42FA1F98">
      <w:pPr>
        <w:spacing w:line="360" w:lineRule="auto"/>
        <w:ind w:firstLine="640" w:firstLineChars="200"/>
        <w:rPr>
          <w:sz w:val="32"/>
          <w:szCs w:val="32"/>
          <w:highlight w:val="none"/>
        </w:rPr>
      </w:pPr>
      <w:r>
        <w:rPr>
          <w:rFonts w:hint="eastAsia" w:hAnsi="宋体"/>
          <w:sz w:val="32"/>
          <w:szCs w:val="32"/>
          <w:highlight w:val="none"/>
        </w:rPr>
        <w:t>招标人：</w:t>
      </w:r>
      <w:r>
        <w:rPr>
          <w:rFonts w:hint="eastAsia" w:hAnsi="宋体"/>
          <w:sz w:val="32"/>
          <w:szCs w:val="32"/>
          <w:highlight w:val="none"/>
          <w:lang w:val="en-US" w:eastAsia="zh-CN"/>
        </w:rPr>
        <w:t>南宁</w:t>
      </w:r>
      <w:r>
        <w:rPr>
          <w:rFonts w:hint="eastAsia" w:hAnsi="宋体"/>
          <w:sz w:val="32"/>
          <w:szCs w:val="32"/>
          <w:highlight w:val="none"/>
        </w:rPr>
        <w:t>轨道地产建筑工程有限责任公司（盖单位章）</w:t>
      </w:r>
    </w:p>
    <w:p w14:paraId="3DA454F8">
      <w:pPr>
        <w:ind w:firstLine="437"/>
        <w:jc w:val="center"/>
        <w:rPr>
          <w:sz w:val="32"/>
          <w:szCs w:val="32"/>
          <w:highlight w:val="none"/>
        </w:rPr>
      </w:pPr>
    </w:p>
    <w:p w14:paraId="3C064C16">
      <w:pPr>
        <w:spacing w:line="360" w:lineRule="auto"/>
        <w:ind w:firstLine="640" w:firstLineChars="200"/>
        <w:rPr>
          <w:sz w:val="32"/>
          <w:szCs w:val="32"/>
          <w:highlight w:val="none"/>
        </w:rPr>
      </w:pPr>
      <w:r>
        <w:rPr>
          <w:rFonts w:hint="eastAsia" w:hAnsi="宋体"/>
          <w:sz w:val="32"/>
          <w:szCs w:val="32"/>
          <w:highlight w:val="none"/>
        </w:rPr>
        <w:t>招标代理机构：</w:t>
      </w:r>
      <w:r>
        <w:rPr>
          <w:rFonts w:hint="eastAsia" w:hAnsi="宋体"/>
          <w:sz w:val="32"/>
          <w:szCs w:val="32"/>
          <w:highlight w:val="none"/>
          <w:lang w:eastAsia="zh-CN"/>
        </w:rPr>
        <w:t>广西双科建设工程咨询有限公司</w:t>
      </w:r>
      <w:r>
        <w:rPr>
          <w:rFonts w:hint="eastAsia" w:hAnsi="宋体"/>
          <w:sz w:val="32"/>
          <w:szCs w:val="32"/>
          <w:highlight w:val="none"/>
        </w:rPr>
        <w:t>（盖单位章）</w:t>
      </w:r>
    </w:p>
    <w:p w14:paraId="69CBC9B1">
      <w:pPr>
        <w:ind w:firstLine="437"/>
        <w:jc w:val="center"/>
        <w:rPr>
          <w:sz w:val="32"/>
          <w:szCs w:val="32"/>
          <w:highlight w:val="none"/>
        </w:rPr>
      </w:pPr>
    </w:p>
    <w:p w14:paraId="2F8DE600">
      <w:pPr>
        <w:tabs>
          <w:tab w:val="left" w:pos="5040"/>
        </w:tabs>
        <w:jc w:val="center"/>
        <w:rPr>
          <w:b/>
          <w:color w:val="000000"/>
          <w:sz w:val="36"/>
          <w:szCs w:val="36"/>
          <w:highlight w:val="none"/>
          <w:u w:val="single"/>
        </w:rPr>
      </w:pPr>
      <w:r>
        <w:rPr>
          <w:rFonts w:hint="eastAsia" w:hAnsi="宋体"/>
          <w:sz w:val="32"/>
          <w:szCs w:val="32"/>
          <w:highlight w:val="none"/>
        </w:rPr>
        <w:t>日期：</w:t>
      </w:r>
      <w:r>
        <w:rPr>
          <w:rFonts w:hint="eastAsia" w:hAnsi="宋体"/>
          <w:sz w:val="32"/>
          <w:szCs w:val="32"/>
          <w:highlight w:val="none"/>
          <w:u w:val="single"/>
        </w:rPr>
        <w:t>202</w:t>
      </w:r>
      <w:r>
        <w:rPr>
          <w:rFonts w:hint="eastAsia" w:hAnsi="宋体"/>
          <w:sz w:val="32"/>
          <w:szCs w:val="32"/>
          <w:highlight w:val="none"/>
          <w:u w:val="single"/>
          <w:lang w:val="en-US" w:eastAsia="zh-CN"/>
        </w:rPr>
        <w:t>5</w:t>
      </w:r>
      <w:r>
        <w:rPr>
          <w:rFonts w:hint="eastAsia" w:hAnsi="宋体"/>
          <w:sz w:val="32"/>
          <w:szCs w:val="32"/>
          <w:highlight w:val="none"/>
        </w:rPr>
        <w:t>年</w:t>
      </w:r>
      <w:r>
        <w:rPr>
          <w:rFonts w:hint="eastAsia" w:hAnsi="宋体"/>
          <w:sz w:val="32"/>
          <w:szCs w:val="32"/>
          <w:highlight w:val="none"/>
          <w:u w:val="single"/>
        </w:rPr>
        <w:t xml:space="preserve"> </w:t>
      </w:r>
      <w:r>
        <w:rPr>
          <w:rFonts w:hint="eastAsia" w:hAnsi="宋体"/>
          <w:sz w:val="32"/>
          <w:szCs w:val="32"/>
          <w:highlight w:val="none"/>
          <w:u w:val="single"/>
          <w:lang w:val="en-US" w:eastAsia="zh-CN"/>
        </w:rPr>
        <w:t>7</w:t>
      </w:r>
      <w:r>
        <w:rPr>
          <w:rFonts w:hint="eastAsia" w:hAnsi="宋体"/>
          <w:sz w:val="32"/>
          <w:szCs w:val="32"/>
          <w:highlight w:val="none"/>
          <w:u w:val="single"/>
        </w:rPr>
        <w:t xml:space="preserve"> </w:t>
      </w:r>
      <w:r>
        <w:rPr>
          <w:rFonts w:hint="eastAsia" w:hAnsi="宋体"/>
          <w:sz w:val="32"/>
          <w:szCs w:val="32"/>
          <w:highlight w:val="none"/>
        </w:rPr>
        <w:t>月</w:t>
      </w:r>
    </w:p>
    <w:p w14:paraId="3649BF5C">
      <w:pPr>
        <w:spacing w:line="360" w:lineRule="auto"/>
        <w:jc w:val="center"/>
        <w:rPr>
          <w:rFonts w:ascii="宋体" w:hAnsi="宋体" w:cs="宋体"/>
          <w:b/>
          <w:bCs/>
          <w:color w:val="000000"/>
          <w:sz w:val="32"/>
          <w:szCs w:val="32"/>
          <w:highlight w:val="none"/>
        </w:rPr>
        <w:sectPr>
          <w:headerReference r:id="rId3" w:type="default"/>
          <w:footerReference r:id="rId4" w:type="default"/>
          <w:pgSz w:w="11905" w:h="16838"/>
          <w:pgMar w:top="1304" w:right="1417" w:bottom="1304" w:left="1417" w:header="850" w:footer="992" w:gutter="0"/>
          <w:pgNumType w:start="1"/>
          <w:cols w:space="720" w:num="1"/>
          <w:titlePg/>
          <w:docGrid w:linePitch="312" w:charSpace="0"/>
        </w:sectPr>
      </w:pPr>
    </w:p>
    <w:sdt>
      <w:sdtPr>
        <w:rPr>
          <w:rFonts w:ascii="宋体" w:hAnsi="宋体" w:eastAsia="宋体" w:cs="Times New Roman"/>
          <w:kern w:val="2"/>
          <w:sz w:val="21"/>
          <w:szCs w:val="24"/>
          <w:lang w:val="en-US" w:eastAsia="zh-CN" w:bidi="ar-SA"/>
        </w:rPr>
        <w:id w:val="147478554"/>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39657F0F">
          <w:pPr>
            <w:spacing w:before="0" w:beforeLines="0" w:after="0" w:afterLines="0" w:line="360" w:lineRule="auto"/>
            <w:ind w:left="0" w:leftChars="0" w:right="0" w:rightChars="0" w:firstLine="0" w:firstLineChars="0"/>
            <w:jc w:val="center"/>
            <w:rPr>
              <w:sz w:val="28"/>
              <w:szCs w:val="28"/>
            </w:rPr>
          </w:pPr>
          <w:r>
            <w:rPr>
              <w:rFonts w:ascii="宋体" w:hAnsi="宋体" w:eastAsia="宋体"/>
              <w:sz w:val="28"/>
              <w:szCs w:val="28"/>
            </w:rPr>
            <w:t>目</w:t>
          </w:r>
          <w:r>
            <w:rPr>
              <w:rFonts w:hint="eastAsia" w:ascii="宋体" w:hAnsi="宋体" w:eastAsia="宋体"/>
              <w:sz w:val="28"/>
              <w:szCs w:val="28"/>
              <w:lang w:val="en-US" w:eastAsia="zh-CN"/>
            </w:rPr>
            <w:t xml:space="preserve"> </w:t>
          </w:r>
          <w:r>
            <w:rPr>
              <w:rFonts w:ascii="宋体" w:hAnsi="宋体" w:eastAsia="宋体"/>
              <w:sz w:val="28"/>
              <w:szCs w:val="28"/>
            </w:rPr>
            <w:t>录</w:t>
          </w:r>
        </w:p>
        <w:p w14:paraId="288F777B">
          <w:pPr>
            <w:pStyle w:val="30"/>
            <w:tabs>
              <w:tab w:val="right" w:leader="dot" w:pos="9071"/>
            </w:tabs>
            <w:spacing w:line="360" w:lineRule="auto"/>
            <w:rPr>
              <w:sz w:val="24"/>
            </w:rPr>
          </w:pPr>
          <w:r>
            <w:rPr>
              <w:sz w:val="24"/>
            </w:rPr>
            <w:fldChar w:fldCharType="begin"/>
          </w:r>
          <w:r>
            <w:rPr>
              <w:sz w:val="24"/>
            </w:rPr>
            <w:instrText xml:space="preserve">TOC \o "1-1" \h \u </w:instrText>
          </w:r>
          <w:r>
            <w:rPr>
              <w:sz w:val="24"/>
            </w:rPr>
            <w:fldChar w:fldCharType="separate"/>
          </w:r>
          <w:r>
            <w:rPr>
              <w:sz w:val="24"/>
            </w:rPr>
            <w:fldChar w:fldCharType="begin"/>
          </w:r>
          <w:r>
            <w:rPr>
              <w:sz w:val="24"/>
            </w:rPr>
            <w:instrText xml:space="preserve"> HYPERLINK \l _Toc23078 </w:instrText>
          </w:r>
          <w:r>
            <w:rPr>
              <w:sz w:val="24"/>
            </w:rPr>
            <w:fldChar w:fldCharType="separate"/>
          </w:r>
          <w:r>
            <w:rPr>
              <w:rFonts w:hint="eastAsia"/>
              <w:sz w:val="24"/>
              <w:highlight w:val="none"/>
            </w:rPr>
            <w:t>第一章  招标公告</w:t>
          </w:r>
          <w:r>
            <w:rPr>
              <w:sz w:val="24"/>
            </w:rPr>
            <w:tab/>
          </w:r>
          <w:r>
            <w:rPr>
              <w:sz w:val="24"/>
            </w:rPr>
            <w:fldChar w:fldCharType="begin"/>
          </w:r>
          <w:r>
            <w:rPr>
              <w:sz w:val="24"/>
            </w:rPr>
            <w:instrText xml:space="preserve"> PAGEREF _Toc23078 \h </w:instrText>
          </w:r>
          <w:r>
            <w:rPr>
              <w:sz w:val="24"/>
            </w:rPr>
            <w:fldChar w:fldCharType="separate"/>
          </w:r>
          <w:r>
            <w:rPr>
              <w:sz w:val="24"/>
            </w:rPr>
            <w:t>1</w:t>
          </w:r>
          <w:r>
            <w:rPr>
              <w:sz w:val="24"/>
            </w:rPr>
            <w:fldChar w:fldCharType="end"/>
          </w:r>
          <w:r>
            <w:rPr>
              <w:sz w:val="24"/>
            </w:rPr>
            <w:fldChar w:fldCharType="end"/>
          </w:r>
        </w:p>
        <w:p w14:paraId="0C654629">
          <w:pPr>
            <w:pStyle w:val="30"/>
            <w:tabs>
              <w:tab w:val="right" w:leader="dot" w:pos="9071"/>
            </w:tabs>
            <w:spacing w:line="360" w:lineRule="auto"/>
            <w:rPr>
              <w:sz w:val="24"/>
            </w:rPr>
          </w:pPr>
          <w:r>
            <w:rPr>
              <w:sz w:val="24"/>
            </w:rPr>
            <w:fldChar w:fldCharType="begin"/>
          </w:r>
          <w:r>
            <w:rPr>
              <w:sz w:val="24"/>
            </w:rPr>
            <w:instrText xml:space="preserve"> HYPERLINK \l _Toc1512 </w:instrText>
          </w:r>
          <w:r>
            <w:rPr>
              <w:sz w:val="24"/>
            </w:rPr>
            <w:fldChar w:fldCharType="separate"/>
          </w:r>
          <w:r>
            <w:rPr>
              <w:rFonts w:hint="eastAsia"/>
              <w:sz w:val="24"/>
              <w:highlight w:val="none"/>
            </w:rPr>
            <w:t>第二章</w:t>
          </w:r>
          <w:r>
            <w:rPr>
              <w:sz w:val="24"/>
              <w:highlight w:val="none"/>
            </w:rPr>
            <w:t xml:space="preserve">  </w:t>
          </w:r>
          <w:r>
            <w:rPr>
              <w:rFonts w:hint="eastAsia"/>
              <w:sz w:val="24"/>
              <w:highlight w:val="none"/>
            </w:rPr>
            <w:t>投标人须知</w:t>
          </w:r>
          <w:r>
            <w:rPr>
              <w:sz w:val="24"/>
            </w:rPr>
            <w:tab/>
          </w:r>
          <w:r>
            <w:rPr>
              <w:sz w:val="24"/>
            </w:rPr>
            <w:fldChar w:fldCharType="begin"/>
          </w:r>
          <w:r>
            <w:rPr>
              <w:sz w:val="24"/>
            </w:rPr>
            <w:instrText xml:space="preserve"> PAGEREF _Toc1512 \h </w:instrText>
          </w:r>
          <w:r>
            <w:rPr>
              <w:sz w:val="24"/>
            </w:rPr>
            <w:fldChar w:fldCharType="separate"/>
          </w:r>
          <w:r>
            <w:rPr>
              <w:sz w:val="24"/>
            </w:rPr>
            <w:t>3</w:t>
          </w:r>
          <w:r>
            <w:rPr>
              <w:sz w:val="24"/>
            </w:rPr>
            <w:fldChar w:fldCharType="end"/>
          </w:r>
          <w:r>
            <w:rPr>
              <w:sz w:val="24"/>
            </w:rPr>
            <w:fldChar w:fldCharType="end"/>
          </w:r>
        </w:p>
        <w:p w14:paraId="6AD38EB8">
          <w:pPr>
            <w:pStyle w:val="30"/>
            <w:tabs>
              <w:tab w:val="right" w:leader="dot" w:pos="9071"/>
            </w:tabs>
            <w:spacing w:line="360" w:lineRule="auto"/>
            <w:rPr>
              <w:sz w:val="24"/>
            </w:rPr>
          </w:pPr>
          <w:r>
            <w:rPr>
              <w:sz w:val="24"/>
            </w:rPr>
            <w:fldChar w:fldCharType="begin"/>
          </w:r>
          <w:r>
            <w:rPr>
              <w:sz w:val="24"/>
            </w:rPr>
            <w:instrText xml:space="preserve"> HYPERLINK \l _Toc29025 </w:instrText>
          </w:r>
          <w:r>
            <w:rPr>
              <w:sz w:val="24"/>
            </w:rPr>
            <w:fldChar w:fldCharType="separate"/>
          </w:r>
          <w:r>
            <w:rPr>
              <w:rFonts w:hint="eastAsia"/>
              <w:sz w:val="24"/>
              <w:highlight w:val="none"/>
            </w:rPr>
            <w:t>第三章</w:t>
          </w:r>
          <w:r>
            <w:rPr>
              <w:sz w:val="24"/>
              <w:highlight w:val="none"/>
            </w:rPr>
            <w:t xml:space="preserve">  </w:t>
          </w:r>
          <w:r>
            <w:rPr>
              <w:rFonts w:hint="eastAsia"/>
              <w:sz w:val="24"/>
              <w:highlight w:val="none"/>
            </w:rPr>
            <w:t>评标办法及标准</w:t>
          </w:r>
          <w:r>
            <w:rPr>
              <w:sz w:val="24"/>
            </w:rPr>
            <w:tab/>
          </w:r>
          <w:r>
            <w:rPr>
              <w:sz w:val="24"/>
            </w:rPr>
            <w:fldChar w:fldCharType="begin"/>
          </w:r>
          <w:r>
            <w:rPr>
              <w:sz w:val="24"/>
            </w:rPr>
            <w:instrText xml:space="preserve"> PAGEREF _Toc29025 \h </w:instrText>
          </w:r>
          <w:r>
            <w:rPr>
              <w:sz w:val="24"/>
            </w:rPr>
            <w:fldChar w:fldCharType="separate"/>
          </w:r>
          <w:r>
            <w:rPr>
              <w:sz w:val="24"/>
            </w:rPr>
            <w:t>20</w:t>
          </w:r>
          <w:r>
            <w:rPr>
              <w:sz w:val="24"/>
            </w:rPr>
            <w:fldChar w:fldCharType="end"/>
          </w:r>
          <w:r>
            <w:rPr>
              <w:sz w:val="24"/>
            </w:rPr>
            <w:fldChar w:fldCharType="end"/>
          </w:r>
        </w:p>
        <w:p w14:paraId="0391DF33">
          <w:pPr>
            <w:pStyle w:val="30"/>
            <w:tabs>
              <w:tab w:val="right" w:leader="dot" w:pos="9071"/>
            </w:tabs>
            <w:spacing w:line="360" w:lineRule="auto"/>
            <w:rPr>
              <w:sz w:val="24"/>
            </w:rPr>
          </w:pPr>
          <w:r>
            <w:rPr>
              <w:sz w:val="24"/>
            </w:rPr>
            <w:fldChar w:fldCharType="begin"/>
          </w:r>
          <w:r>
            <w:rPr>
              <w:sz w:val="24"/>
            </w:rPr>
            <w:instrText xml:space="preserve"> HYPERLINK \l _Toc18539 </w:instrText>
          </w:r>
          <w:r>
            <w:rPr>
              <w:sz w:val="24"/>
            </w:rPr>
            <w:fldChar w:fldCharType="separate"/>
          </w:r>
          <w:r>
            <w:rPr>
              <w:rFonts w:hint="eastAsia"/>
              <w:sz w:val="24"/>
              <w:highlight w:val="none"/>
            </w:rPr>
            <w:t xml:space="preserve">第四章 </w:t>
          </w:r>
          <w:r>
            <w:rPr>
              <w:rFonts w:hint="eastAsia"/>
              <w:sz w:val="24"/>
              <w:highlight w:val="none"/>
              <w:lang w:val="en-US" w:eastAsia="zh-CN"/>
            </w:rPr>
            <w:t xml:space="preserve"> </w:t>
          </w:r>
          <w:r>
            <w:rPr>
              <w:rFonts w:hint="eastAsia"/>
              <w:sz w:val="24"/>
              <w:highlight w:val="none"/>
            </w:rPr>
            <w:t>合同条款及格式</w:t>
          </w:r>
          <w:r>
            <w:rPr>
              <w:sz w:val="24"/>
            </w:rPr>
            <w:tab/>
          </w:r>
          <w:r>
            <w:rPr>
              <w:sz w:val="24"/>
            </w:rPr>
            <w:fldChar w:fldCharType="begin"/>
          </w:r>
          <w:r>
            <w:rPr>
              <w:sz w:val="24"/>
            </w:rPr>
            <w:instrText xml:space="preserve"> PAGEREF _Toc18539 \h </w:instrText>
          </w:r>
          <w:r>
            <w:rPr>
              <w:sz w:val="24"/>
            </w:rPr>
            <w:fldChar w:fldCharType="separate"/>
          </w:r>
          <w:r>
            <w:rPr>
              <w:sz w:val="24"/>
            </w:rPr>
            <w:t>29</w:t>
          </w:r>
          <w:r>
            <w:rPr>
              <w:sz w:val="24"/>
            </w:rPr>
            <w:fldChar w:fldCharType="end"/>
          </w:r>
          <w:r>
            <w:rPr>
              <w:sz w:val="24"/>
            </w:rPr>
            <w:fldChar w:fldCharType="end"/>
          </w:r>
        </w:p>
        <w:p w14:paraId="0567F06F">
          <w:pPr>
            <w:pStyle w:val="30"/>
            <w:tabs>
              <w:tab w:val="right" w:leader="dot" w:pos="9071"/>
            </w:tabs>
            <w:spacing w:line="360" w:lineRule="auto"/>
            <w:rPr>
              <w:sz w:val="24"/>
            </w:rPr>
          </w:pPr>
          <w:r>
            <w:rPr>
              <w:sz w:val="24"/>
            </w:rPr>
            <w:fldChar w:fldCharType="begin"/>
          </w:r>
          <w:r>
            <w:rPr>
              <w:sz w:val="24"/>
            </w:rPr>
            <w:instrText xml:space="preserve"> HYPERLINK \l _Toc1496 </w:instrText>
          </w:r>
          <w:r>
            <w:rPr>
              <w:sz w:val="24"/>
            </w:rPr>
            <w:fldChar w:fldCharType="separate"/>
          </w:r>
          <w:r>
            <w:rPr>
              <w:rFonts w:hint="eastAsia"/>
              <w:sz w:val="24"/>
            </w:rPr>
            <w:t>第五章</w:t>
          </w:r>
          <w:r>
            <w:rPr>
              <w:rFonts w:hint="eastAsia"/>
              <w:sz w:val="24"/>
              <w:lang w:val="en-US" w:eastAsia="zh-CN"/>
            </w:rPr>
            <w:t xml:space="preserve"> </w:t>
          </w:r>
          <w:r>
            <w:rPr>
              <w:rFonts w:hint="eastAsia"/>
              <w:sz w:val="24"/>
            </w:rPr>
            <w:t xml:space="preserve"> </w:t>
          </w:r>
          <w:r>
            <w:rPr>
              <w:rFonts w:hint="eastAsia"/>
              <w:sz w:val="24"/>
              <w:highlight w:val="none"/>
              <w:lang w:val="en-US" w:eastAsia="zh-CN"/>
            </w:rPr>
            <w:t>用户需求书</w:t>
          </w:r>
          <w:r>
            <w:rPr>
              <w:sz w:val="24"/>
            </w:rPr>
            <w:tab/>
          </w:r>
          <w:r>
            <w:rPr>
              <w:sz w:val="24"/>
            </w:rPr>
            <w:fldChar w:fldCharType="begin"/>
          </w:r>
          <w:r>
            <w:rPr>
              <w:sz w:val="24"/>
            </w:rPr>
            <w:instrText xml:space="preserve"> PAGEREF _Toc1496 \h </w:instrText>
          </w:r>
          <w:r>
            <w:rPr>
              <w:sz w:val="24"/>
            </w:rPr>
            <w:fldChar w:fldCharType="separate"/>
          </w:r>
          <w:r>
            <w:rPr>
              <w:sz w:val="24"/>
            </w:rPr>
            <w:t>41</w:t>
          </w:r>
          <w:r>
            <w:rPr>
              <w:sz w:val="24"/>
            </w:rPr>
            <w:fldChar w:fldCharType="end"/>
          </w:r>
          <w:r>
            <w:rPr>
              <w:sz w:val="24"/>
            </w:rPr>
            <w:fldChar w:fldCharType="end"/>
          </w:r>
        </w:p>
        <w:p w14:paraId="16C74C5A">
          <w:pPr>
            <w:pStyle w:val="30"/>
            <w:tabs>
              <w:tab w:val="right" w:leader="dot" w:pos="9071"/>
            </w:tabs>
            <w:spacing w:line="360" w:lineRule="auto"/>
            <w:rPr>
              <w:sz w:val="24"/>
            </w:rPr>
          </w:pPr>
          <w:r>
            <w:rPr>
              <w:sz w:val="24"/>
            </w:rPr>
            <w:fldChar w:fldCharType="begin"/>
          </w:r>
          <w:r>
            <w:rPr>
              <w:sz w:val="24"/>
            </w:rPr>
            <w:instrText xml:space="preserve"> HYPERLINK \l _Toc6433 </w:instrText>
          </w:r>
          <w:r>
            <w:rPr>
              <w:sz w:val="24"/>
            </w:rPr>
            <w:fldChar w:fldCharType="separate"/>
          </w:r>
          <w:r>
            <w:rPr>
              <w:rFonts w:hint="eastAsia"/>
              <w:sz w:val="24"/>
              <w:highlight w:val="none"/>
            </w:rPr>
            <w:t>第</w:t>
          </w:r>
          <w:r>
            <w:rPr>
              <w:rFonts w:hint="eastAsia"/>
              <w:sz w:val="24"/>
              <w:highlight w:val="none"/>
              <w:lang w:val="en-US" w:eastAsia="zh-CN"/>
            </w:rPr>
            <w:t>六</w:t>
          </w:r>
          <w:r>
            <w:rPr>
              <w:rFonts w:hint="eastAsia"/>
              <w:sz w:val="24"/>
              <w:highlight w:val="none"/>
            </w:rPr>
            <w:t>章  投标文件格式</w:t>
          </w:r>
          <w:r>
            <w:rPr>
              <w:sz w:val="24"/>
            </w:rPr>
            <w:tab/>
          </w:r>
          <w:r>
            <w:rPr>
              <w:sz w:val="24"/>
            </w:rPr>
            <w:fldChar w:fldCharType="begin"/>
          </w:r>
          <w:r>
            <w:rPr>
              <w:sz w:val="24"/>
            </w:rPr>
            <w:instrText xml:space="preserve"> PAGEREF _Toc6433 \h </w:instrText>
          </w:r>
          <w:r>
            <w:rPr>
              <w:sz w:val="24"/>
            </w:rPr>
            <w:fldChar w:fldCharType="separate"/>
          </w:r>
          <w:r>
            <w:rPr>
              <w:sz w:val="24"/>
            </w:rPr>
            <w:t>42</w:t>
          </w:r>
          <w:r>
            <w:rPr>
              <w:sz w:val="24"/>
            </w:rPr>
            <w:fldChar w:fldCharType="end"/>
          </w:r>
          <w:r>
            <w:rPr>
              <w:sz w:val="24"/>
            </w:rPr>
            <w:fldChar w:fldCharType="end"/>
          </w:r>
        </w:p>
        <w:p w14:paraId="22B6801C">
          <w:pPr>
            <w:spacing w:line="360" w:lineRule="auto"/>
          </w:pPr>
          <w:r>
            <w:rPr>
              <w:sz w:val="24"/>
              <w:szCs w:val="24"/>
            </w:rPr>
            <w:fldChar w:fldCharType="end"/>
          </w:r>
        </w:p>
      </w:sdtContent>
    </w:sdt>
    <w:p w14:paraId="683E8802"/>
    <w:p w14:paraId="430862E6">
      <w:pPr>
        <w:pStyle w:val="30"/>
        <w:tabs>
          <w:tab w:val="right" w:leader="dot" w:pos="9071"/>
        </w:tabs>
        <w:spacing w:line="360" w:lineRule="auto"/>
        <w:rPr>
          <w:rFonts w:hint="eastAsia" w:ascii="宋体" w:hAnsi="宋体" w:eastAsia="宋体" w:cs="宋体"/>
          <w:sz w:val="24"/>
        </w:rPr>
      </w:pPr>
      <w:r>
        <w:rPr>
          <w:rFonts w:hint="eastAsia" w:ascii="宋体" w:hAnsi="宋体" w:eastAsia="宋体" w:cs="宋体"/>
          <w:color w:val="000000"/>
          <w:sz w:val="24"/>
          <w:highlight w:val="none"/>
        </w:rPr>
        <w:fldChar w:fldCharType="begin"/>
      </w:r>
      <w:r>
        <w:rPr>
          <w:rFonts w:hint="eastAsia" w:ascii="宋体" w:hAnsi="宋体" w:eastAsia="宋体" w:cs="宋体"/>
          <w:color w:val="000000"/>
          <w:sz w:val="24"/>
          <w:highlight w:val="none"/>
        </w:rPr>
        <w:instrText xml:space="preserve"> TOC \o "1-2" \h \z \u </w:instrText>
      </w:r>
      <w:r>
        <w:rPr>
          <w:rFonts w:hint="eastAsia" w:ascii="宋体" w:hAnsi="宋体" w:eastAsia="宋体" w:cs="宋体"/>
          <w:color w:val="000000"/>
          <w:sz w:val="24"/>
          <w:highlight w:val="none"/>
        </w:rPr>
        <w:fldChar w:fldCharType="separate"/>
      </w:r>
    </w:p>
    <w:p w14:paraId="53D42258">
      <w:pPr>
        <w:pStyle w:val="37"/>
        <w:tabs>
          <w:tab w:val="right" w:leader="dot" w:pos="9071"/>
        </w:tabs>
        <w:spacing w:line="360" w:lineRule="auto"/>
        <w:rPr>
          <w:rFonts w:hint="eastAsia" w:ascii="宋体" w:hAnsi="宋体" w:eastAsia="宋体" w:cs="宋体"/>
          <w:sz w:val="24"/>
        </w:rPr>
      </w:pPr>
    </w:p>
    <w:p w14:paraId="6B92C438">
      <w:pPr>
        <w:spacing w:line="360" w:lineRule="auto"/>
        <w:jc w:val="center"/>
        <w:rPr>
          <w:rFonts w:hint="eastAsia" w:ascii="宋体" w:hAnsi="宋体" w:eastAsia="宋体" w:cs="宋体"/>
          <w:color w:val="000000"/>
          <w:sz w:val="24"/>
          <w:highlight w:val="none"/>
        </w:rPr>
        <w:sectPr>
          <w:pgSz w:w="11905" w:h="16838"/>
          <w:pgMar w:top="1304" w:right="1417" w:bottom="1304" w:left="1417" w:header="850" w:footer="992" w:gutter="0"/>
          <w:pgNumType w:fmt="upperRoman" w:start="1"/>
          <w:cols w:space="720" w:num="1"/>
          <w:docGrid w:linePitch="312" w:charSpace="0"/>
        </w:sectPr>
      </w:pPr>
      <w:r>
        <w:rPr>
          <w:rFonts w:hint="eastAsia" w:ascii="宋体" w:hAnsi="宋体" w:eastAsia="宋体" w:cs="宋体"/>
          <w:color w:val="000000"/>
          <w:sz w:val="24"/>
          <w:highlight w:val="none"/>
        </w:rPr>
        <w:fldChar w:fldCharType="end"/>
      </w:r>
    </w:p>
    <w:p w14:paraId="10BBF60F">
      <w:pPr>
        <w:pStyle w:val="2"/>
        <w:rPr>
          <w:color w:val="000000"/>
          <w:highlight w:val="none"/>
        </w:rPr>
      </w:pPr>
      <w:bookmarkStart w:id="0" w:name="_Toc2902"/>
      <w:bookmarkStart w:id="1" w:name="_Toc17511"/>
      <w:bookmarkStart w:id="2" w:name="_Toc23078"/>
      <w:bookmarkStart w:id="3" w:name="_Toc18727"/>
      <w:bookmarkStart w:id="4" w:name="_Toc274"/>
      <w:r>
        <w:rPr>
          <w:rFonts w:hint="eastAsia"/>
          <w:color w:val="000000"/>
          <w:highlight w:val="none"/>
        </w:rPr>
        <w:t>第一章  招标公告</w:t>
      </w:r>
      <w:bookmarkEnd w:id="0"/>
      <w:bookmarkEnd w:id="1"/>
      <w:bookmarkEnd w:id="2"/>
      <w:bookmarkEnd w:id="3"/>
      <w:bookmarkEnd w:id="4"/>
      <w:r>
        <w:rPr>
          <w:rFonts w:hint="eastAsia"/>
          <w:color w:val="000000"/>
          <w:highlight w:val="none"/>
        </w:rPr>
        <w:t xml:space="preserve">  </w:t>
      </w:r>
    </w:p>
    <w:p w14:paraId="12F4C178">
      <w:pPr>
        <w:spacing w:after="120" w:afterLines="50" w:line="360" w:lineRule="auto"/>
        <w:jc w:val="center"/>
        <w:rPr>
          <w:rFonts w:hint="eastAsia" w:ascii="宋体" w:hAnsi="宋体" w:cs="宋体"/>
          <w:b/>
          <w:bCs/>
          <w:color w:val="000000"/>
          <w:sz w:val="28"/>
          <w:szCs w:val="28"/>
          <w:highlight w:val="none"/>
          <w:lang w:eastAsia="zh-CN"/>
        </w:rPr>
      </w:pPr>
      <w:r>
        <w:rPr>
          <w:rFonts w:hint="eastAsia" w:ascii="宋体" w:hAnsi="宋体" w:cs="宋体"/>
          <w:b/>
          <w:bCs/>
          <w:color w:val="000000"/>
          <w:sz w:val="28"/>
          <w:szCs w:val="28"/>
          <w:highlight w:val="none"/>
          <w:lang w:eastAsia="zh-CN"/>
        </w:rPr>
        <w:t>2025年-2026年南宁轨道地产建筑工程有限责任公司钢筋集中采购项目</w:t>
      </w:r>
    </w:p>
    <w:p w14:paraId="33EC0AA2">
      <w:pPr>
        <w:spacing w:after="120" w:afterLines="50" w:line="360" w:lineRule="auto"/>
        <w:jc w:val="center"/>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招标公告</w:t>
      </w:r>
    </w:p>
    <w:p w14:paraId="1AC9150E">
      <w:pPr>
        <w:spacing w:line="348" w:lineRule="auto"/>
        <w:ind w:firstLine="420" w:firstLineChars="200"/>
        <w:rPr>
          <w:color w:val="000000"/>
          <w:szCs w:val="21"/>
          <w:highlight w:val="none"/>
        </w:rPr>
      </w:pPr>
      <w:r>
        <w:rPr>
          <w:rFonts w:hint="eastAsia" w:ascii="宋体" w:hAnsi="宋体"/>
          <w:color w:val="000000"/>
          <w:highlight w:val="none"/>
        </w:rPr>
        <w:t>本招标项目</w:t>
      </w:r>
      <w:r>
        <w:rPr>
          <w:rFonts w:hint="eastAsia" w:ascii="宋体" w:hAnsi="宋体"/>
          <w:color w:val="000000"/>
          <w:highlight w:val="none"/>
          <w:u w:val="single"/>
          <w:lang w:eastAsia="zh-CN"/>
        </w:rPr>
        <w:t>2025年-2026年南宁轨道地产建筑工程有限责任公司钢筋集中采购项目</w:t>
      </w:r>
      <w:r>
        <w:rPr>
          <w:rFonts w:hint="eastAsia"/>
          <w:color w:val="000000"/>
          <w:szCs w:val="21"/>
          <w:highlight w:val="none"/>
        </w:rPr>
        <w:t>，</w:t>
      </w:r>
      <w:r>
        <w:rPr>
          <w:rFonts w:hint="eastAsia" w:ascii="宋体" w:hAnsi="宋体"/>
          <w:color w:val="000000"/>
          <w:highlight w:val="none"/>
        </w:rPr>
        <w:t>招标人为</w:t>
      </w:r>
      <w:r>
        <w:rPr>
          <w:rFonts w:hint="eastAsia" w:ascii="宋体" w:hAnsi="宋体"/>
          <w:color w:val="000000"/>
          <w:highlight w:val="none"/>
          <w:u w:val="single"/>
        </w:rPr>
        <w:t>南宁轨道地产建筑工程有限责任公司</w:t>
      </w:r>
      <w:r>
        <w:rPr>
          <w:rFonts w:hint="eastAsia" w:ascii="宋体" w:hAnsi="宋体"/>
          <w:color w:val="000000"/>
          <w:highlight w:val="none"/>
        </w:rPr>
        <w:t>，招标项目资金来源</w:t>
      </w:r>
      <w:r>
        <w:rPr>
          <w:rFonts w:hint="eastAsia" w:ascii="宋体" w:hAnsi="宋体"/>
          <w:color w:val="000000"/>
          <w:highlight w:val="none"/>
          <w:u w:val="single"/>
        </w:rPr>
        <w:t>企业自筹</w:t>
      </w:r>
      <w:r>
        <w:rPr>
          <w:rFonts w:hint="eastAsia" w:ascii="宋体" w:hAnsi="宋体"/>
          <w:color w:val="000000"/>
          <w:highlight w:val="none"/>
        </w:rPr>
        <w:t>。该项目已具备招标条件，现对本项目进行公开招标</w:t>
      </w:r>
      <w:r>
        <w:rPr>
          <w:rFonts w:hint="eastAsia" w:ascii="宋体" w:hAnsi="宋体"/>
          <w:color w:val="000000"/>
          <w:kern w:val="0"/>
          <w:szCs w:val="21"/>
          <w:highlight w:val="none"/>
        </w:rPr>
        <w:t>，现邀请有意向的合格投标人参加投标</w:t>
      </w:r>
      <w:r>
        <w:rPr>
          <w:rFonts w:hint="eastAsia" w:ascii="宋体" w:hAnsi="宋体"/>
          <w:color w:val="000000"/>
          <w:highlight w:val="none"/>
        </w:rPr>
        <w:t>。</w:t>
      </w:r>
    </w:p>
    <w:p w14:paraId="2D25BC41">
      <w:pPr>
        <w:pStyle w:val="3"/>
        <w:rPr>
          <w:sz w:val="24"/>
          <w:szCs w:val="24"/>
          <w:highlight w:val="none"/>
        </w:rPr>
      </w:pPr>
      <w:bookmarkStart w:id="5" w:name="_Toc12706"/>
      <w:bookmarkStart w:id="6" w:name="_Toc17196"/>
      <w:bookmarkStart w:id="7" w:name="_Toc441064051"/>
      <w:bookmarkStart w:id="8" w:name="_Toc450314168"/>
      <w:bookmarkStart w:id="9" w:name="_Toc450657240"/>
      <w:bookmarkStart w:id="10" w:name="_Toc530736521"/>
      <w:bookmarkStart w:id="11" w:name="_Toc24118"/>
      <w:bookmarkStart w:id="12" w:name="_Toc441059940"/>
      <w:bookmarkStart w:id="13" w:name="_Toc7639"/>
      <w:bookmarkStart w:id="14" w:name="_Toc16976"/>
      <w:bookmarkStart w:id="15" w:name="_Toc19408"/>
      <w:bookmarkStart w:id="16" w:name="_Toc15464"/>
      <w:bookmarkStart w:id="17" w:name="_Toc24050"/>
      <w:r>
        <w:rPr>
          <w:rFonts w:hint="eastAsia"/>
          <w:sz w:val="24"/>
          <w:szCs w:val="24"/>
          <w:highlight w:val="none"/>
        </w:rPr>
        <w:t>1</w:t>
      </w:r>
      <w:r>
        <w:rPr>
          <w:sz w:val="24"/>
          <w:szCs w:val="24"/>
          <w:highlight w:val="none"/>
        </w:rPr>
        <w:t xml:space="preserve"> </w:t>
      </w:r>
      <w:r>
        <w:rPr>
          <w:rFonts w:hint="eastAsia"/>
          <w:sz w:val="24"/>
          <w:szCs w:val="24"/>
          <w:highlight w:val="none"/>
        </w:rPr>
        <w:t>项目概况与招标范围</w:t>
      </w:r>
      <w:bookmarkEnd w:id="5"/>
      <w:bookmarkEnd w:id="6"/>
      <w:bookmarkEnd w:id="7"/>
      <w:bookmarkEnd w:id="8"/>
      <w:bookmarkEnd w:id="9"/>
      <w:bookmarkEnd w:id="10"/>
      <w:bookmarkEnd w:id="11"/>
      <w:bookmarkEnd w:id="12"/>
      <w:bookmarkEnd w:id="13"/>
      <w:bookmarkEnd w:id="14"/>
      <w:bookmarkEnd w:id="15"/>
      <w:bookmarkEnd w:id="16"/>
      <w:bookmarkEnd w:id="17"/>
    </w:p>
    <w:p w14:paraId="1AC9420F">
      <w:pPr>
        <w:widowControl/>
        <w:spacing w:line="360" w:lineRule="auto"/>
        <w:ind w:firstLine="422" w:firstLineChars="200"/>
        <w:jc w:val="left"/>
        <w:rPr>
          <w:rFonts w:ascii="宋体" w:hAnsi="宋体" w:cs="宋体"/>
          <w:bCs/>
          <w:color w:val="000000"/>
          <w:szCs w:val="21"/>
          <w:highlight w:val="none"/>
        </w:rPr>
      </w:pPr>
      <w:r>
        <w:rPr>
          <w:rFonts w:hint="eastAsia" w:ascii="宋体" w:hAnsi="宋体" w:cs="宋体"/>
          <w:b/>
          <w:color w:val="000000"/>
          <w:szCs w:val="21"/>
          <w:highlight w:val="none"/>
        </w:rPr>
        <w:t>1.1项目名称</w:t>
      </w:r>
      <w:r>
        <w:rPr>
          <w:rFonts w:hint="eastAsia" w:ascii="宋体" w:hAnsi="宋体" w:cs="宋体"/>
          <w:bCs/>
          <w:color w:val="000000"/>
          <w:szCs w:val="21"/>
          <w:highlight w:val="none"/>
        </w:rPr>
        <w:t>：</w:t>
      </w:r>
      <w:r>
        <w:rPr>
          <w:rFonts w:hint="eastAsia" w:ascii="宋体" w:hAnsi="宋体" w:cs="宋体"/>
          <w:b w:val="0"/>
          <w:bCs/>
          <w:color w:val="000000"/>
          <w:szCs w:val="21"/>
          <w:highlight w:val="none"/>
          <w:lang w:eastAsia="zh-CN"/>
        </w:rPr>
        <w:t>2025年-2026年南宁轨道地产建筑工程有限责任公司钢筋集中采购项目</w:t>
      </w:r>
      <w:r>
        <w:rPr>
          <w:rFonts w:hint="eastAsia" w:ascii="宋体" w:hAnsi="宋体" w:cs="宋体"/>
          <w:bCs/>
          <w:color w:val="000000"/>
          <w:szCs w:val="21"/>
          <w:highlight w:val="none"/>
        </w:rPr>
        <w:t xml:space="preserve"> </w:t>
      </w:r>
    </w:p>
    <w:p w14:paraId="369EFD12">
      <w:pPr>
        <w:widowControl/>
        <w:spacing w:line="360" w:lineRule="auto"/>
        <w:ind w:firstLine="422" w:firstLineChars="200"/>
        <w:jc w:val="left"/>
        <w:rPr>
          <w:rFonts w:hint="eastAsia" w:ascii="宋体" w:hAnsi="宋体"/>
          <w:b w:val="0"/>
          <w:bCs/>
          <w:strike w:val="0"/>
          <w:color w:val="000000"/>
          <w:szCs w:val="21"/>
          <w:highlight w:val="none"/>
          <w:lang w:val="en-US" w:eastAsia="zh-CN"/>
        </w:rPr>
      </w:pPr>
      <w:r>
        <w:rPr>
          <w:rFonts w:hint="eastAsia" w:ascii="宋体" w:hAnsi="宋体" w:cs="宋体"/>
          <w:b/>
          <w:color w:val="000000"/>
          <w:szCs w:val="21"/>
          <w:highlight w:val="none"/>
          <w:lang w:val="en-US" w:eastAsia="zh-CN"/>
        </w:rPr>
        <w:t>1.2项目编号：</w:t>
      </w:r>
      <w:r>
        <w:rPr>
          <w:rFonts w:hint="eastAsia" w:ascii="宋体" w:hAnsi="宋体"/>
          <w:b w:val="0"/>
          <w:bCs/>
          <w:strike w:val="0"/>
          <w:color w:val="000000"/>
          <w:szCs w:val="21"/>
          <w:highlight w:val="none"/>
          <w:lang w:val="en-US" w:eastAsia="zh-CN"/>
        </w:rPr>
        <w:t>SKZX-2025-HW012</w:t>
      </w:r>
    </w:p>
    <w:p w14:paraId="5BBA868A">
      <w:pPr>
        <w:widowControl/>
        <w:spacing w:line="360" w:lineRule="auto"/>
        <w:ind w:firstLine="422" w:firstLineChars="200"/>
        <w:jc w:val="left"/>
        <w:rPr>
          <w:rFonts w:ascii="宋体" w:hAnsi="宋体" w:cs="宋体"/>
          <w:b/>
          <w:color w:val="000000"/>
          <w:szCs w:val="21"/>
          <w:highlight w:val="none"/>
        </w:rPr>
      </w:pPr>
      <w:r>
        <w:rPr>
          <w:rFonts w:hint="eastAsia" w:ascii="宋体" w:hAnsi="宋体" w:cs="宋体"/>
          <w:b/>
          <w:color w:val="000000"/>
          <w:szCs w:val="21"/>
          <w:highlight w:val="none"/>
        </w:rPr>
        <w:t>1.</w:t>
      </w:r>
      <w:r>
        <w:rPr>
          <w:rFonts w:hint="eastAsia" w:ascii="宋体" w:hAnsi="宋体" w:cs="宋体"/>
          <w:b/>
          <w:color w:val="000000"/>
          <w:szCs w:val="21"/>
          <w:highlight w:val="none"/>
          <w:lang w:val="en-US" w:eastAsia="zh-CN"/>
        </w:rPr>
        <w:t>3交货</w:t>
      </w:r>
      <w:r>
        <w:rPr>
          <w:rFonts w:hint="eastAsia" w:ascii="宋体" w:hAnsi="宋体" w:cs="宋体"/>
          <w:b/>
          <w:color w:val="000000"/>
          <w:szCs w:val="21"/>
          <w:highlight w:val="none"/>
        </w:rPr>
        <w:t>地点：</w:t>
      </w:r>
      <w:r>
        <w:rPr>
          <w:rFonts w:hint="eastAsia" w:ascii="宋体" w:hAnsi="宋体"/>
          <w:highlight w:val="none"/>
          <w:u w:val="none"/>
        </w:rPr>
        <w:t>广西壮族自治区南宁市内招标人指定地点。</w:t>
      </w:r>
      <w:bookmarkStart w:id="18" w:name="_Toc30177"/>
    </w:p>
    <w:p w14:paraId="2ED5B006">
      <w:pPr>
        <w:tabs>
          <w:tab w:val="left" w:pos="365"/>
        </w:tabs>
        <w:spacing w:line="360" w:lineRule="auto"/>
        <w:ind w:firstLine="422" w:firstLineChars="200"/>
        <w:textAlignment w:val="baseline"/>
        <w:rPr>
          <w:b w:val="0"/>
          <w:bCs w:val="0"/>
          <w:color w:val="000000"/>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4</w:t>
      </w:r>
      <w:r>
        <w:rPr>
          <w:rFonts w:hint="eastAsia" w:ascii="宋体" w:hAnsi="宋体"/>
          <w:b/>
          <w:color w:val="000000"/>
          <w:szCs w:val="21"/>
          <w:highlight w:val="none"/>
        </w:rPr>
        <w:t>招标范围：</w:t>
      </w:r>
      <w:bookmarkEnd w:id="18"/>
      <w:r>
        <w:rPr>
          <w:rFonts w:hint="eastAsia" w:ascii="宋体" w:hAnsi="宋体" w:eastAsia="宋体"/>
          <w:b w:val="0"/>
          <w:szCs w:val="24"/>
          <w:highlight w:val="none"/>
          <w:u w:val="none"/>
          <w:lang w:val="en-US" w:eastAsia="zh-CN"/>
        </w:rPr>
        <w:t>采购2家</w:t>
      </w:r>
      <w:r>
        <w:rPr>
          <w:rFonts w:hint="eastAsia" w:ascii="宋体" w:hAnsi="宋体"/>
          <w:b w:val="0"/>
          <w:szCs w:val="24"/>
          <w:highlight w:val="none"/>
          <w:u w:val="none"/>
          <w:lang w:val="en-US" w:eastAsia="zh-CN"/>
        </w:rPr>
        <w:t>钢筋</w:t>
      </w:r>
      <w:r>
        <w:rPr>
          <w:rFonts w:hint="eastAsia" w:ascii="宋体" w:hAnsi="宋体"/>
          <w:b w:val="0"/>
          <w:bCs w:val="0"/>
          <w:highlight w:val="none"/>
          <w:u w:val="none"/>
          <w:lang w:val="en-US" w:eastAsia="zh-CN"/>
        </w:rPr>
        <w:t>供应商，负责</w:t>
      </w:r>
      <w:r>
        <w:rPr>
          <w:rFonts w:hint="eastAsia" w:ascii="宋体" w:hAnsi="宋体" w:cs="宋体"/>
          <w:b w:val="0"/>
          <w:bCs/>
          <w:color w:val="000000"/>
          <w:szCs w:val="21"/>
          <w:highlight w:val="none"/>
        </w:rPr>
        <w:t>南宁轨道地产建筑工程有限责任公司</w:t>
      </w:r>
      <w:r>
        <w:rPr>
          <w:rFonts w:hint="eastAsia" w:ascii="宋体" w:hAnsi="宋体"/>
          <w:b w:val="0"/>
          <w:szCs w:val="24"/>
          <w:highlight w:val="none"/>
          <w:u w:val="none"/>
          <w:lang w:val="en-US" w:eastAsia="zh-CN"/>
        </w:rPr>
        <w:t>钢筋</w:t>
      </w:r>
      <w:r>
        <w:rPr>
          <w:rFonts w:hint="eastAsia" w:ascii="宋体" w:hAnsi="宋体"/>
          <w:b w:val="0"/>
          <w:bCs w:val="0"/>
          <w:highlight w:val="none"/>
          <w:u w:val="none"/>
        </w:rPr>
        <w:t>物资</w:t>
      </w:r>
      <w:r>
        <w:rPr>
          <w:rFonts w:hint="eastAsia" w:ascii="宋体" w:hAnsi="宋体"/>
          <w:b w:val="0"/>
          <w:bCs w:val="0"/>
          <w:highlight w:val="none"/>
          <w:u w:val="none"/>
          <w:lang w:val="en-US" w:eastAsia="zh-CN"/>
        </w:rPr>
        <w:t>供应</w:t>
      </w:r>
      <w:r>
        <w:rPr>
          <w:rFonts w:hint="eastAsia" w:ascii="宋体" w:hAnsi="宋体"/>
          <w:b w:val="0"/>
          <w:bCs w:val="0"/>
          <w:color w:val="auto"/>
          <w:highlight w:val="none"/>
          <w:u w:val="none"/>
        </w:rPr>
        <w:t>,</w:t>
      </w:r>
      <w:r>
        <w:rPr>
          <w:rFonts w:hint="eastAsia" w:ascii="宋体" w:hAnsi="宋体"/>
          <w:b w:val="0"/>
          <w:bCs w:val="0"/>
          <w:color w:val="000000"/>
          <w:szCs w:val="21"/>
          <w:highlight w:val="none"/>
        </w:rPr>
        <w:t>具体详见</w:t>
      </w:r>
      <w:r>
        <w:rPr>
          <w:rFonts w:hint="eastAsia" w:ascii="宋体" w:hAnsi="宋体"/>
          <w:b w:val="0"/>
          <w:bCs/>
          <w:strike w:val="0"/>
          <w:color w:val="000000"/>
          <w:szCs w:val="21"/>
          <w:highlight w:val="none"/>
          <w:lang w:val="en-US" w:eastAsia="zh-CN"/>
        </w:rPr>
        <w:t>招标文件第五章用户需求书《技术需求及数量表》</w:t>
      </w:r>
      <w:r>
        <w:rPr>
          <w:rFonts w:hint="eastAsia" w:ascii="宋体" w:hAnsi="宋体"/>
          <w:b w:val="0"/>
          <w:bCs w:val="0"/>
          <w:color w:val="000000"/>
          <w:szCs w:val="21"/>
          <w:highlight w:val="none"/>
        </w:rPr>
        <w:t>。</w:t>
      </w:r>
    </w:p>
    <w:p w14:paraId="167B6D95">
      <w:pPr>
        <w:widowControl/>
        <w:spacing w:line="360" w:lineRule="auto"/>
        <w:ind w:firstLine="422" w:firstLineChars="200"/>
        <w:jc w:val="left"/>
        <w:rPr>
          <w:rFonts w:ascii="宋体" w:hAnsi="宋体"/>
          <w:b/>
          <w:color w:val="000000"/>
          <w:szCs w:val="21"/>
          <w:highlight w:val="yellow"/>
          <w:lang w:val="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5招标控制价</w:t>
      </w:r>
      <w:r>
        <w:rPr>
          <w:rFonts w:hint="eastAsia" w:ascii="宋体" w:hAnsi="宋体"/>
          <w:b/>
          <w:color w:val="000000"/>
          <w:szCs w:val="21"/>
          <w:highlight w:val="none"/>
        </w:rPr>
        <w:t>：</w:t>
      </w:r>
      <w:r>
        <w:rPr>
          <w:rFonts w:hint="eastAsia" w:ascii="宋体" w:hAnsi="宋体"/>
          <w:b w:val="0"/>
          <w:bCs/>
          <w:color w:val="000000"/>
          <w:szCs w:val="21"/>
          <w:highlight w:val="none"/>
        </w:rPr>
        <w:t>本项目</w:t>
      </w:r>
      <w:r>
        <w:rPr>
          <w:rFonts w:hint="eastAsia" w:ascii="宋体" w:hAnsi="宋体"/>
          <w:b w:val="0"/>
          <w:bCs/>
          <w:color w:val="000000"/>
          <w:szCs w:val="21"/>
          <w:highlight w:val="none"/>
          <w:lang w:val="en-US" w:eastAsia="zh-CN"/>
        </w:rPr>
        <w:t>含税</w:t>
      </w:r>
      <w:r>
        <w:rPr>
          <w:rFonts w:hint="eastAsia" w:ascii="宋体" w:hAnsi="宋体"/>
          <w:b w:val="0"/>
          <w:bCs/>
          <w:color w:val="000000"/>
          <w:szCs w:val="21"/>
          <w:highlight w:val="none"/>
          <w:lang w:eastAsia="zh-CN"/>
        </w:rPr>
        <w:t>招标控制价</w:t>
      </w:r>
      <w:r>
        <w:rPr>
          <w:rFonts w:hint="eastAsia" w:ascii="宋体" w:hAnsi="宋体"/>
          <w:b w:val="0"/>
          <w:bCs/>
          <w:color w:val="000000"/>
          <w:szCs w:val="21"/>
          <w:highlight w:val="none"/>
        </w:rPr>
        <w:t>为人民币</w:t>
      </w:r>
      <w:r>
        <w:rPr>
          <w:rFonts w:hint="eastAsia" w:ascii="宋体" w:hAnsi="宋体"/>
          <w:b w:val="0"/>
          <w:bCs/>
          <w:color w:val="000000"/>
          <w:szCs w:val="21"/>
          <w:highlight w:val="none"/>
          <w:lang w:val="en-US" w:eastAsia="zh-CN"/>
        </w:rPr>
        <w:t>贰仟贰佰柒拾肆万柒仟元整</w:t>
      </w:r>
      <w:r>
        <w:rPr>
          <w:rFonts w:hint="eastAsia" w:ascii="宋体" w:hAnsi="宋体"/>
          <w:b w:val="0"/>
          <w:bCs/>
          <w:color w:val="000000"/>
          <w:szCs w:val="21"/>
          <w:highlight w:val="none"/>
        </w:rPr>
        <w:t>（¥</w:t>
      </w:r>
      <w:r>
        <w:rPr>
          <w:rFonts w:hint="eastAsia" w:ascii="宋体" w:hAnsi="宋体"/>
          <w:b w:val="0"/>
          <w:bCs/>
          <w:color w:val="000000"/>
          <w:szCs w:val="21"/>
          <w:highlight w:val="none"/>
          <w:lang w:val="en-US" w:eastAsia="zh-CN"/>
        </w:rPr>
        <w:t>22747000.00），税率为13%，其中：含增值税招标控制单价详见招标文件第六章用户需求书《技术需求及数量表》。投标报价高于招标控制价（或含税招标控制综合单价）的投标文件将按否决投标处理。</w:t>
      </w:r>
    </w:p>
    <w:p w14:paraId="53E3B1C2">
      <w:pPr>
        <w:widowControl/>
        <w:spacing w:line="360" w:lineRule="auto"/>
        <w:ind w:firstLine="422" w:firstLineChars="200"/>
        <w:jc w:val="left"/>
        <w:rPr>
          <w:rFonts w:hint="eastAsia" w:ascii="宋体" w:hAnsi="宋体" w:eastAsia="宋体"/>
          <w:b w:val="0"/>
          <w:bCs/>
          <w:color w:val="000000"/>
          <w:szCs w:val="21"/>
          <w:highlight w:val="none"/>
          <w:lang w:val="en-US" w:eastAsia="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6服务</w:t>
      </w:r>
      <w:r>
        <w:rPr>
          <w:rFonts w:hint="eastAsia" w:ascii="宋体" w:hAnsi="宋体"/>
          <w:b/>
          <w:color w:val="000000"/>
          <w:szCs w:val="21"/>
          <w:highlight w:val="none"/>
        </w:rPr>
        <w:t>期：</w:t>
      </w:r>
      <w:r>
        <w:rPr>
          <w:rFonts w:hint="eastAsia" w:ascii="宋体" w:hAnsi="宋体"/>
          <w:b w:val="0"/>
          <w:bCs/>
          <w:color w:val="000000"/>
          <w:szCs w:val="21"/>
          <w:highlight w:val="none"/>
          <w:lang w:val="en-US" w:eastAsia="zh-CN"/>
        </w:rPr>
        <w:t>一年（2025年9月1日至2026年8月31日），具体以签订合同时间为准。</w:t>
      </w:r>
    </w:p>
    <w:p w14:paraId="43A7DB25">
      <w:pPr>
        <w:widowControl/>
        <w:spacing w:line="360" w:lineRule="auto"/>
        <w:ind w:firstLine="422" w:firstLineChars="200"/>
        <w:jc w:val="left"/>
        <w:rPr>
          <w:rFonts w:ascii="宋体" w:hAnsi="宋体"/>
          <w:bCs/>
          <w:color w:val="000000"/>
          <w:szCs w:val="21"/>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7</w:t>
      </w:r>
      <w:r>
        <w:rPr>
          <w:rFonts w:hint="eastAsia" w:ascii="宋体" w:hAnsi="宋体"/>
          <w:b/>
          <w:color w:val="000000"/>
          <w:szCs w:val="21"/>
          <w:highlight w:val="none"/>
        </w:rPr>
        <w:t>质量要求：</w:t>
      </w:r>
      <w:r>
        <w:rPr>
          <w:rFonts w:hint="eastAsia" w:ascii="宋体" w:hAnsi="宋体"/>
          <w:bCs/>
          <w:color w:val="000000"/>
          <w:szCs w:val="21"/>
          <w:highlight w:val="none"/>
        </w:rPr>
        <w:t>满足国家现行规范、标准、招标文件要求和项目实际需要。</w:t>
      </w:r>
      <w:bookmarkStart w:id="19" w:name="_Toc450314169"/>
      <w:bookmarkStart w:id="20" w:name="_Toc441059941"/>
      <w:bookmarkStart w:id="21" w:name="_Toc16098"/>
      <w:bookmarkStart w:id="22" w:name="_Toc30993"/>
      <w:bookmarkStart w:id="23" w:name="_Toc31663"/>
      <w:bookmarkStart w:id="24" w:name="_Toc530736522"/>
      <w:bookmarkStart w:id="25" w:name="_Toc450657241"/>
      <w:bookmarkStart w:id="26" w:name="_Toc441064052"/>
    </w:p>
    <w:p w14:paraId="5ABE74BC">
      <w:pPr>
        <w:pStyle w:val="3"/>
        <w:rPr>
          <w:rFonts w:hint="eastAsia"/>
          <w:sz w:val="24"/>
          <w:szCs w:val="24"/>
          <w:highlight w:val="none"/>
        </w:rPr>
      </w:pPr>
      <w:bookmarkStart w:id="27" w:name="_Toc29219"/>
      <w:bookmarkStart w:id="28" w:name="_Toc31695"/>
      <w:bookmarkStart w:id="29" w:name="_Toc25534"/>
      <w:bookmarkStart w:id="30" w:name="_Toc11493"/>
      <w:bookmarkStart w:id="31" w:name="_Toc32166"/>
      <w:r>
        <w:rPr>
          <w:rFonts w:hint="eastAsia"/>
          <w:sz w:val="24"/>
          <w:szCs w:val="24"/>
          <w:highlight w:val="none"/>
        </w:rPr>
        <w:t>2 投标人资格要求</w:t>
      </w:r>
      <w:bookmarkEnd w:id="19"/>
      <w:bookmarkEnd w:id="20"/>
      <w:bookmarkEnd w:id="21"/>
      <w:bookmarkEnd w:id="22"/>
      <w:bookmarkEnd w:id="23"/>
      <w:bookmarkEnd w:id="24"/>
      <w:bookmarkEnd w:id="25"/>
      <w:bookmarkEnd w:id="26"/>
      <w:bookmarkEnd w:id="27"/>
      <w:bookmarkEnd w:id="28"/>
      <w:bookmarkEnd w:id="29"/>
      <w:bookmarkEnd w:id="30"/>
      <w:bookmarkEnd w:id="31"/>
    </w:p>
    <w:p w14:paraId="03BFA4F1">
      <w:pPr>
        <w:wordWrap w:val="0"/>
        <w:spacing w:line="360" w:lineRule="auto"/>
        <w:ind w:firstLine="420" w:firstLineChars="200"/>
        <w:textAlignment w:val="baseline"/>
        <w:rPr>
          <w:rFonts w:hint="eastAsia" w:ascii="宋体" w:hAnsi="宋体" w:eastAsia="宋体" w:cs="Times New Roman"/>
          <w:szCs w:val="24"/>
          <w:highlight w:val="none"/>
        </w:rPr>
      </w:pPr>
      <w:bookmarkStart w:id="32" w:name="_Toc18885"/>
      <w:bookmarkStart w:id="33" w:name="_Toc3842"/>
      <w:bookmarkStart w:id="34" w:name="_Toc22747"/>
      <w:r>
        <w:rPr>
          <w:rFonts w:hint="eastAsia" w:ascii="宋体" w:hAnsi="宋体"/>
          <w:szCs w:val="21"/>
          <w:highlight w:val="none"/>
        </w:rPr>
        <w:t>2.1</w:t>
      </w:r>
      <w:r>
        <w:rPr>
          <w:rFonts w:hint="eastAsia" w:ascii="宋体" w:hAnsi="宋体"/>
          <w:highlight w:val="none"/>
        </w:rPr>
        <w:t>投标人</w:t>
      </w:r>
      <w:r>
        <w:rPr>
          <w:rFonts w:hint="eastAsia" w:ascii="宋体" w:hAnsi="宋体" w:eastAsia="宋体" w:cs="Times New Roman"/>
          <w:highlight w:val="none"/>
        </w:rPr>
        <w:t>为中华人民共和国境内依法设立的</w:t>
      </w:r>
      <w:r>
        <w:rPr>
          <w:rFonts w:hint="eastAsia" w:ascii="宋体" w:hAnsi="宋体" w:eastAsia="宋体" w:cs="宋体"/>
          <w:color w:val="auto"/>
          <w:szCs w:val="21"/>
          <w:highlight w:val="none"/>
        </w:rPr>
        <w:t>独立法人</w:t>
      </w:r>
      <w:r>
        <w:rPr>
          <w:rFonts w:hint="eastAsia" w:ascii="宋体" w:hAnsi="宋体" w:eastAsia="宋体" w:cs="Times New Roman"/>
          <w:highlight w:val="none"/>
        </w:rPr>
        <w:t>或其他组织，具备有效的营业执照。</w:t>
      </w:r>
      <w:r>
        <w:rPr>
          <w:rFonts w:hint="eastAsia" w:ascii="宋体" w:hAnsi="宋体" w:eastAsia="宋体" w:cs="Times New Roman"/>
          <w:szCs w:val="24"/>
          <w:highlight w:val="none"/>
        </w:rPr>
        <w:t xml:space="preserve">  </w:t>
      </w:r>
    </w:p>
    <w:p w14:paraId="5C296706">
      <w:pPr>
        <w:wordWrap w:val="0"/>
        <w:spacing w:line="360" w:lineRule="auto"/>
        <w:ind w:firstLine="420" w:firstLineChars="200"/>
        <w:textAlignment w:val="baseline"/>
        <w:rPr>
          <w:rFonts w:hint="eastAsia" w:ascii="宋体" w:hAnsi="宋体" w:eastAsia="宋体" w:cs="Times New Roman"/>
          <w:szCs w:val="24"/>
          <w:highlight w:val="none"/>
          <w:lang w:eastAsia="zh-CN"/>
        </w:rPr>
      </w:pPr>
      <w:r>
        <w:rPr>
          <w:rFonts w:hint="eastAsia" w:ascii="宋体" w:hAnsi="宋体" w:eastAsia="宋体" w:cs="Times New Roman"/>
          <w:szCs w:val="24"/>
          <w:highlight w:val="none"/>
        </w:rPr>
        <w:t>2.2</w:t>
      </w:r>
      <w:r>
        <w:rPr>
          <w:rFonts w:hint="eastAsia" w:ascii="宋体" w:hAnsi="宋体" w:cs="Times New Roman"/>
          <w:spacing w:val="0"/>
          <w:szCs w:val="24"/>
          <w:highlight w:val="none"/>
          <w:lang w:eastAsia="zh-CN"/>
        </w:rPr>
        <w:t>自招标公告发布之日至投标截止时间止</w:t>
      </w:r>
      <w:r>
        <w:rPr>
          <w:rFonts w:hint="eastAsia" w:ascii="宋体" w:hAnsi="宋体" w:eastAsia="宋体" w:cs="Times New Roman"/>
          <w:spacing w:val="0"/>
          <w:szCs w:val="24"/>
          <w:highlight w:val="none"/>
        </w:rPr>
        <w:t>对在“信用中国”网站</w:t>
      </w:r>
      <w:r>
        <w:rPr>
          <w:rFonts w:hint="eastAsia" w:ascii="宋体" w:hAnsi="宋体" w:eastAsia="宋体"/>
          <w:color w:val="000000"/>
          <w:szCs w:val="21"/>
          <w:highlight w:val="none"/>
          <w:lang w:val="en-US" w:eastAsia="zh-CN"/>
        </w:rPr>
        <w:t>（信用中国网址：https://www.creditchina.gov.cn/）</w:t>
      </w:r>
      <w:r>
        <w:rPr>
          <w:rFonts w:hint="eastAsia" w:ascii="宋体" w:hAnsi="宋体" w:eastAsia="宋体" w:cs="Times New Roman"/>
          <w:spacing w:val="0"/>
          <w:szCs w:val="24"/>
          <w:highlight w:val="none"/>
        </w:rPr>
        <w:t>列入失信被执行人、重大税收违法失信主体</w:t>
      </w:r>
      <w:r>
        <w:rPr>
          <w:rFonts w:hint="eastAsia" w:ascii="宋体" w:hAnsi="宋体" w:cs="Times New Roman"/>
          <w:spacing w:val="0"/>
          <w:szCs w:val="24"/>
          <w:highlight w:val="none"/>
          <w:lang w:eastAsia="zh-CN"/>
        </w:rPr>
        <w:t>、</w:t>
      </w:r>
      <w:r>
        <w:rPr>
          <w:rFonts w:hint="eastAsia" w:ascii="宋体" w:hAnsi="宋体" w:eastAsia="宋体" w:cs="Times New Roman"/>
          <w:color w:val="000000"/>
          <w:spacing w:val="0"/>
          <w:szCs w:val="21"/>
          <w:highlight w:val="none"/>
        </w:rPr>
        <w:t>政府采购严重违法失信行为</w:t>
      </w:r>
      <w:r>
        <w:rPr>
          <w:rFonts w:hint="eastAsia" w:ascii="宋体" w:hAnsi="宋体" w:eastAsia="宋体" w:cs="Times New Roman"/>
          <w:spacing w:val="0"/>
          <w:szCs w:val="24"/>
          <w:highlight w:val="none"/>
        </w:rPr>
        <w:t>记录名单</w:t>
      </w:r>
      <w:r>
        <w:rPr>
          <w:rFonts w:hint="eastAsia" w:ascii="宋体" w:hAnsi="宋体" w:eastAsia="宋体" w:cs="Times New Roman"/>
          <w:spacing w:val="0"/>
          <w:szCs w:val="24"/>
          <w:highlight w:val="none"/>
          <w:lang w:val="en-US" w:eastAsia="zh-CN"/>
        </w:rPr>
        <w:t>的，</w:t>
      </w:r>
      <w:r>
        <w:rPr>
          <w:rFonts w:hint="eastAsia" w:ascii="宋体" w:hAnsi="宋体" w:eastAsia="宋体" w:cs="Times New Roman"/>
          <w:spacing w:val="0"/>
          <w:szCs w:val="24"/>
          <w:highlight w:val="none"/>
        </w:rPr>
        <w:t>将被拒绝参与本次采购活动。</w:t>
      </w:r>
      <w:r>
        <w:rPr>
          <w:rFonts w:hint="eastAsia" w:ascii="宋体" w:hAnsi="宋体" w:eastAsia="宋体" w:cs="Times New Roman"/>
          <w:szCs w:val="24"/>
          <w:highlight w:val="none"/>
        </w:rPr>
        <w:t>已执行完毕或不再执行的除外</w:t>
      </w:r>
      <w:r>
        <w:rPr>
          <w:rFonts w:hint="eastAsia" w:ascii="宋体" w:hAnsi="宋体" w:eastAsia="宋体" w:cs="Times New Roman"/>
          <w:szCs w:val="24"/>
          <w:highlight w:val="none"/>
          <w:lang w:eastAsia="zh-CN"/>
        </w:rPr>
        <w:t>。</w:t>
      </w:r>
    </w:p>
    <w:p w14:paraId="5C2AF441">
      <w:pPr>
        <w:wordWrap w:val="0"/>
        <w:spacing w:line="360" w:lineRule="auto"/>
        <w:ind w:firstLine="420" w:firstLineChars="200"/>
        <w:textAlignment w:val="baseline"/>
        <w:rPr>
          <w:rFonts w:hint="eastAsia" w:ascii="宋体" w:hAnsi="宋体" w:cs="Times New Roman"/>
          <w:szCs w:val="24"/>
          <w:highlight w:val="none"/>
          <w:lang w:eastAsia="zh-CN"/>
        </w:rPr>
      </w:pPr>
      <w:r>
        <w:rPr>
          <w:rFonts w:hint="eastAsia" w:ascii="宋体" w:hAnsi="宋体" w:eastAsia="宋体" w:cs="Times New Roman"/>
          <w:szCs w:val="24"/>
          <w:highlight w:val="none"/>
          <w:lang w:val="en-US" w:eastAsia="zh-CN"/>
        </w:rPr>
        <w:t>2.</w:t>
      </w:r>
      <w:r>
        <w:rPr>
          <w:rFonts w:hint="eastAsia" w:ascii="宋体" w:hAnsi="宋体" w:cs="Times New Roman"/>
          <w:szCs w:val="24"/>
          <w:highlight w:val="none"/>
          <w:lang w:val="en-US" w:eastAsia="zh-CN"/>
        </w:rPr>
        <w:t>3</w:t>
      </w:r>
      <w:r>
        <w:rPr>
          <w:rFonts w:hint="eastAsia" w:ascii="宋体" w:hAnsi="宋体" w:eastAsia="宋体" w:cs="Times New Roman"/>
          <w:szCs w:val="24"/>
          <w:highlight w:val="none"/>
          <w:lang w:val="en-US" w:eastAsia="zh-CN"/>
        </w:rPr>
        <w:t>投标人</w:t>
      </w:r>
      <w:r>
        <w:rPr>
          <w:rFonts w:hint="eastAsia" w:ascii="宋体" w:hAnsi="宋体" w:cs="Times New Roman"/>
          <w:szCs w:val="24"/>
          <w:highlight w:val="none"/>
          <w:lang w:eastAsia="zh-CN"/>
        </w:rPr>
        <w:t>提供</w:t>
      </w:r>
      <w:r>
        <w:rPr>
          <w:rFonts w:hint="eastAsia" w:ascii="宋体" w:hAnsi="宋体" w:cs="Times New Roman"/>
          <w:szCs w:val="24"/>
          <w:highlight w:val="none"/>
          <w:lang w:val="en-US" w:eastAsia="zh-CN"/>
        </w:rPr>
        <w:t>由第三方出具的</w:t>
      </w:r>
      <w:r>
        <w:rPr>
          <w:rFonts w:hint="eastAsia" w:ascii="宋体" w:hAnsi="宋体" w:cs="Times New Roman"/>
          <w:szCs w:val="24"/>
          <w:highlight w:val="none"/>
          <w:lang w:eastAsia="zh-CN"/>
        </w:rPr>
        <w:t>2023或2024年度</w:t>
      </w:r>
      <w:r>
        <w:rPr>
          <w:rFonts w:hint="eastAsia" w:ascii="宋体" w:hAnsi="宋体" w:eastAsia="宋体" w:cs="Times New Roman"/>
          <w:szCs w:val="24"/>
          <w:highlight w:val="none"/>
          <w:lang w:eastAsia="zh-CN"/>
        </w:rPr>
        <w:t>的财务报表</w:t>
      </w:r>
      <w:r>
        <w:rPr>
          <w:rFonts w:hint="eastAsia" w:ascii="宋体" w:hAnsi="宋体" w:cs="Times New Roman"/>
          <w:szCs w:val="24"/>
          <w:highlight w:val="none"/>
          <w:lang w:eastAsia="zh-CN"/>
        </w:rPr>
        <w:t>（显示净利润</w:t>
      </w:r>
      <w:r>
        <w:rPr>
          <w:rFonts w:hint="eastAsia" w:ascii="宋体" w:hAnsi="宋体" w:cs="Times New Roman"/>
          <w:szCs w:val="24"/>
          <w:highlight w:val="none"/>
          <w:lang w:val="en-US" w:eastAsia="zh-CN"/>
        </w:rPr>
        <w:t>为正值）或</w:t>
      </w:r>
      <w:r>
        <w:rPr>
          <w:rFonts w:hint="eastAsia" w:ascii="宋体" w:hAnsi="宋体" w:cs="Times New Roman"/>
          <w:szCs w:val="24"/>
          <w:highlight w:val="none"/>
          <w:lang w:eastAsia="zh-CN"/>
        </w:rPr>
        <w:t>提供基本户开户银行在投标截止前30日内开具的资信证明。</w:t>
      </w:r>
    </w:p>
    <w:p w14:paraId="2F8C98DA">
      <w:pPr>
        <w:wordWrap w:val="0"/>
        <w:spacing w:line="360" w:lineRule="auto"/>
        <w:ind w:firstLine="420" w:firstLineChars="200"/>
        <w:textAlignment w:val="baseline"/>
        <w:rPr>
          <w:rFonts w:hint="eastAsia" w:ascii="宋体" w:hAnsi="宋体"/>
          <w:szCs w:val="21"/>
          <w:highlight w:val="none"/>
        </w:rPr>
      </w:pPr>
      <w:r>
        <w:rPr>
          <w:rFonts w:hint="eastAsia" w:ascii="宋体" w:hAnsi="宋体" w:eastAsia="宋体" w:cs="Times New Roman"/>
          <w:highlight w:val="none"/>
          <w:lang w:val="en-US" w:eastAsia="zh-CN"/>
        </w:rPr>
        <w:t>2.</w:t>
      </w:r>
      <w:r>
        <w:rPr>
          <w:rFonts w:hint="eastAsia" w:ascii="宋体" w:hAnsi="宋体" w:cs="Times New Roman"/>
          <w:highlight w:val="none"/>
          <w:lang w:val="en-US" w:eastAsia="zh-CN"/>
        </w:rPr>
        <w:t>4</w:t>
      </w:r>
      <w:r>
        <w:rPr>
          <w:rFonts w:hint="eastAsia" w:ascii="宋体" w:hAnsi="宋体" w:eastAsia="宋体" w:cs="Times New Roman"/>
          <w:highlight w:val="none"/>
        </w:rPr>
        <w:t>投标人没有处于被责令</w:t>
      </w:r>
      <w:r>
        <w:rPr>
          <w:rFonts w:hint="eastAsia" w:ascii="宋体" w:hAnsi="宋体"/>
          <w:highlight w:val="none"/>
        </w:rPr>
        <w:t>停业，或投标资格被行政主管部门取消，或财产被接管、冻结、破产状态，在投标截止前3年内没有骗取中标、严重违约或重大安全质量事故。</w:t>
      </w:r>
    </w:p>
    <w:p w14:paraId="6291A52D">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5</w:t>
      </w:r>
      <w:r>
        <w:rPr>
          <w:rFonts w:hint="eastAsia" w:ascii="宋体" w:hAnsi="宋体"/>
          <w:szCs w:val="21"/>
          <w:highlight w:val="none"/>
        </w:rPr>
        <w:t>其他要求：单位负责人为同一人或者存在控股、管理关系的不同单位，不得参加同一标段投标或者未划分标段的同一招标项目投标。</w:t>
      </w:r>
    </w:p>
    <w:p w14:paraId="35EA9C37">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6</w:t>
      </w:r>
      <w:r>
        <w:rPr>
          <w:rFonts w:hint="eastAsia" w:ascii="宋体" w:hAnsi="宋体"/>
          <w:szCs w:val="21"/>
          <w:highlight w:val="none"/>
        </w:rPr>
        <w:t>联合体投标：本次招标不接受联合体投标。</w:t>
      </w:r>
    </w:p>
    <w:p w14:paraId="77AD9EE3">
      <w:pPr>
        <w:pStyle w:val="3"/>
        <w:rPr>
          <w:rFonts w:hint="eastAsia"/>
          <w:sz w:val="24"/>
          <w:szCs w:val="24"/>
          <w:highlight w:val="none"/>
        </w:rPr>
      </w:pPr>
      <w:bookmarkStart w:id="35" w:name="_Toc20188"/>
      <w:bookmarkStart w:id="36" w:name="_Toc24486"/>
      <w:r>
        <w:rPr>
          <w:rFonts w:hint="eastAsia"/>
          <w:sz w:val="24"/>
          <w:szCs w:val="24"/>
          <w:highlight w:val="none"/>
        </w:rPr>
        <w:t>3 资格审查方式</w:t>
      </w:r>
      <w:bookmarkEnd w:id="32"/>
      <w:bookmarkEnd w:id="33"/>
      <w:bookmarkEnd w:id="34"/>
      <w:bookmarkEnd w:id="35"/>
      <w:bookmarkEnd w:id="36"/>
    </w:p>
    <w:p w14:paraId="602D1C6E">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本项目采用资格后审方式。</w:t>
      </w:r>
    </w:p>
    <w:p w14:paraId="08EE8ECE">
      <w:pPr>
        <w:pStyle w:val="3"/>
        <w:rPr>
          <w:rFonts w:hint="eastAsia"/>
          <w:sz w:val="24"/>
          <w:szCs w:val="24"/>
          <w:highlight w:val="none"/>
        </w:rPr>
      </w:pPr>
      <w:bookmarkStart w:id="37" w:name="_Toc7571"/>
      <w:bookmarkStart w:id="38" w:name="_Toc31660"/>
      <w:bookmarkStart w:id="39" w:name="_Toc450314170"/>
      <w:bookmarkStart w:id="40" w:name="_Toc7570"/>
      <w:bookmarkStart w:id="41" w:name="_Toc17760"/>
      <w:bookmarkStart w:id="42" w:name="_Toc8846"/>
      <w:bookmarkStart w:id="43" w:name="_Toc441064053"/>
      <w:bookmarkStart w:id="44" w:name="_Toc31886"/>
      <w:bookmarkStart w:id="45" w:name="_Toc2578"/>
      <w:bookmarkStart w:id="46" w:name="_Toc441059942"/>
      <w:bookmarkStart w:id="47" w:name="_Toc450657242"/>
      <w:bookmarkStart w:id="48" w:name="_Toc530736523"/>
      <w:r>
        <w:rPr>
          <w:rFonts w:hint="eastAsia"/>
          <w:sz w:val="24"/>
          <w:szCs w:val="24"/>
          <w:highlight w:val="none"/>
        </w:rPr>
        <w:t>4 投标报名与招标文件的获取</w:t>
      </w:r>
      <w:bookmarkEnd w:id="37"/>
      <w:bookmarkEnd w:id="38"/>
      <w:bookmarkEnd w:id="39"/>
      <w:bookmarkEnd w:id="40"/>
      <w:bookmarkEnd w:id="41"/>
      <w:bookmarkEnd w:id="42"/>
      <w:bookmarkEnd w:id="43"/>
      <w:bookmarkEnd w:id="44"/>
      <w:bookmarkEnd w:id="45"/>
      <w:bookmarkEnd w:id="46"/>
      <w:bookmarkEnd w:id="47"/>
      <w:bookmarkEnd w:id="48"/>
    </w:p>
    <w:p w14:paraId="690E9D5B">
      <w:pP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.1 </w:t>
      </w:r>
      <w:r>
        <w:rPr>
          <w:rFonts w:hint="eastAsia" w:ascii="宋体" w:hAnsi="宋体"/>
          <w:color w:val="000000"/>
          <w:szCs w:val="21"/>
          <w:highlight w:val="none"/>
        </w:rPr>
        <w:t>投标报名</w:t>
      </w:r>
    </w:p>
    <w:p w14:paraId="3D601EDD">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本项目不需报名。</w:t>
      </w:r>
    </w:p>
    <w:p w14:paraId="3473B2A8">
      <w:pP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.2 </w:t>
      </w:r>
      <w:r>
        <w:rPr>
          <w:rFonts w:hint="eastAsia" w:ascii="宋体" w:hAnsi="宋体"/>
          <w:color w:val="000000"/>
          <w:szCs w:val="21"/>
          <w:highlight w:val="none"/>
        </w:rPr>
        <w:t>招标文件的获取</w:t>
      </w:r>
    </w:p>
    <w:p w14:paraId="7C0D2DC9">
      <w:pPr>
        <w:spacing w:line="348" w:lineRule="auto"/>
        <w:ind w:firstLine="420" w:firstLineChars="200"/>
        <w:rPr>
          <w:rFonts w:ascii="宋体" w:hAnsi="宋体" w:cs="宋体"/>
          <w:color w:val="000000"/>
          <w:kern w:val="0"/>
          <w:szCs w:val="21"/>
          <w:highlight w:val="none"/>
        </w:rPr>
      </w:pPr>
      <w:bookmarkStart w:id="49" w:name="_Toc27494"/>
      <w:bookmarkStart w:id="50" w:name="_Toc19311"/>
      <w:bookmarkStart w:id="51" w:name="_Toc450657243"/>
      <w:bookmarkStart w:id="52" w:name="_Toc2465"/>
      <w:bookmarkStart w:id="53" w:name="_Toc16275"/>
      <w:bookmarkStart w:id="54" w:name="_Toc441059943"/>
      <w:bookmarkStart w:id="55" w:name="_Toc450314171"/>
      <w:bookmarkStart w:id="56" w:name="_Toc32053"/>
      <w:bookmarkStart w:id="57" w:name="_Toc530736524"/>
      <w:bookmarkStart w:id="58" w:name="_Toc441064054"/>
      <w:r>
        <w:rPr>
          <w:rFonts w:hint="eastAsia" w:ascii="宋体" w:hAnsi="宋体" w:cs="宋体"/>
          <w:color w:val="000000"/>
          <w:kern w:val="0"/>
          <w:szCs w:val="21"/>
          <w:highlight w:val="none"/>
        </w:rPr>
        <w:t>潜在投标人可登录</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ascii="宋体" w:hAnsi="宋体"/>
          <w:highlight w:val="none"/>
          <w:lang w:val="en-US" w:eastAsia="zh-CN"/>
        </w:rPr>
        <w:t>南宁轨道地产官网（http://www.nngddc.com/）</w:t>
      </w:r>
      <w:r>
        <w:rPr>
          <w:rFonts w:hint="eastAsia" w:ascii="宋体" w:hAnsi="宋体" w:cs="宋体"/>
          <w:color w:val="000000"/>
          <w:kern w:val="0"/>
          <w:szCs w:val="21"/>
          <w:highlight w:val="none"/>
        </w:rPr>
        <w:t>下载招标文件及相关资料。</w:t>
      </w:r>
    </w:p>
    <w:p w14:paraId="5516575B">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注：投标人如未按要求或未完整下载相关文件，或由于未及时关注招标文件补充通知（补遗）、答疑等相关项目信息而影响投标的，其责任由投标人自行承担。</w:t>
      </w:r>
    </w:p>
    <w:p w14:paraId="1EC75413">
      <w:pPr>
        <w:pStyle w:val="3"/>
        <w:rPr>
          <w:rFonts w:hint="eastAsia"/>
          <w:strike w:val="0"/>
          <w:sz w:val="24"/>
          <w:szCs w:val="24"/>
          <w:highlight w:val="none"/>
        </w:rPr>
      </w:pPr>
      <w:bookmarkStart w:id="59" w:name="_Toc12041"/>
      <w:bookmarkStart w:id="60" w:name="_Toc24392"/>
      <w:bookmarkStart w:id="61" w:name="_Toc13494"/>
      <w:r>
        <w:rPr>
          <w:rFonts w:hint="eastAsia"/>
          <w:sz w:val="24"/>
          <w:szCs w:val="24"/>
          <w:highlight w:val="none"/>
        </w:rPr>
        <w:t>5 投标文件的递交</w:t>
      </w:r>
      <w:bookmarkEnd w:id="49"/>
      <w:bookmarkEnd w:id="50"/>
      <w:bookmarkEnd w:id="51"/>
      <w:bookmarkEnd w:id="52"/>
      <w:bookmarkEnd w:id="53"/>
      <w:bookmarkEnd w:id="54"/>
      <w:bookmarkEnd w:id="55"/>
      <w:bookmarkEnd w:id="56"/>
      <w:bookmarkEnd w:id="57"/>
      <w:bookmarkEnd w:id="58"/>
      <w:bookmarkEnd w:id="59"/>
      <w:bookmarkEnd w:id="60"/>
      <w:bookmarkEnd w:id="61"/>
    </w:p>
    <w:p w14:paraId="0AFC6C35">
      <w:pPr>
        <w:widowControl/>
        <w:spacing w:line="360" w:lineRule="auto"/>
        <w:ind w:firstLine="420" w:firstLineChars="200"/>
        <w:rPr>
          <w:rFonts w:ascii="宋体" w:hAnsi="宋体"/>
          <w:color w:val="000000"/>
          <w:highlight w:val="none"/>
        </w:rPr>
      </w:pPr>
      <w:r>
        <w:rPr>
          <w:rFonts w:hint="eastAsia" w:ascii="宋体" w:hAnsi="宋体"/>
          <w:color w:val="000000"/>
          <w:highlight w:val="none"/>
        </w:rPr>
        <w:t>5.1投标文件递交的截止时间（投标截止时间，下同）为</w:t>
      </w:r>
      <w:bookmarkStart w:id="62" w:name="_Hlk41635943"/>
      <w:r>
        <w:rPr>
          <w:rFonts w:hint="eastAsia" w:ascii="宋体" w:hAnsi="宋体"/>
          <w:color w:val="000000"/>
          <w:highlight w:val="none"/>
        </w:rPr>
        <w:t>202</w:t>
      </w:r>
      <w:r>
        <w:rPr>
          <w:rFonts w:hint="eastAsia" w:ascii="宋体" w:hAnsi="宋体"/>
          <w:color w:val="000000"/>
          <w:highlight w:val="none"/>
          <w:lang w:val="en-US" w:eastAsia="zh-CN"/>
        </w:rPr>
        <w:t>5</w:t>
      </w:r>
      <w:r>
        <w:rPr>
          <w:rFonts w:hint="eastAsia" w:ascii="宋体" w:hAnsi="宋体"/>
          <w:color w:val="000000"/>
          <w:highlight w:val="none"/>
        </w:rPr>
        <w:t>年</w:t>
      </w:r>
      <w:r>
        <w:rPr>
          <w:rFonts w:hint="eastAsia" w:ascii="宋体" w:hAnsi="宋体"/>
          <w:color w:val="000000"/>
          <w:highlight w:val="none"/>
          <w:lang w:val="en-US" w:eastAsia="zh-CN"/>
        </w:rPr>
        <w:t>8</w:t>
      </w:r>
      <w:r>
        <w:rPr>
          <w:rFonts w:hint="eastAsia" w:ascii="宋体" w:hAnsi="宋体"/>
          <w:color w:val="000000"/>
          <w:highlight w:val="none"/>
        </w:rPr>
        <w:t>月</w:t>
      </w:r>
      <w:r>
        <w:rPr>
          <w:rFonts w:hint="eastAsia" w:ascii="宋体" w:hAnsi="宋体"/>
          <w:color w:val="000000"/>
          <w:highlight w:val="none"/>
          <w:lang w:val="en-US" w:eastAsia="zh-CN"/>
        </w:rPr>
        <w:t>20</w:t>
      </w:r>
      <w:r>
        <w:rPr>
          <w:rFonts w:hint="eastAsia" w:ascii="宋体" w:hAnsi="宋体"/>
          <w:color w:val="000000"/>
          <w:highlight w:val="none"/>
        </w:rPr>
        <w:t>日</w:t>
      </w:r>
      <w:r>
        <w:rPr>
          <w:rFonts w:hint="eastAsia" w:ascii="宋体" w:hAnsi="宋体"/>
          <w:color w:val="000000"/>
          <w:highlight w:val="none"/>
          <w:lang w:val="en-US" w:eastAsia="zh-CN"/>
        </w:rPr>
        <w:t>15</w:t>
      </w:r>
      <w:r>
        <w:rPr>
          <w:rFonts w:hint="eastAsia" w:ascii="宋体" w:hAnsi="宋体"/>
          <w:color w:val="000000"/>
          <w:highlight w:val="none"/>
        </w:rPr>
        <w:t>时</w:t>
      </w:r>
      <w:r>
        <w:rPr>
          <w:rFonts w:hint="eastAsia" w:ascii="宋体" w:hAnsi="宋体"/>
          <w:color w:val="000000"/>
          <w:highlight w:val="none"/>
          <w:lang w:val="en-US" w:eastAsia="zh-CN"/>
        </w:rPr>
        <w:t>00</w:t>
      </w:r>
      <w:r>
        <w:rPr>
          <w:rFonts w:hint="eastAsia" w:ascii="宋体" w:hAnsi="宋体"/>
          <w:b w:val="0"/>
          <w:bCs/>
          <w:color w:val="000000"/>
          <w:highlight w:val="none"/>
        </w:rPr>
        <w:t>分</w:t>
      </w:r>
      <w:bookmarkEnd w:id="62"/>
      <w:r>
        <w:rPr>
          <w:rFonts w:hint="eastAsia" w:ascii="宋体" w:hAnsi="宋体"/>
          <w:b/>
          <w:color w:val="000000"/>
          <w:highlight w:val="none"/>
        </w:rPr>
        <w:t>。</w:t>
      </w:r>
    </w:p>
    <w:p w14:paraId="5032373E">
      <w:pPr>
        <w:widowControl/>
        <w:spacing w:line="360" w:lineRule="auto"/>
        <w:ind w:firstLine="420" w:firstLineChars="200"/>
        <w:rPr>
          <w:rFonts w:ascii="宋体" w:hAnsi="宋体"/>
          <w:color w:val="000000"/>
          <w:highlight w:val="none"/>
        </w:rPr>
      </w:pPr>
      <w:r>
        <w:rPr>
          <w:rFonts w:hint="eastAsia" w:ascii="宋体" w:hAnsi="宋体"/>
          <w:color w:val="000000"/>
          <w:highlight w:val="none"/>
        </w:rPr>
        <w:t>5.2投标文件递交地点：</w:t>
      </w:r>
      <w:r>
        <w:rPr>
          <w:rFonts w:hint="eastAsia"/>
          <w:kern w:val="0"/>
          <w:szCs w:val="21"/>
          <w:highlight w:val="none"/>
          <w:lang w:val="en-US" w:eastAsia="zh-CN"/>
        </w:rPr>
        <w:t>南宁市青秀区凤岭北路111号南宁国际旅游中心3号楼（C座）28楼2801开标室</w:t>
      </w:r>
      <w:r>
        <w:rPr>
          <w:rFonts w:hint="eastAsia"/>
          <w:highlight w:val="none"/>
        </w:rPr>
        <w:t>。</w:t>
      </w:r>
    </w:p>
    <w:p w14:paraId="4A0247BC">
      <w:pPr>
        <w:widowControl/>
        <w:spacing w:line="360" w:lineRule="auto"/>
        <w:ind w:firstLine="420" w:firstLineChars="200"/>
        <w:rPr>
          <w:rFonts w:ascii="宋体" w:hAnsi="宋体"/>
          <w:color w:val="000000"/>
          <w:kern w:val="0"/>
          <w:szCs w:val="21"/>
          <w:highlight w:val="none"/>
        </w:rPr>
      </w:pPr>
      <w:r>
        <w:rPr>
          <w:rFonts w:hint="eastAsia" w:ascii="宋体" w:hAnsi="宋体"/>
          <w:color w:val="000000"/>
          <w:highlight w:val="none"/>
        </w:rPr>
        <w:t>5.3逾期送达的、未送达指定地点的或者不按照招标文件要求密封的投标文件，将予以拒收</w:t>
      </w:r>
      <w:bookmarkStart w:id="63" w:name="_Toc19265"/>
      <w:bookmarkStart w:id="64" w:name="_Toc9663"/>
      <w:bookmarkStart w:id="65" w:name="_Toc32545"/>
      <w:bookmarkStart w:id="66" w:name="_Toc450314172"/>
      <w:bookmarkStart w:id="67" w:name="_Toc441059944"/>
      <w:bookmarkStart w:id="68" w:name="_Toc450657244"/>
      <w:bookmarkStart w:id="69" w:name="_Toc441064055"/>
      <w:bookmarkStart w:id="70" w:name="_Toc530736525"/>
      <w:bookmarkStart w:id="71" w:name="_Toc10626"/>
      <w:r>
        <w:rPr>
          <w:rFonts w:hint="eastAsia" w:ascii="宋体" w:hAnsi="宋体"/>
          <w:color w:val="000000"/>
          <w:highlight w:val="none"/>
        </w:rPr>
        <w:t>。</w:t>
      </w:r>
    </w:p>
    <w:p w14:paraId="6F110F1E">
      <w:pPr>
        <w:pStyle w:val="3"/>
        <w:rPr>
          <w:rFonts w:hint="eastAsia"/>
          <w:sz w:val="24"/>
          <w:szCs w:val="24"/>
          <w:highlight w:val="none"/>
        </w:rPr>
      </w:pPr>
      <w:bookmarkStart w:id="72" w:name="_Toc2773"/>
      <w:bookmarkStart w:id="73" w:name="_Toc9600"/>
      <w:bookmarkStart w:id="74" w:name="_Toc13044"/>
      <w:bookmarkStart w:id="75" w:name="_Toc8826"/>
      <w:r>
        <w:rPr>
          <w:rFonts w:hint="eastAsia"/>
          <w:sz w:val="24"/>
          <w:szCs w:val="24"/>
          <w:highlight w:val="none"/>
        </w:rPr>
        <w:t>6 发布公告的媒介</w:t>
      </w:r>
      <w:bookmarkEnd w:id="63"/>
      <w:bookmarkEnd w:id="64"/>
      <w:bookmarkEnd w:id="65"/>
      <w:bookmarkEnd w:id="66"/>
      <w:bookmarkEnd w:id="67"/>
      <w:bookmarkEnd w:id="68"/>
      <w:bookmarkEnd w:id="69"/>
      <w:bookmarkEnd w:id="70"/>
      <w:bookmarkEnd w:id="71"/>
      <w:bookmarkEnd w:id="72"/>
      <w:bookmarkEnd w:id="73"/>
      <w:bookmarkEnd w:id="74"/>
      <w:bookmarkEnd w:id="75"/>
    </w:p>
    <w:p w14:paraId="78C18BFE">
      <w:pPr>
        <w:spacing w:line="360" w:lineRule="auto"/>
        <w:ind w:firstLine="420"/>
        <w:rPr>
          <w:color w:val="000000"/>
          <w:szCs w:val="21"/>
          <w:highlight w:val="none"/>
        </w:rPr>
      </w:pPr>
      <w:bookmarkStart w:id="76" w:name="_Toc441059947"/>
      <w:bookmarkStart w:id="77" w:name="_Toc450657245"/>
      <w:bookmarkStart w:id="78" w:name="_Toc30536"/>
      <w:bookmarkStart w:id="79" w:name="_Toc530736526"/>
      <w:bookmarkStart w:id="80" w:name="_Toc28721"/>
      <w:bookmarkStart w:id="81" w:name="_Toc6933"/>
      <w:bookmarkStart w:id="82" w:name="_Toc441064058"/>
      <w:bookmarkStart w:id="83" w:name="_Toc25335"/>
      <w:bookmarkStart w:id="84" w:name="_Toc27383"/>
      <w:bookmarkStart w:id="85" w:name="_Toc450314175"/>
      <w:bookmarkStart w:id="86" w:name="_Toc234121006"/>
      <w:bookmarkStart w:id="87" w:name="_Toc5510"/>
      <w:bookmarkStart w:id="88" w:name="_Toc530736527"/>
      <w:bookmarkStart w:id="89" w:name="_Toc20028"/>
      <w:bookmarkStart w:id="90" w:name="_Toc13673"/>
      <w:bookmarkStart w:id="91" w:name="_Toc29089"/>
      <w:r>
        <w:rPr>
          <w:color w:val="000000"/>
          <w:szCs w:val="21"/>
          <w:highlight w:val="none"/>
        </w:rPr>
        <w:t>本次招标公告同时在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color w:val="000000"/>
          <w:szCs w:val="21"/>
          <w:highlight w:val="none"/>
        </w:rPr>
        <w:t>上发布。</w:t>
      </w:r>
    </w:p>
    <w:p w14:paraId="35EBBAC8">
      <w:pPr>
        <w:pStyle w:val="3"/>
        <w:rPr>
          <w:rFonts w:hint="eastAsia"/>
          <w:sz w:val="24"/>
          <w:szCs w:val="24"/>
          <w:highlight w:val="none"/>
        </w:rPr>
      </w:pPr>
      <w:bookmarkStart w:id="92" w:name="_Toc27623"/>
      <w:bookmarkStart w:id="93" w:name="_Toc30131"/>
      <w:bookmarkStart w:id="94" w:name="_Toc22600"/>
      <w:r>
        <w:rPr>
          <w:rFonts w:hint="eastAsia"/>
          <w:sz w:val="24"/>
          <w:szCs w:val="24"/>
          <w:highlight w:val="none"/>
        </w:rPr>
        <w:t>7 联系方式</w:t>
      </w:r>
      <w:bookmarkEnd w:id="76"/>
      <w:bookmarkEnd w:id="77"/>
      <w:bookmarkEnd w:id="78"/>
      <w:bookmarkEnd w:id="79"/>
      <w:bookmarkEnd w:id="80"/>
      <w:bookmarkEnd w:id="81"/>
      <w:bookmarkEnd w:id="82"/>
      <w:bookmarkEnd w:id="83"/>
      <w:bookmarkEnd w:id="84"/>
      <w:bookmarkEnd w:id="85"/>
      <w:bookmarkEnd w:id="92"/>
      <w:bookmarkEnd w:id="93"/>
      <w:bookmarkEnd w:id="94"/>
    </w:p>
    <w:tbl>
      <w:tblPr>
        <w:tblStyle w:val="49"/>
        <w:tblpPr w:leftFromText="180" w:rightFromText="180" w:vertAnchor="text" w:horzAnchor="margin" w:tblpY="319"/>
        <w:tblOverlap w:val="never"/>
        <w:tblW w:w="0" w:type="auto"/>
        <w:tblInd w:w="0" w:type="dxa"/>
        <w:tblLayout w:type="autofit"/>
        <w:tblCellMar>
          <w:top w:w="0" w:type="dxa"/>
          <w:left w:w="108" w:type="dxa"/>
          <w:bottom w:w="0" w:type="dxa"/>
          <w:right w:w="108" w:type="dxa"/>
        </w:tblCellMar>
      </w:tblPr>
      <w:tblGrid>
        <w:gridCol w:w="4759"/>
        <w:gridCol w:w="4528"/>
      </w:tblGrid>
      <w:tr w14:paraId="72C84BD7">
        <w:tblPrEx>
          <w:tblCellMar>
            <w:top w:w="0" w:type="dxa"/>
            <w:left w:w="108" w:type="dxa"/>
            <w:bottom w:w="0" w:type="dxa"/>
            <w:right w:w="108" w:type="dxa"/>
          </w:tblCellMar>
        </w:tblPrEx>
        <w:trPr>
          <w:trHeight w:val="567" w:hRule="atLeast"/>
        </w:trPr>
        <w:tc>
          <w:tcPr>
            <w:tcW w:w="4759" w:type="dxa"/>
            <w:noWrap w:val="0"/>
            <w:vAlign w:val="top"/>
          </w:tcPr>
          <w:p w14:paraId="2EBDBE7C">
            <w:pPr>
              <w:rPr>
                <w:color w:val="000000"/>
                <w:highlight w:val="none"/>
                <w:u w:val="single"/>
              </w:rPr>
            </w:pPr>
            <w:bookmarkStart w:id="95" w:name="_Toc14360"/>
            <w:r>
              <w:rPr>
                <w:rFonts w:hint="eastAsia"/>
                <w:color w:val="000000"/>
                <w:highlight w:val="none"/>
              </w:rPr>
              <w:t>招 标 人：</w:t>
            </w:r>
            <w:r>
              <w:rPr>
                <w:rFonts w:hint="eastAsia"/>
                <w:color w:val="000000"/>
                <w:highlight w:val="none"/>
                <w:lang w:val="en-US" w:eastAsia="zh-CN"/>
              </w:rPr>
              <w:t>南宁</w:t>
            </w:r>
            <w:r>
              <w:rPr>
                <w:rFonts w:hint="eastAsia"/>
                <w:color w:val="000000"/>
                <w:highlight w:val="none"/>
              </w:rPr>
              <w:t>轨道地产建筑工程有限责任公司</w:t>
            </w:r>
          </w:p>
        </w:tc>
        <w:tc>
          <w:tcPr>
            <w:tcW w:w="4528" w:type="dxa"/>
            <w:noWrap w:val="0"/>
            <w:vAlign w:val="top"/>
          </w:tcPr>
          <w:p w14:paraId="55EEB48F">
            <w:pPr>
              <w:rPr>
                <w:rFonts w:hint="eastAsia" w:eastAsia="宋体"/>
                <w:color w:val="000000"/>
                <w:highlight w:val="none"/>
                <w:u w:val="single"/>
                <w:lang w:eastAsia="zh-CN"/>
              </w:rPr>
            </w:pPr>
            <w:r>
              <w:rPr>
                <w:rFonts w:hint="eastAsia"/>
                <w:color w:val="000000"/>
                <w:highlight w:val="none"/>
              </w:rPr>
              <w:t>招标代理机构：</w:t>
            </w:r>
            <w:r>
              <w:rPr>
                <w:rFonts w:hint="eastAsia" w:ascii="宋体" w:hAnsi="宋体" w:cs="Arial"/>
                <w:highlight w:val="none"/>
                <w:lang w:eastAsia="zh-CN"/>
              </w:rPr>
              <w:t>广西双科建设工程咨询有限公司</w:t>
            </w:r>
          </w:p>
        </w:tc>
      </w:tr>
      <w:tr w14:paraId="3A08EBC6">
        <w:tblPrEx>
          <w:tblCellMar>
            <w:top w:w="0" w:type="dxa"/>
            <w:left w:w="108" w:type="dxa"/>
            <w:bottom w:w="0" w:type="dxa"/>
            <w:right w:w="108" w:type="dxa"/>
          </w:tblCellMar>
        </w:tblPrEx>
        <w:trPr>
          <w:trHeight w:val="567" w:hRule="atLeast"/>
        </w:trPr>
        <w:tc>
          <w:tcPr>
            <w:tcW w:w="4759" w:type="dxa"/>
            <w:noWrap w:val="0"/>
            <w:vAlign w:val="center"/>
          </w:tcPr>
          <w:p w14:paraId="1C270BA1">
            <w:pPr>
              <w:rPr>
                <w:color w:val="000000"/>
                <w:highlight w:val="none"/>
                <w:u w:val="single"/>
              </w:rPr>
            </w:pPr>
            <w:r>
              <w:rPr>
                <w:rFonts w:hint="eastAsia"/>
                <w:color w:val="000000"/>
                <w:highlight w:val="none"/>
              </w:rPr>
              <w:t>地    址：南宁市青秀区凤岭北路111号南宁国际旅游中心3号楼3</w:t>
            </w:r>
            <w:r>
              <w:rPr>
                <w:rFonts w:hint="eastAsia"/>
                <w:color w:val="000000"/>
                <w:highlight w:val="none"/>
                <w:lang w:val="en-US" w:eastAsia="zh-CN"/>
              </w:rPr>
              <w:t>8</w:t>
            </w:r>
            <w:r>
              <w:rPr>
                <w:rFonts w:hint="eastAsia"/>
                <w:color w:val="000000"/>
                <w:highlight w:val="none"/>
              </w:rPr>
              <w:t>层</w:t>
            </w:r>
          </w:p>
        </w:tc>
        <w:tc>
          <w:tcPr>
            <w:tcW w:w="4528" w:type="dxa"/>
            <w:noWrap w:val="0"/>
            <w:vAlign w:val="center"/>
          </w:tcPr>
          <w:p w14:paraId="158C61E3">
            <w:pPr>
              <w:rPr>
                <w:color w:val="000000"/>
                <w:highlight w:val="none"/>
                <w:u w:val="single"/>
              </w:rPr>
            </w:pPr>
            <w:r>
              <w:rPr>
                <w:rFonts w:hint="eastAsia"/>
                <w:color w:val="000000"/>
                <w:highlight w:val="none"/>
              </w:rPr>
              <w:t>地    址：</w:t>
            </w:r>
            <w:r>
              <w:rPr>
                <w:rFonts w:hint="eastAsia"/>
                <w:color w:val="000000"/>
                <w:highlight w:val="none"/>
                <w:lang w:val="en-US" w:eastAsia="zh-CN"/>
              </w:rPr>
              <w:t>南宁市青秀区凤岭北路111号南宁国际旅游中心3号楼（C座）28楼</w:t>
            </w:r>
          </w:p>
        </w:tc>
      </w:tr>
      <w:tr w14:paraId="4607C6B4">
        <w:tblPrEx>
          <w:tblCellMar>
            <w:top w:w="0" w:type="dxa"/>
            <w:left w:w="108" w:type="dxa"/>
            <w:bottom w:w="0" w:type="dxa"/>
            <w:right w:w="108" w:type="dxa"/>
          </w:tblCellMar>
        </w:tblPrEx>
        <w:trPr>
          <w:trHeight w:val="567" w:hRule="atLeast"/>
        </w:trPr>
        <w:tc>
          <w:tcPr>
            <w:tcW w:w="4759" w:type="dxa"/>
            <w:noWrap w:val="0"/>
            <w:vAlign w:val="center"/>
          </w:tcPr>
          <w:p w14:paraId="0F9CF5A8">
            <w:pPr>
              <w:rPr>
                <w:color w:val="000000"/>
                <w:highlight w:val="none"/>
                <w:u w:val="single"/>
              </w:rPr>
            </w:pPr>
            <w:r>
              <w:rPr>
                <w:rFonts w:hint="eastAsia"/>
                <w:color w:val="000000"/>
                <w:highlight w:val="none"/>
              </w:rPr>
              <w:t>邮    编：</w:t>
            </w:r>
            <w:r>
              <w:rPr>
                <w:rFonts w:hint="eastAsia" w:ascii="宋体" w:hAnsi="宋体" w:cs="宋体"/>
                <w:kern w:val="2"/>
                <w:szCs w:val="24"/>
                <w:highlight w:val="none"/>
              </w:rPr>
              <w:t>530029</w:t>
            </w:r>
          </w:p>
        </w:tc>
        <w:tc>
          <w:tcPr>
            <w:tcW w:w="4528" w:type="dxa"/>
            <w:noWrap w:val="0"/>
            <w:vAlign w:val="center"/>
          </w:tcPr>
          <w:p w14:paraId="6D3DBA35">
            <w:pPr>
              <w:rPr>
                <w:rFonts w:hint="eastAsia" w:eastAsia="宋体"/>
                <w:color w:val="000000"/>
                <w:highlight w:val="none"/>
                <w:u w:val="single"/>
                <w:lang w:val="en-US" w:eastAsia="zh-CN"/>
              </w:rPr>
            </w:pPr>
            <w:r>
              <w:rPr>
                <w:rFonts w:hint="eastAsia"/>
                <w:color w:val="000000"/>
                <w:highlight w:val="none"/>
              </w:rPr>
              <w:t>邮    编：</w:t>
            </w:r>
            <w:r>
              <w:rPr>
                <w:rFonts w:hint="eastAsia" w:ascii="宋体" w:hAnsi="宋体" w:cs="宋体"/>
                <w:highlight w:val="none"/>
              </w:rPr>
              <w:t>53002</w:t>
            </w:r>
            <w:r>
              <w:rPr>
                <w:rFonts w:hint="eastAsia" w:ascii="宋体" w:hAnsi="宋体" w:cs="宋体"/>
                <w:highlight w:val="none"/>
                <w:lang w:val="en-US" w:eastAsia="zh-CN"/>
              </w:rPr>
              <w:t>9</w:t>
            </w:r>
          </w:p>
        </w:tc>
      </w:tr>
      <w:tr w14:paraId="44754CBB">
        <w:tblPrEx>
          <w:tblCellMar>
            <w:top w:w="0" w:type="dxa"/>
            <w:left w:w="108" w:type="dxa"/>
            <w:bottom w:w="0" w:type="dxa"/>
            <w:right w:w="108" w:type="dxa"/>
          </w:tblCellMar>
        </w:tblPrEx>
        <w:trPr>
          <w:trHeight w:val="567" w:hRule="atLeast"/>
        </w:trPr>
        <w:tc>
          <w:tcPr>
            <w:tcW w:w="4759" w:type="dxa"/>
            <w:noWrap w:val="0"/>
            <w:vAlign w:val="center"/>
          </w:tcPr>
          <w:p w14:paraId="648CEE89">
            <w:pPr>
              <w:rPr>
                <w:rFonts w:hint="eastAsia" w:eastAsia="宋体"/>
                <w:color w:val="000000"/>
                <w:highlight w:val="none"/>
                <w:u w:val="single"/>
                <w:lang w:val="en-US" w:eastAsia="zh-CN"/>
              </w:rPr>
            </w:pPr>
            <w:r>
              <w:rPr>
                <w:rFonts w:hint="eastAsia"/>
                <w:color w:val="000000"/>
                <w:highlight w:val="none"/>
              </w:rPr>
              <w:t>联 系 人：</w:t>
            </w:r>
            <w:r>
              <w:rPr>
                <w:rFonts w:hint="eastAsia" w:ascii="宋体" w:hAnsi="宋体" w:cs="宋体"/>
                <w:color w:val="auto"/>
                <w:highlight w:val="none"/>
                <w:lang w:val="en-US" w:eastAsia="zh-CN"/>
              </w:rPr>
              <w:t>唐工</w:t>
            </w:r>
          </w:p>
        </w:tc>
        <w:tc>
          <w:tcPr>
            <w:tcW w:w="4528" w:type="dxa"/>
            <w:noWrap w:val="0"/>
            <w:vAlign w:val="center"/>
          </w:tcPr>
          <w:p w14:paraId="5908E102">
            <w:pPr>
              <w:rPr>
                <w:rFonts w:hint="default" w:eastAsia="宋体"/>
                <w:color w:val="000000"/>
                <w:highlight w:val="none"/>
                <w:u w:val="single"/>
                <w:lang w:val="en-US" w:eastAsia="zh-CN"/>
              </w:rPr>
            </w:pPr>
            <w:r>
              <w:rPr>
                <w:rFonts w:hint="eastAsia"/>
                <w:color w:val="000000"/>
                <w:highlight w:val="none"/>
              </w:rPr>
              <w:t>联 系 人：</w:t>
            </w:r>
            <w:r>
              <w:rPr>
                <w:rFonts w:hint="eastAsia"/>
                <w:color w:val="000000"/>
                <w:highlight w:val="none"/>
                <w:lang w:val="en-US" w:eastAsia="zh-CN"/>
              </w:rPr>
              <w:t>郑路宁、杨堃</w:t>
            </w:r>
          </w:p>
        </w:tc>
      </w:tr>
      <w:tr w14:paraId="5BFA381E">
        <w:tblPrEx>
          <w:tblCellMar>
            <w:top w:w="0" w:type="dxa"/>
            <w:left w:w="108" w:type="dxa"/>
            <w:bottom w:w="0" w:type="dxa"/>
            <w:right w:w="108" w:type="dxa"/>
          </w:tblCellMar>
        </w:tblPrEx>
        <w:trPr>
          <w:trHeight w:val="567" w:hRule="atLeast"/>
        </w:trPr>
        <w:tc>
          <w:tcPr>
            <w:tcW w:w="4759" w:type="dxa"/>
            <w:noWrap w:val="0"/>
            <w:vAlign w:val="center"/>
          </w:tcPr>
          <w:p w14:paraId="1050F875">
            <w:pPr>
              <w:rPr>
                <w:color w:val="000000"/>
                <w:highlight w:val="none"/>
                <w:u w:val="single"/>
              </w:rPr>
            </w:pPr>
            <w:r>
              <w:rPr>
                <w:rFonts w:hint="eastAsia"/>
                <w:color w:val="000000"/>
                <w:highlight w:val="none"/>
              </w:rPr>
              <w:t>电    话：0771-5863298 </w:t>
            </w:r>
          </w:p>
        </w:tc>
        <w:tc>
          <w:tcPr>
            <w:tcW w:w="4528" w:type="dxa"/>
            <w:noWrap w:val="0"/>
            <w:vAlign w:val="center"/>
          </w:tcPr>
          <w:p w14:paraId="28C59878">
            <w:pPr>
              <w:rPr>
                <w:color w:val="000000"/>
                <w:highlight w:val="none"/>
                <w:u w:val="single"/>
              </w:rPr>
            </w:pPr>
            <w:r>
              <w:rPr>
                <w:rFonts w:hint="eastAsia"/>
                <w:color w:val="000000"/>
                <w:highlight w:val="none"/>
              </w:rPr>
              <w:t>电    话：</w:t>
            </w:r>
            <w:r>
              <w:rPr>
                <w:rFonts w:hint="eastAsia"/>
                <w:color w:val="000000"/>
                <w:highlight w:val="none"/>
                <w:lang w:val="zh-CN"/>
              </w:rPr>
              <w:t>0771-</w:t>
            </w:r>
            <w:r>
              <w:rPr>
                <w:rFonts w:hint="eastAsia"/>
                <w:color w:val="000000"/>
                <w:highlight w:val="none"/>
              </w:rPr>
              <w:t>480083</w:t>
            </w:r>
            <w:r>
              <w:rPr>
                <w:rFonts w:hint="eastAsia"/>
                <w:color w:val="000000"/>
                <w:highlight w:val="none"/>
                <w:lang w:val="en-US" w:eastAsia="zh-CN"/>
              </w:rPr>
              <w:t>8</w:t>
            </w:r>
          </w:p>
        </w:tc>
      </w:tr>
      <w:tr w14:paraId="07965782">
        <w:tblPrEx>
          <w:tblCellMar>
            <w:top w:w="0" w:type="dxa"/>
            <w:left w:w="108" w:type="dxa"/>
            <w:bottom w:w="0" w:type="dxa"/>
            <w:right w:w="108" w:type="dxa"/>
          </w:tblCellMar>
        </w:tblPrEx>
        <w:trPr>
          <w:trHeight w:val="567" w:hRule="atLeast"/>
        </w:trPr>
        <w:tc>
          <w:tcPr>
            <w:tcW w:w="4759" w:type="dxa"/>
            <w:noWrap w:val="0"/>
            <w:vAlign w:val="center"/>
          </w:tcPr>
          <w:p w14:paraId="603575DF">
            <w:pPr>
              <w:rPr>
                <w:color w:val="000000"/>
                <w:highlight w:val="none"/>
                <w:u w:val="single"/>
              </w:rPr>
            </w:pPr>
            <w:r>
              <w:rPr>
                <w:rFonts w:hint="eastAsia"/>
                <w:color w:val="000000"/>
                <w:highlight w:val="none"/>
              </w:rPr>
              <w:t>传    真：/</w:t>
            </w:r>
          </w:p>
        </w:tc>
        <w:tc>
          <w:tcPr>
            <w:tcW w:w="4528" w:type="dxa"/>
            <w:noWrap w:val="0"/>
            <w:vAlign w:val="center"/>
          </w:tcPr>
          <w:p w14:paraId="0FF5C065">
            <w:pPr>
              <w:rPr>
                <w:color w:val="000000"/>
                <w:highlight w:val="none"/>
                <w:u w:val="single"/>
              </w:rPr>
            </w:pPr>
            <w:r>
              <w:rPr>
                <w:rFonts w:hint="eastAsia"/>
                <w:color w:val="000000"/>
                <w:highlight w:val="none"/>
              </w:rPr>
              <w:t>传    真：/</w:t>
            </w:r>
          </w:p>
        </w:tc>
      </w:tr>
      <w:tr w14:paraId="525EBE36">
        <w:tblPrEx>
          <w:tblCellMar>
            <w:top w:w="0" w:type="dxa"/>
            <w:left w:w="108" w:type="dxa"/>
            <w:bottom w:w="0" w:type="dxa"/>
            <w:right w:w="108" w:type="dxa"/>
          </w:tblCellMar>
        </w:tblPrEx>
        <w:trPr>
          <w:trHeight w:val="567" w:hRule="atLeast"/>
        </w:trPr>
        <w:tc>
          <w:tcPr>
            <w:tcW w:w="4759" w:type="dxa"/>
            <w:noWrap w:val="0"/>
            <w:vAlign w:val="center"/>
          </w:tcPr>
          <w:p w14:paraId="2EFC5B57">
            <w:pPr>
              <w:rPr>
                <w:color w:val="000000"/>
                <w:highlight w:val="none"/>
              </w:rPr>
            </w:pPr>
            <w:r>
              <w:rPr>
                <w:rFonts w:hint="eastAsia"/>
                <w:color w:val="000000"/>
                <w:highlight w:val="none"/>
              </w:rPr>
              <w:t>电子邮件：/</w:t>
            </w:r>
          </w:p>
        </w:tc>
        <w:tc>
          <w:tcPr>
            <w:tcW w:w="4528" w:type="dxa"/>
            <w:noWrap w:val="0"/>
            <w:vAlign w:val="center"/>
          </w:tcPr>
          <w:p w14:paraId="1B1FFAC3">
            <w:pPr>
              <w:rPr>
                <w:rFonts w:hint="eastAsia" w:eastAsia="宋体"/>
                <w:color w:val="000000"/>
                <w:highlight w:val="none"/>
                <w:u w:val="single"/>
                <w:lang w:eastAsia="zh-CN"/>
              </w:rPr>
            </w:pPr>
            <w:r>
              <w:rPr>
                <w:rFonts w:hint="eastAsia"/>
                <w:color w:val="000000"/>
                <w:highlight w:val="none"/>
              </w:rPr>
              <w:t>电子邮件：</w:t>
            </w:r>
            <w:r>
              <w:rPr>
                <w:rFonts w:hint="eastAsia" w:ascii="宋体" w:hAnsi="宋体"/>
                <w:highlight w:val="none"/>
                <w:lang w:eastAsia="zh-CN"/>
              </w:rPr>
              <w:t>skzb0601@163.com</w:t>
            </w:r>
          </w:p>
        </w:tc>
      </w:tr>
      <w:tr w14:paraId="0DD74F95">
        <w:tblPrEx>
          <w:tblCellMar>
            <w:top w:w="0" w:type="dxa"/>
            <w:left w:w="108" w:type="dxa"/>
            <w:bottom w:w="0" w:type="dxa"/>
            <w:right w:w="108" w:type="dxa"/>
          </w:tblCellMar>
        </w:tblPrEx>
        <w:trPr>
          <w:trHeight w:val="567" w:hRule="atLeast"/>
        </w:trPr>
        <w:tc>
          <w:tcPr>
            <w:tcW w:w="4759" w:type="dxa"/>
            <w:noWrap w:val="0"/>
            <w:vAlign w:val="center"/>
          </w:tcPr>
          <w:p w14:paraId="4ABD4BAF">
            <w:pPr>
              <w:rPr>
                <w:color w:val="000000"/>
                <w:highlight w:val="none"/>
              </w:rPr>
            </w:pPr>
            <w:r>
              <w:rPr>
                <w:rFonts w:hint="eastAsia"/>
                <w:color w:val="000000"/>
                <w:highlight w:val="none"/>
              </w:rPr>
              <w:t>网    址：/</w:t>
            </w:r>
          </w:p>
        </w:tc>
        <w:tc>
          <w:tcPr>
            <w:tcW w:w="4528" w:type="dxa"/>
            <w:noWrap w:val="0"/>
            <w:vAlign w:val="center"/>
          </w:tcPr>
          <w:p w14:paraId="515FEA7E">
            <w:pPr>
              <w:rPr>
                <w:color w:val="000000"/>
                <w:highlight w:val="none"/>
              </w:rPr>
            </w:pPr>
            <w:r>
              <w:rPr>
                <w:rFonts w:hint="eastAsia"/>
                <w:color w:val="000000"/>
                <w:highlight w:val="none"/>
              </w:rPr>
              <w:t xml:space="preserve">网    址：/  </w:t>
            </w:r>
          </w:p>
        </w:tc>
      </w:tr>
      <w:tr w14:paraId="50D8B48A">
        <w:tblPrEx>
          <w:tblCellMar>
            <w:top w:w="0" w:type="dxa"/>
            <w:left w:w="108" w:type="dxa"/>
            <w:bottom w:w="0" w:type="dxa"/>
            <w:right w:w="108" w:type="dxa"/>
          </w:tblCellMar>
        </w:tblPrEx>
        <w:trPr>
          <w:trHeight w:val="567" w:hRule="atLeast"/>
        </w:trPr>
        <w:tc>
          <w:tcPr>
            <w:tcW w:w="4759" w:type="dxa"/>
            <w:noWrap w:val="0"/>
            <w:vAlign w:val="center"/>
          </w:tcPr>
          <w:p w14:paraId="08574686">
            <w:pPr>
              <w:rPr>
                <w:rFonts w:hint="eastAsia"/>
                <w:color w:val="000000"/>
                <w:highlight w:val="none"/>
              </w:rPr>
            </w:pPr>
          </w:p>
        </w:tc>
        <w:tc>
          <w:tcPr>
            <w:tcW w:w="4528" w:type="dxa"/>
            <w:noWrap w:val="0"/>
            <w:vAlign w:val="center"/>
          </w:tcPr>
          <w:p w14:paraId="3EC19054">
            <w:pPr>
              <w:jc w:val="right"/>
              <w:rPr>
                <w:rFonts w:hint="default" w:eastAsia="宋体"/>
                <w:color w:val="000000"/>
                <w:highlight w:val="none"/>
                <w:lang w:val="en-US" w:eastAsia="zh-CN"/>
              </w:rPr>
            </w:pPr>
            <w:r>
              <w:rPr>
                <w:rFonts w:hint="eastAsia"/>
                <w:color w:val="000000"/>
                <w:highlight w:val="none"/>
                <w:lang w:val="en-US" w:eastAsia="zh-CN"/>
              </w:rPr>
              <w:t>2025年7月30日</w:t>
            </w:r>
          </w:p>
        </w:tc>
      </w:tr>
    </w:tbl>
    <w:p w14:paraId="7815ABD5">
      <w:pPr>
        <w:jc w:val="center"/>
        <w:rPr>
          <w:rFonts w:hAnsi="宋体"/>
          <w:color w:val="000000"/>
          <w:szCs w:val="21"/>
          <w:highlight w:val="none"/>
        </w:rPr>
      </w:pPr>
      <w:r>
        <w:rPr>
          <w:rFonts w:eastAsia="黑体"/>
          <w:b/>
          <w:bCs/>
          <w:color w:val="000000"/>
          <w:kern w:val="0"/>
          <w:sz w:val="32"/>
          <w:szCs w:val="32"/>
          <w:highlight w:val="none"/>
        </w:rPr>
        <w:br w:type="page"/>
      </w:r>
      <w:bookmarkStart w:id="96" w:name="_Toc1512"/>
      <w:bookmarkStart w:id="97" w:name="_Toc28441"/>
      <w:bookmarkStart w:id="98" w:name="_Toc7262"/>
      <w:bookmarkStart w:id="99" w:name="_Toc32602"/>
      <w:bookmarkStart w:id="100" w:name="_Toc16573"/>
      <w:r>
        <w:rPr>
          <w:rStyle w:val="73"/>
          <w:rFonts w:hint="eastAsia"/>
          <w:color w:val="000000"/>
          <w:highlight w:val="none"/>
        </w:rPr>
        <w:t>第二章</w:t>
      </w:r>
      <w:r>
        <w:rPr>
          <w:rStyle w:val="73"/>
          <w:color w:val="000000"/>
          <w:highlight w:val="none"/>
        </w:rPr>
        <w:t xml:space="preserve">  </w:t>
      </w:r>
      <w:r>
        <w:rPr>
          <w:rStyle w:val="73"/>
          <w:rFonts w:hint="eastAsia"/>
          <w:color w:val="000000"/>
          <w:highlight w:val="none"/>
        </w:rPr>
        <w:t>投标人须知</w:t>
      </w:r>
      <w:bookmarkEnd w:id="86"/>
      <w:bookmarkEnd w:id="87"/>
      <w:bookmarkEnd w:id="88"/>
      <w:bookmarkEnd w:id="89"/>
      <w:bookmarkEnd w:id="90"/>
      <w:bookmarkEnd w:id="91"/>
      <w:bookmarkEnd w:id="95"/>
      <w:bookmarkEnd w:id="96"/>
      <w:bookmarkEnd w:id="97"/>
      <w:bookmarkEnd w:id="98"/>
      <w:bookmarkEnd w:id="99"/>
      <w:bookmarkEnd w:id="100"/>
      <w:bookmarkStart w:id="101" w:name="_Toc143421654"/>
    </w:p>
    <w:p w14:paraId="13F0D2DA">
      <w:pPr>
        <w:pStyle w:val="3"/>
        <w:jc w:val="center"/>
        <w:rPr>
          <w:highlight w:val="none"/>
        </w:rPr>
      </w:pPr>
      <w:bookmarkStart w:id="102" w:name="_Toc3538"/>
      <w:bookmarkStart w:id="103" w:name="_Toc23974"/>
      <w:bookmarkStart w:id="104" w:name="_Toc15731"/>
      <w:bookmarkStart w:id="105" w:name="_Toc3556"/>
      <w:bookmarkStart w:id="106" w:name="_Toc6601"/>
      <w:bookmarkStart w:id="107" w:name="_Toc19030"/>
      <w:bookmarkStart w:id="108" w:name="_Toc24824"/>
      <w:bookmarkStart w:id="109" w:name="_Toc530736528"/>
      <w:bookmarkStart w:id="110" w:name="_Toc13450"/>
      <w:bookmarkStart w:id="111" w:name="_Toc13640"/>
      <w:bookmarkStart w:id="112" w:name="_Toc234121007"/>
      <w:r>
        <w:rPr>
          <w:rFonts w:hint="eastAsia"/>
          <w:highlight w:val="none"/>
        </w:rPr>
        <w:t>投标人须知前附表</w:t>
      </w:r>
      <w:bookmarkEnd w:id="101"/>
      <w:bookmarkEnd w:id="102"/>
      <w:bookmarkEnd w:id="103"/>
      <w:bookmarkEnd w:id="104"/>
      <w:bookmarkEnd w:id="105"/>
      <w:bookmarkEnd w:id="106"/>
      <w:bookmarkEnd w:id="107"/>
      <w:bookmarkEnd w:id="108"/>
      <w:bookmarkEnd w:id="109"/>
      <w:bookmarkEnd w:id="110"/>
      <w:bookmarkEnd w:id="111"/>
      <w:bookmarkEnd w:id="112"/>
    </w:p>
    <w:tbl>
      <w:tblPr>
        <w:tblStyle w:val="49"/>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210"/>
        <w:gridCol w:w="6327"/>
      </w:tblGrid>
      <w:tr w14:paraId="34C7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67" w:type="dxa"/>
            <w:shd w:val="clear" w:color="auto" w:fill="E6E6E6"/>
            <w:noWrap w:val="0"/>
            <w:vAlign w:val="center"/>
          </w:tcPr>
          <w:p w14:paraId="1ED9C1E0">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条款号</w:t>
            </w:r>
          </w:p>
        </w:tc>
        <w:tc>
          <w:tcPr>
            <w:tcW w:w="2210" w:type="dxa"/>
            <w:shd w:val="clear" w:color="auto" w:fill="E6E6E6"/>
            <w:noWrap w:val="0"/>
            <w:vAlign w:val="center"/>
          </w:tcPr>
          <w:p w14:paraId="1C0CF3A3">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  款  名  称</w:t>
            </w:r>
          </w:p>
        </w:tc>
        <w:tc>
          <w:tcPr>
            <w:tcW w:w="6327" w:type="dxa"/>
            <w:shd w:val="clear" w:color="auto" w:fill="E6E6E6"/>
            <w:noWrap w:val="0"/>
            <w:vAlign w:val="center"/>
          </w:tcPr>
          <w:p w14:paraId="403C12EF">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编  列  内  容</w:t>
            </w:r>
          </w:p>
        </w:tc>
      </w:tr>
      <w:tr w14:paraId="033F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A3A0C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7A8AD724">
            <w:pPr>
              <w:spacing w:line="360" w:lineRule="exact"/>
              <w:rPr>
                <w:rFonts w:ascii="宋体" w:hAnsi="宋体"/>
                <w:color w:val="000000"/>
                <w:kern w:val="0"/>
                <w:szCs w:val="21"/>
                <w:highlight w:val="none"/>
              </w:rPr>
            </w:pPr>
            <w:r>
              <w:rPr>
                <w:rFonts w:ascii="宋体" w:hAnsi="宋体"/>
                <w:color w:val="000000"/>
                <w:kern w:val="0"/>
                <w:szCs w:val="21"/>
                <w:highlight w:val="none"/>
              </w:rPr>
              <w:t>招标人</w:t>
            </w:r>
          </w:p>
        </w:tc>
        <w:tc>
          <w:tcPr>
            <w:tcW w:w="6327" w:type="dxa"/>
            <w:noWrap w:val="0"/>
            <w:vAlign w:val="center"/>
          </w:tcPr>
          <w:p w14:paraId="14FE01E2">
            <w:pPr>
              <w:spacing w:line="360" w:lineRule="exact"/>
              <w:rPr>
                <w:rFonts w:hAnsi="宋体"/>
                <w:color w:val="000000"/>
                <w:szCs w:val="21"/>
                <w:highlight w:val="none"/>
              </w:rPr>
            </w:pPr>
            <w:r>
              <w:rPr>
                <w:rFonts w:hint="eastAsia" w:hAnsi="宋体"/>
                <w:color w:val="000000"/>
                <w:szCs w:val="21"/>
                <w:highlight w:val="none"/>
              </w:rPr>
              <w:t>招标人：</w:t>
            </w:r>
            <w:r>
              <w:rPr>
                <w:rFonts w:hint="eastAsia"/>
                <w:color w:val="000000"/>
                <w:highlight w:val="none"/>
                <w:lang w:val="en-US" w:eastAsia="zh-CN"/>
              </w:rPr>
              <w:t>南宁</w:t>
            </w:r>
            <w:r>
              <w:rPr>
                <w:rFonts w:hint="eastAsia"/>
                <w:color w:val="000000"/>
                <w:highlight w:val="none"/>
              </w:rPr>
              <w:t>轨道地产建筑工程有限责任公司</w:t>
            </w:r>
          </w:p>
          <w:p w14:paraId="55358E0F">
            <w:pPr>
              <w:spacing w:line="360" w:lineRule="exact"/>
              <w:rPr>
                <w:rFonts w:hint="eastAsia" w:hAnsi="Times New Roman" w:eastAsia="宋体"/>
                <w:color w:val="000000"/>
                <w:szCs w:val="24"/>
                <w:highlight w:val="none"/>
              </w:rPr>
            </w:pPr>
            <w:r>
              <w:rPr>
                <w:rFonts w:hint="eastAsia" w:hAnsi="宋体"/>
                <w:color w:val="000000"/>
                <w:szCs w:val="21"/>
                <w:highlight w:val="none"/>
              </w:rPr>
              <w:t>地</w:t>
            </w:r>
            <w:r>
              <w:rPr>
                <w:rFonts w:hAnsi="宋体"/>
                <w:color w:val="000000"/>
                <w:szCs w:val="21"/>
                <w:highlight w:val="none"/>
              </w:rPr>
              <w:t xml:space="preserve">  </w:t>
            </w:r>
            <w:r>
              <w:rPr>
                <w:rFonts w:hint="eastAsia" w:hAnsi="宋体"/>
                <w:color w:val="000000"/>
                <w:szCs w:val="21"/>
                <w:highlight w:val="none"/>
              </w:rPr>
              <w:t>址：</w:t>
            </w:r>
            <w:r>
              <w:rPr>
                <w:rFonts w:hint="eastAsia"/>
                <w:kern w:val="0"/>
                <w:szCs w:val="21"/>
                <w:highlight w:val="none"/>
              </w:rPr>
              <w:t>南</w:t>
            </w:r>
            <w:r>
              <w:rPr>
                <w:rFonts w:hint="eastAsia" w:eastAsia="宋体"/>
                <w:color w:val="000000"/>
                <w:kern w:val="2"/>
                <w:szCs w:val="24"/>
                <w:highlight w:val="none"/>
              </w:rPr>
              <w:t>宁市青秀区凤岭北路111号南宁国际旅游中心3号楼37层</w:t>
            </w:r>
          </w:p>
          <w:p w14:paraId="2FADA083">
            <w:pPr>
              <w:spacing w:line="360" w:lineRule="exact"/>
              <w:rPr>
                <w:rFonts w:hint="eastAsia" w:hAnsi="Times New Roman" w:eastAsia="宋体"/>
                <w:color w:val="000000"/>
                <w:szCs w:val="24"/>
                <w:highlight w:val="none"/>
                <w:lang w:val="en-US"/>
              </w:rPr>
            </w:pPr>
            <w:r>
              <w:rPr>
                <w:rFonts w:hint="eastAsia" w:hAnsi="Times New Roman" w:eastAsia="宋体"/>
                <w:color w:val="000000"/>
                <w:szCs w:val="24"/>
                <w:highlight w:val="none"/>
              </w:rPr>
              <w:t>联系人：</w:t>
            </w:r>
            <w:r>
              <w:rPr>
                <w:rFonts w:hint="eastAsia" w:eastAsia="宋体"/>
                <w:color w:val="000000"/>
                <w:highlight w:val="none"/>
                <w:lang w:val="en-US" w:eastAsia="zh-CN"/>
              </w:rPr>
              <w:t>唐工</w:t>
            </w:r>
          </w:p>
          <w:p w14:paraId="2F32EB0A">
            <w:pPr>
              <w:spacing w:line="360" w:lineRule="exact"/>
              <w:rPr>
                <w:color w:val="000000"/>
                <w:highlight w:val="none"/>
              </w:rPr>
            </w:pPr>
            <w:r>
              <w:rPr>
                <w:rFonts w:hint="eastAsia" w:hAnsi="Times New Roman" w:eastAsia="宋体"/>
                <w:color w:val="000000"/>
                <w:szCs w:val="24"/>
                <w:highlight w:val="none"/>
              </w:rPr>
              <w:t>电  话：</w:t>
            </w:r>
            <w:r>
              <w:rPr>
                <w:rFonts w:hint="eastAsia" w:ascii="Times New Roman" w:hAnsi="Times New Roman" w:eastAsia="宋体"/>
                <w:color w:val="000000"/>
                <w:sz w:val="21"/>
                <w:szCs w:val="24"/>
                <w:highlight w:val="none"/>
                <w:u w:val="none"/>
              </w:rPr>
              <w:t>0771-5863298</w:t>
            </w:r>
            <w:r>
              <w:rPr>
                <w:rFonts w:hint="eastAsia" w:hAnsi="Times New Roman" w:eastAsia="宋体"/>
                <w:color w:val="000000"/>
                <w:szCs w:val="24"/>
                <w:highlight w:val="none"/>
              </w:rPr>
              <w:t> </w:t>
            </w:r>
          </w:p>
        </w:tc>
      </w:tr>
      <w:tr w14:paraId="1280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DC7B77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1.1.3</w:t>
            </w:r>
          </w:p>
        </w:tc>
        <w:tc>
          <w:tcPr>
            <w:tcW w:w="2210" w:type="dxa"/>
            <w:noWrap w:val="0"/>
            <w:vAlign w:val="center"/>
          </w:tcPr>
          <w:p w14:paraId="2B06677E">
            <w:pPr>
              <w:spacing w:line="360" w:lineRule="exact"/>
              <w:rPr>
                <w:rFonts w:ascii="宋体" w:hAnsi="宋体"/>
                <w:color w:val="000000"/>
                <w:kern w:val="0"/>
                <w:szCs w:val="21"/>
                <w:highlight w:val="none"/>
              </w:rPr>
            </w:pPr>
            <w:r>
              <w:rPr>
                <w:rFonts w:ascii="宋体" w:hAnsi="宋体"/>
                <w:color w:val="000000"/>
                <w:kern w:val="0"/>
                <w:szCs w:val="21"/>
                <w:highlight w:val="none"/>
              </w:rPr>
              <w:t>招标代理机构</w:t>
            </w:r>
          </w:p>
        </w:tc>
        <w:tc>
          <w:tcPr>
            <w:tcW w:w="6327" w:type="dxa"/>
            <w:noWrap w:val="0"/>
            <w:vAlign w:val="center"/>
          </w:tcPr>
          <w:p w14:paraId="50FDEE15">
            <w:pPr>
              <w:spacing w:line="360" w:lineRule="exact"/>
              <w:rPr>
                <w:rFonts w:hAnsi="宋体"/>
                <w:color w:val="000000"/>
                <w:szCs w:val="21"/>
                <w:highlight w:val="none"/>
              </w:rPr>
            </w:pPr>
            <w:r>
              <w:rPr>
                <w:rFonts w:hint="eastAsia" w:hAnsi="宋体"/>
                <w:color w:val="000000"/>
                <w:szCs w:val="21"/>
                <w:highlight w:val="none"/>
              </w:rPr>
              <w:t>招标代理机构：</w:t>
            </w:r>
            <w:r>
              <w:rPr>
                <w:rFonts w:hint="eastAsia" w:ascii="宋体" w:hAnsi="宋体" w:cs="Arial"/>
                <w:highlight w:val="none"/>
                <w:lang w:eastAsia="zh-CN"/>
              </w:rPr>
              <w:t>广西双科建设工程咨询有限公司</w:t>
            </w:r>
            <w:r>
              <w:rPr>
                <w:rFonts w:hint="eastAsia" w:ascii="宋体" w:hAnsi="宋体"/>
                <w:color w:val="000000"/>
                <w:szCs w:val="21"/>
                <w:highlight w:val="none"/>
              </w:rPr>
              <w:t xml:space="preserve"> </w:t>
            </w:r>
            <w:r>
              <w:rPr>
                <w:rFonts w:hint="eastAsia" w:hAnsi="宋体"/>
                <w:color w:val="000000"/>
                <w:szCs w:val="21"/>
                <w:highlight w:val="none"/>
              </w:rPr>
              <w:t xml:space="preserve"> </w:t>
            </w:r>
          </w:p>
          <w:p w14:paraId="0711D3F6">
            <w:pPr>
              <w:spacing w:line="360" w:lineRule="exact"/>
              <w:rPr>
                <w:rFonts w:hAnsi="宋体"/>
                <w:color w:val="000000"/>
                <w:szCs w:val="21"/>
                <w:highlight w:val="none"/>
              </w:rPr>
            </w:pPr>
            <w:r>
              <w:rPr>
                <w:rFonts w:hint="eastAsia" w:hAnsi="宋体"/>
                <w:color w:val="000000"/>
                <w:szCs w:val="21"/>
                <w:highlight w:val="none"/>
              </w:rPr>
              <w:t>地  址：</w:t>
            </w:r>
            <w:r>
              <w:rPr>
                <w:rFonts w:hint="eastAsia"/>
                <w:color w:val="000000"/>
                <w:highlight w:val="none"/>
                <w:lang w:val="en-US" w:eastAsia="zh-CN"/>
              </w:rPr>
              <w:t>南宁市青秀区凤岭北路111号南宁国际旅游中心3号楼（C座）28楼</w:t>
            </w:r>
          </w:p>
          <w:p w14:paraId="740B3501">
            <w:pPr>
              <w:spacing w:line="360" w:lineRule="exact"/>
              <w:rPr>
                <w:rFonts w:hint="eastAsia"/>
                <w:color w:val="000000"/>
                <w:highlight w:val="none"/>
                <w:lang w:val="en-US" w:eastAsia="zh-CN"/>
              </w:rPr>
            </w:pPr>
            <w:r>
              <w:rPr>
                <w:rFonts w:hint="eastAsia" w:hAnsi="宋体"/>
                <w:color w:val="000000"/>
                <w:szCs w:val="21"/>
                <w:highlight w:val="none"/>
              </w:rPr>
              <w:t>联系人：</w:t>
            </w:r>
            <w:r>
              <w:rPr>
                <w:rFonts w:hint="eastAsia"/>
                <w:color w:val="000000"/>
                <w:highlight w:val="none"/>
                <w:lang w:val="en-US" w:eastAsia="zh-CN"/>
              </w:rPr>
              <w:t>郑路宁、杨堃</w:t>
            </w:r>
          </w:p>
          <w:p w14:paraId="0E180757">
            <w:pPr>
              <w:spacing w:line="360" w:lineRule="exact"/>
              <w:rPr>
                <w:rFonts w:hAnsi="宋体"/>
                <w:color w:val="000000"/>
                <w:szCs w:val="21"/>
                <w:highlight w:val="none"/>
              </w:rPr>
            </w:pPr>
            <w:r>
              <w:rPr>
                <w:rFonts w:hint="eastAsia" w:hAnsi="宋体"/>
                <w:color w:val="000000"/>
                <w:szCs w:val="21"/>
                <w:highlight w:val="none"/>
              </w:rPr>
              <w:t>电  话：</w:t>
            </w:r>
            <w:r>
              <w:rPr>
                <w:rFonts w:hint="eastAsia"/>
                <w:color w:val="000000"/>
                <w:highlight w:val="none"/>
                <w:lang w:val="zh-CN"/>
              </w:rPr>
              <w:t>0771-</w:t>
            </w:r>
            <w:r>
              <w:rPr>
                <w:rFonts w:hint="eastAsia"/>
                <w:color w:val="000000"/>
                <w:highlight w:val="none"/>
              </w:rPr>
              <w:t>4800838</w:t>
            </w:r>
          </w:p>
          <w:p w14:paraId="3EB794B2">
            <w:pPr>
              <w:spacing w:line="360" w:lineRule="exact"/>
              <w:rPr>
                <w:rFonts w:hint="eastAsia" w:ascii="宋体" w:hAnsi="宋体" w:eastAsia="宋体"/>
                <w:color w:val="000000"/>
                <w:kern w:val="0"/>
                <w:szCs w:val="21"/>
                <w:highlight w:val="none"/>
                <w:lang w:eastAsia="zh-CN"/>
              </w:rPr>
            </w:pPr>
            <w:r>
              <w:rPr>
                <w:rFonts w:hint="eastAsia" w:hAnsi="宋体"/>
                <w:color w:val="000000"/>
                <w:szCs w:val="21"/>
                <w:highlight w:val="none"/>
              </w:rPr>
              <w:t>邮  箱：</w:t>
            </w:r>
            <w:r>
              <w:rPr>
                <w:rFonts w:hint="eastAsia" w:hAnsi="宋体"/>
                <w:color w:val="000000"/>
                <w:szCs w:val="21"/>
                <w:highlight w:val="none"/>
                <w:lang w:eastAsia="zh-CN"/>
              </w:rPr>
              <w:t>skzb0601@163.com</w:t>
            </w:r>
          </w:p>
        </w:tc>
      </w:tr>
      <w:tr w14:paraId="1F31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D0A6DB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1.1.4</w:t>
            </w:r>
          </w:p>
        </w:tc>
        <w:tc>
          <w:tcPr>
            <w:tcW w:w="2210" w:type="dxa"/>
            <w:noWrap w:val="0"/>
            <w:vAlign w:val="center"/>
          </w:tcPr>
          <w:p w14:paraId="486C8B63">
            <w:pPr>
              <w:spacing w:line="360" w:lineRule="exact"/>
              <w:rPr>
                <w:rFonts w:ascii="宋体" w:hAnsi="宋体"/>
                <w:color w:val="000000"/>
                <w:kern w:val="0"/>
                <w:szCs w:val="21"/>
                <w:highlight w:val="none"/>
              </w:rPr>
            </w:pPr>
            <w:r>
              <w:rPr>
                <w:rFonts w:ascii="宋体" w:hAnsi="宋体"/>
                <w:color w:val="000000"/>
                <w:kern w:val="0"/>
                <w:szCs w:val="21"/>
                <w:highlight w:val="none"/>
              </w:rPr>
              <w:t>项目名称</w:t>
            </w:r>
          </w:p>
        </w:tc>
        <w:tc>
          <w:tcPr>
            <w:tcW w:w="6327" w:type="dxa"/>
            <w:noWrap w:val="0"/>
            <w:vAlign w:val="center"/>
          </w:tcPr>
          <w:p w14:paraId="0F04A7B4">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2025年-2026年南宁轨道地产建筑工程有限责任公司钢筋集中采购项目</w:t>
            </w:r>
          </w:p>
        </w:tc>
      </w:tr>
      <w:tr w14:paraId="1653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67" w:type="dxa"/>
            <w:noWrap w:val="0"/>
            <w:vAlign w:val="center"/>
          </w:tcPr>
          <w:p w14:paraId="71DBDAE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1.1.5</w:t>
            </w:r>
          </w:p>
        </w:tc>
        <w:tc>
          <w:tcPr>
            <w:tcW w:w="2210" w:type="dxa"/>
            <w:noWrap w:val="0"/>
            <w:vAlign w:val="center"/>
          </w:tcPr>
          <w:p w14:paraId="451693E8">
            <w:pPr>
              <w:spacing w:line="360" w:lineRule="exact"/>
              <w:rPr>
                <w:rFonts w:ascii="宋体" w:hAnsi="宋体"/>
                <w:color w:val="000000"/>
                <w:kern w:val="0"/>
                <w:szCs w:val="21"/>
                <w:highlight w:val="none"/>
              </w:rPr>
            </w:pPr>
            <w:r>
              <w:rPr>
                <w:rFonts w:hint="eastAsia" w:ascii="宋体" w:hAnsi="宋体"/>
                <w:color w:val="000000"/>
                <w:kern w:val="0"/>
                <w:szCs w:val="21"/>
                <w:highlight w:val="none"/>
                <w:lang w:val="en-US" w:eastAsia="zh-CN"/>
              </w:rPr>
              <w:t>交货</w:t>
            </w:r>
            <w:r>
              <w:rPr>
                <w:rFonts w:ascii="宋体" w:hAnsi="宋体"/>
                <w:color w:val="000000"/>
                <w:kern w:val="0"/>
                <w:szCs w:val="21"/>
                <w:highlight w:val="none"/>
              </w:rPr>
              <w:t>地点</w:t>
            </w:r>
          </w:p>
        </w:tc>
        <w:tc>
          <w:tcPr>
            <w:tcW w:w="6327" w:type="dxa"/>
            <w:noWrap w:val="0"/>
            <w:vAlign w:val="center"/>
          </w:tcPr>
          <w:p w14:paraId="1681582D">
            <w:pPr>
              <w:pStyle w:val="30"/>
              <w:rPr>
                <w:color w:val="000000"/>
                <w:highlight w:val="none"/>
              </w:rPr>
            </w:pPr>
            <w:r>
              <w:rPr>
                <w:rFonts w:hint="eastAsia" w:ascii="宋体" w:hAnsi="宋体"/>
                <w:highlight w:val="none"/>
                <w:u w:val="none"/>
              </w:rPr>
              <w:t>广西壮族自治区南宁市内招标人指定地点。</w:t>
            </w:r>
          </w:p>
        </w:tc>
      </w:tr>
      <w:tr w14:paraId="5A4B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580346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1.2.1</w:t>
            </w:r>
          </w:p>
        </w:tc>
        <w:tc>
          <w:tcPr>
            <w:tcW w:w="2210" w:type="dxa"/>
            <w:noWrap w:val="0"/>
            <w:vAlign w:val="center"/>
          </w:tcPr>
          <w:p w14:paraId="1C59D4A4">
            <w:pPr>
              <w:spacing w:line="360" w:lineRule="exact"/>
              <w:rPr>
                <w:rFonts w:ascii="宋体" w:hAnsi="宋体"/>
                <w:color w:val="000000"/>
                <w:kern w:val="0"/>
                <w:szCs w:val="21"/>
                <w:highlight w:val="none"/>
              </w:rPr>
            </w:pPr>
            <w:r>
              <w:rPr>
                <w:rFonts w:ascii="宋体" w:hAnsi="宋体"/>
                <w:color w:val="000000"/>
                <w:kern w:val="0"/>
                <w:szCs w:val="21"/>
                <w:highlight w:val="none"/>
              </w:rPr>
              <w:t>资金来源</w:t>
            </w:r>
          </w:p>
        </w:tc>
        <w:tc>
          <w:tcPr>
            <w:tcW w:w="6327" w:type="dxa"/>
            <w:noWrap w:val="0"/>
            <w:vAlign w:val="center"/>
          </w:tcPr>
          <w:p w14:paraId="214F6A1A">
            <w:pPr>
              <w:spacing w:line="360" w:lineRule="exact"/>
              <w:rPr>
                <w:rFonts w:ascii="宋体" w:hAnsi="宋体"/>
                <w:color w:val="000000"/>
                <w:kern w:val="0"/>
                <w:szCs w:val="21"/>
                <w:highlight w:val="none"/>
              </w:rPr>
            </w:pPr>
            <w:r>
              <w:rPr>
                <w:rFonts w:hint="eastAsia" w:ascii="宋体" w:hAnsi="宋体"/>
                <w:color w:val="000000"/>
                <w:kern w:val="0"/>
                <w:szCs w:val="21"/>
                <w:highlight w:val="none"/>
              </w:rPr>
              <w:t>企业自筹</w:t>
            </w:r>
          </w:p>
        </w:tc>
      </w:tr>
      <w:tr w14:paraId="4834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4DF6F50">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1.2.2</w:t>
            </w:r>
          </w:p>
        </w:tc>
        <w:tc>
          <w:tcPr>
            <w:tcW w:w="2210" w:type="dxa"/>
            <w:noWrap w:val="0"/>
            <w:vAlign w:val="center"/>
          </w:tcPr>
          <w:p w14:paraId="5AA3F974">
            <w:pPr>
              <w:spacing w:line="360" w:lineRule="exact"/>
              <w:rPr>
                <w:rFonts w:ascii="宋体" w:hAnsi="宋体"/>
                <w:color w:val="000000"/>
                <w:kern w:val="0"/>
                <w:szCs w:val="21"/>
                <w:highlight w:val="none"/>
              </w:rPr>
            </w:pPr>
            <w:r>
              <w:rPr>
                <w:rFonts w:ascii="宋体" w:hAnsi="宋体"/>
                <w:color w:val="000000"/>
                <w:kern w:val="0"/>
                <w:szCs w:val="21"/>
                <w:highlight w:val="none"/>
              </w:rPr>
              <w:t>出资比例</w:t>
            </w:r>
          </w:p>
        </w:tc>
        <w:tc>
          <w:tcPr>
            <w:tcW w:w="6327" w:type="dxa"/>
            <w:noWrap w:val="0"/>
            <w:vAlign w:val="center"/>
          </w:tcPr>
          <w:p w14:paraId="213126C6">
            <w:pPr>
              <w:spacing w:line="360" w:lineRule="exact"/>
              <w:rPr>
                <w:rFonts w:ascii="宋体" w:hAnsi="宋体"/>
                <w:color w:val="000000"/>
                <w:kern w:val="0"/>
                <w:szCs w:val="21"/>
                <w:highlight w:val="none"/>
              </w:rPr>
            </w:pPr>
            <w:r>
              <w:rPr>
                <w:rFonts w:hint="eastAsia" w:ascii="宋体" w:hAnsi="宋体"/>
                <w:color w:val="000000"/>
                <w:kern w:val="0"/>
                <w:szCs w:val="21"/>
                <w:highlight w:val="none"/>
              </w:rPr>
              <w:t>100%</w:t>
            </w:r>
          </w:p>
        </w:tc>
      </w:tr>
      <w:tr w14:paraId="6E3E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09EAD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1.2.3</w:t>
            </w:r>
          </w:p>
        </w:tc>
        <w:tc>
          <w:tcPr>
            <w:tcW w:w="2210" w:type="dxa"/>
            <w:noWrap w:val="0"/>
            <w:vAlign w:val="center"/>
          </w:tcPr>
          <w:p w14:paraId="69FC999C">
            <w:pPr>
              <w:spacing w:line="360" w:lineRule="exact"/>
              <w:rPr>
                <w:rFonts w:ascii="宋体" w:hAnsi="宋体"/>
                <w:color w:val="000000"/>
                <w:kern w:val="0"/>
                <w:szCs w:val="21"/>
                <w:highlight w:val="none"/>
              </w:rPr>
            </w:pPr>
            <w:r>
              <w:rPr>
                <w:rFonts w:ascii="宋体" w:hAnsi="宋体"/>
                <w:color w:val="000000"/>
                <w:kern w:val="0"/>
                <w:szCs w:val="21"/>
                <w:highlight w:val="none"/>
              </w:rPr>
              <w:t>资金落实情况</w:t>
            </w:r>
          </w:p>
        </w:tc>
        <w:tc>
          <w:tcPr>
            <w:tcW w:w="6327" w:type="dxa"/>
            <w:noWrap w:val="0"/>
            <w:vAlign w:val="center"/>
          </w:tcPr>
          <w:p w14:paraId="28D0415F">
            <w:pPr>
              <w:spacing w:line="360" w:lineRule="exact"/>
              <w:rPr>
                <w:rFonts w:ascii="宋体" w:hAnsi="宋体"/>
                <w:color w:val="000000"/>
                <w:kern w:val="0"/>
                <w:szCs w:val="21"/>
                <w:highlight w:val="none"/>
              </w:rPr>
            </w:pPr>
            <w:r>
              <w:rPr>
                <w:rFonts w:hint="eastAsia" w:ascii="宋体" w:hAnsi="宋体"/>
                <w:color w:val="000000"/>
                <w:kern w:val="0"/>
                <w:szCs w:val="21"/>
                <w:highlight w:val="none"/>
              </w:rPr>
              <w:t>已落实</w:t>
            </w:r>
          </w:p>
        </w:tc>
      </w:tr>
      <w:tr w14:paraId="2165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909F9B3">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1.2.4</w:t>
            </w:r>
          </w:p>
        </w:tc>
        <w:tc>
          <w:tcPr>
            <w:tcW w:w="2210" w:type="dxa"/>
            <w:noWrap w:val="0"/>
            <w:vAlign w:val="center"/>
          </w:tcPr>
          <w:p w14:paraId="49AB9A8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本项目增值税计税方法</w:t>
            </w:r>
          </w:p>
        </w:tc>
        <w:tc>
          <w:tcPr>
            <w:tcW w:w="6327" w:type="dxa"/>
            <w:noWrap w:val="0"/>
            <w:vAlign w:val="center"/>
          </w:tcPr>
          <w:p w14:paraId="5EF4BF13">
            <w:pPr>
              <w:spacing w:line="360" w:lineRule="exact"/>
              <w:rPr>
                <w:rFonts w:ascii="宋体" w:hAnsi="宋体"/>
                <w:color w:val="000000"/>
                <w:kern w:val="0"/>
                <w:szCs w:val="21"/>
                <w:highlight w:val="none"/>
              </w:rPr>
            </w:pPr>
            <w:r>
              <w:rPr>
                <w:rFonts w:hint="eastAsia" w:cs="宋体"/>
                <w:color w:val="000000"/>
                <w:highlight w:val="none"/>
              </w:rPr>
              <w:t>一般计税法</w:t>
            </w:r>
          </w:p>
        </w:tc>
      </w:tr>
      <w:tr w14:paraId="67AC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2ECD48">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1.3.1</w:t>
            </w:r>
          </w:p>
        </w:tc>
        <w:tc>
          <w:tcPr>
            <w:tcW w:w="2210" w:type="dxa"/>
            <w:noWrap w:val="0"/>
            <w:vAlign w:val="center"/>
          </w:tcPr>
          <w:p w14:paraId="6130043B">
            <w:pPr>
              <w:spacing w:line="360" w:lineRule="exact"/>
              <w:rPr>
                <w:rFonts w:ascii="宋体" w:hAnsi="宋体"/>
                <w:color w:val="000000"/>
                <w:kern w:val="0"/>
                <w:szCs w:val="21"/>
                <w:highlight w:val="none"/>
              </w:rPr>
            </w:pPr>
            <w:r>
              <w:rPr>
                <w:rFonts w:ascii="宋体" w:hAnsi="宋体"/>
                <w:color w:val="000000"/>
                <w:kern w:val="0"/>
                <w:szCs w:val="21"/>
                <w:highlight w:val="none"/>
              </w:rPr>
              <w:t>招标范围</w:t>
            </w:r>
          </w:p>
        </w:tc>
        <w:tc>
          <w:tcPr>
            <w:tcW w:w="6327" w:type="dxa"/>
            <w:noWrap w:val="0"/>
            <w:vAlign w:val="center"/>
          </w:tcPr>
          <w:p w14:paraId="1C6944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803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04A00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1.3.2</w:t>
            </w:r>
          </w:p>
        </w:tc>
        <w:tc>
          <w:tcPr>
            <w:tcW w:w="2210" w:type="dxa"/>
            <w:noWrap w:val="0"/>
            <w:vAlign w:val="center"/>
          </w:tcPr>
          <w:p w14:paraId="0FDC813C">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val="en-US" w:eastAsia="zh-CN"/>
              </w:rPr>
              <w:t>服务期</w:t>
            </w:r>
          </w:p>
        </w:tc>
        <w:tc>
          <w:tcPr>
            <w:tcW w:w="6327" w:type="dxa"/>
            <w:noWrap w:val="0"/>
            <w:vAlign w:val="center"/>
          </w:tcPr>
          <w:p w14:paraId="249D4B4C">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925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E676F8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1.3.3</w:t>
            </w:r>
          </w:p>
        </w:tc>
        <w:tc>
          <w:tcPr>
            <w:tcW w:w="2210" w:type="dxa"/>
            <w:noWrap w:val="0"/>
            <w:vAlign w:val="center"/>
          </w:tcPr>
          <w:p w14:paraId="6DB8E844">
            <w:pPr>
              <w:spacing w:line="360" w:lineRule="exact"/>
              <w:rPr>
                <w:rFonts w:ascii="宋体" w:hAnsi="宋体"/>
                <w:color w:val="000000"/>
                <w:kern w:val="0"/>
                <w:szCs w:val="21"/>
                <w:highlight w:val="none"/>
              </w:rPr>
            </w:pPr>
            <w:r>
              <w:rPr>
                <w:rFonts w:ascii="宋体" w:hAnsi="宋体"/>
                <w:color w:val="000000"/>
                <w:kern w:val="0"/>
                <w:szCs w:val="21"/>
                <w:highlight w:val="none"/>
              </w:rPr>
              <w:t>质量要求</w:t>
            </w:r>
          </w:p>
        </w:tc>
        <w:tc>
          <w:tcPr>
            <w:tcW w:w="6327" w:type="dxa"/>
            <w:noWrap w:val="0"/>
            <w:vAlign w:val="center"/>
          </w:tcPr>
          <w:p w14:paraId="4A559692">
            <w:pPr>
              <w:spacing w:line="360" w:lineRule="exact"/>
              <w:rPr>
                <w:rFonts w:ascii="宋体" w:hAnsi="宋体"/>
                <w:color w:val="000000"/>
                <w:kern w:val="0"/>
                <w:szCs w:val="21"/>
                <w:highlight w:val="none"/>
              </w:rPr>
            </w:pPr>
            <w:r>
              <w:rPr>
                <w:rFonts w:hint="eastAsia" w:ascii="宋体" w:hAnsi="宋体" w:cs="宋体"/>
                <w:bCs/>
                <w:color w:val="000000"/>
                <w:szCs w:val="21"/>
                <w:highlight w:val="none"/>
              </w:rPr>
              <w:t>满足国家现行规范、标准、招标文件要求和项目实际需要。</w:t>
            </w:r>
          </w:p>
        </w:tc>
      </w:tr>
      <w:tr w14:paraId="3AE4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823D9A1">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1.4.1</w:t>
            </w:r>
          </w:p>
        </w:tc>
        <w:tc>
          <w:tcPr>
            <w:tcW w:w="2210" w:type="dxa"/>
            <w:noWrap w:val="0"/>
            <w:vAlign w:val="center"/>
          </w:tcPr>
          <w:p w14:paraId="4D0A3790">
            <w:pPr>
              <w:spacing w:line="360" w:lineRule="exact"/>
              <w:rPr>
                <w:rFonts w:ascii="宋体" w:hAnsi="宋体"/>
                <w:color w:val="000000"/>
                <w:kern w:val="0"/>
                <w:szCs w:val="21"/>
                <w:highlight w:val="none"/>
              </w:rPr>
            </w:pPr>
            <w:r>
              <w:rPr>
                <w:rFonts w:ascii="宋体" w:hAnsi="宋体"/>
                <w:color w:val="000000"/>
                <w:kern w:val="0"/>
                <w:szCs w:val="21"/>
                <w:highlight w:val="none"/>
              </w:rPr>
              <w:t>投标人资质</w:t>
            </w:r>
            <w:r>
              <w:rPr>
                <w:rFonts w:hint="eastAsia" w:ascii="宋体" w:hAnsi="宋体"/>
                <w:color w:val="000000"/>
                <w:kern w:val="0"/>
                <w:szCs w:val="21"/>
                <w:highlight w:val="none"/>
              </w:rPr>
              <w:t>要求</w:t>
            </w:r>
          </w:p>
        </w:tc>
        <w:tc>
          <w:tcPr>
            <w:tcW w:w="6327" w:type="dxa"/>
            <w:noWrap w:val="0"/>
            <w:vAlign w:val="center"/>
          </w:tcPr>
          <w:p w14:paraId="1CE10D99">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2438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2A76703">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1.4.2</w:t>
            </w:r>
          </w:p>
        </w:tc>
        <w:tc>
          <w:tcPr>
            <w:tcW w:w="2210" w:type="dxa"/>
            <w:noWrap w:val="0"/>
            <w:vAlign w:val="center"/>
          </w:tcPr>
          <w:p w14:paraId="6AE78034">
            <w:pPr>
              <w:spacing w:line="360" w:lineRule="exact"/>
              <w:rPr>
                <w:rFonts w:ascii="宋体" w:hAnsi="宋体"/>
                <w:color w:val="000000"/>
                <w:kern w:val="0"/>
                <w:szCs w:val="21"/>
                <w:highlight w:val="none"/>
              </w:rPr>
            </w:pPr>
            <w:r>
              <w:rPr>
                <w:rFonts w:ascii="宋体" w:hAnsi="宋体"/>
                <w:color w:val="000000"/>
                <w:kern w:val="0"/>
                <w:szCs w:val="21"/>
                <w:highlight w:val="none"/>
              </w:rPr>
              <w:t>是否接受联合体投标</w:t>
            </w:r>
          </w:p>
        </w:tc>
        <w:tc>
          <w:tcPr>
            <w:tcW w:w="6327" w:type="dxa"/>
            <w:noWrap w:val="0"/>
            <w:vAlign w:val="center"/>
          </w:tcPr>
          <w:p w14:paraId="4C77499C">
            <w:pPr>
              <w:spacing w:line="360" w:lineRule="exact"/>
              <w:textAlignment w:val="baseline"/>
              <w:rPr>
                <w:rFonts w:ascii="宋体" w:hAnsi="宋体"/>
                <w:color w:val="000000"/>
                <w:szCs w:val="21"/>
                <w:highlight w:val="none"/>
              </w:rPr>
            </w:pPr>
            <w:r>
              <w:rPr>
                <w:rFonts w:hint="eastAsia" w:ascii="宋体" w:hAnsi="宋体"/>
                <w:color w:val="000000"/>
                <w:szCs w:val="21"/>
                <w:highlight w:val="none"/>
                <w:lang w:val="en-US" w:eastAsia="zh-CN"/>
              </w:rPr>
              <w:t>否</w:t>
            </w:r>
          </w:p>
        </w:tc>
      </w:tr>
      <w:tr w14:paraId="62CC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5BC2E">
            <w:pPr>
              <w:spacing w:line="360" w:lineRule="exact"/>
              <w:jc w:val="center"/>
              <w:rPr>
                <w:rFonts w:ascii="宋体" w:hAnsi="宋体"/>
                <w:color w:val="000000"/>
                <w:kern w:val="0"/>
                <w:szCs w:val="21"/>
                <w:highlight w:val="none"/>
              </w:rPr>
            </w:pPr>
            <w:r>
              <w:rPr>
                <w:rFonts w:ascii="宋体" w:hAnsi="宋体"/>
                <w:color w:val="000000"/>
                <w:kern w:val="0"/>
                <w:szCs w:val="21"/>
                <w:highlight w:val="none"/>
              </w:rPr>
              <w:t>1.9</w:t>
            </w:r>
          </w:p>
        </w:tc>
        <w:tc>
          <w:tcPr>
            <w:tcW w:w="2210" w:type="dxa"/>
            <w:noWrap w:val="0"/>
            <w:vAlign w:val="center"/>
          </w:tcPr>
          <w:p w14:paraId="6C67D422">
            <w:pPr>
              <w:spacing w:line="360" w:lineRule="exact"/>
              <w:rPr>
                <w:rFonts w:ascii="宋体" w:hAnsi="宋体"/>
                <w:color w:val="000000"/>
                <w:kern w:val="0"/>
                <w:szCs w:val="21"/>
                <w:highlight w:val="none"/>
              </w:rPr>
            </w:pPr>
            <w:r>
              <w:rPr>
                <w:rFonts w:ascii="宋体" w:hAnsi="宋体"/>
                <w:color w:val="000000"/>
                <w:kern w:val="0"/>
                <w:szCs w:val="21"/>
                <w:highlight w:val="none"/>
              </w:rPr>
              <w:t>踏勘现场</w:t>
            </w:r>
          </w:p>
        </w:tc>
        <w:tc>
          <w:tcPr>
            <w:tcW w:w="6327" w:type="dxa"/>
            <w:noWrap w:val="0"/>
            <w:vAlign w:val="center"/>
          </w:tcPr>
          <w:p w14:paraId="06E705A4">
            <w:pPr>
              <w:spacing w:line="360" w:lineRule="exact"/>
              <w:rPr>
                <w:rFonts w:ascii="宋体" w:hAnsi="宋体"/>
                <w:color w:val="000000"/>
                <w:kern w:val="0"/>
                <w:szCs w:val="21"/>
                <w:highlight w:val="none"/>
              </w:rPr>
            </w:pPr>
            <w:r>
              <w:rPr>
                <w:rFonts w:ascii="宋体" w:hAnsi="宋体"/>
                <w:color w:val="000000"/>
                <w:kern w:val="0"/>
                <w:szCs w:val="21"/>
                <w:highlight w:val="none"/>
              </w:rPr>
              <w:t>不组织</w:t>
            </w:r>
          </w:p>
        </w:tc>
      </w:tr>
      <w:tr w14:paraId="62AB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A447A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1.10</w:t>
            </w:r>
          </w:p>
        </w:tc>
        <w:tc>
          <w:tcPr>
            <w:tcW w:w="2210" w:type="dxa"/>
            <w:noWrap w:val="0"/>
            <w:vAlign w:val="center"/>
          </w:tcPr>
          <w:p w14:paraId="117135D5">
            <w:pPr>
              <w:spacing w:line="360" w:lineRule="exact"/>
              <w:rPr>
                <w:rFonts w:ascii="宋体" w:hAnsi="宋体"/>
                <w:color w:val="000000"/>
                <w:kern w:val="0"/>
                <w:szCs w:val="21"/>
                <w:highlight w:val="none"/>
              </w:rPr>
            </w:pPr>
            <w:r>
              <w:rPr>
                <w:rFonts w:ascii="宋体" w:hAnsi="宋体"/>
                <w:color w:val="000000"/>
                <w:kern w:val="0"/>
                <w:szCs w:val="21"/>
                <w:highlight w:val="none"/>
              </w:rPr>
              <w:t>投标预备会</w:t>
            </w:r>
          </w:p>
        </w:tc>
        <w:tc>
          <w:tcPr>
            <w:tcW w:w="6327" w:type="dxa"/>
            <w:noWrap w:val="0"/>
            <w:vAlign w:val="center"/>
          </w:tcPr>
          <w:p w14:paraId="6571F254">
            <w:pPr>
              <w:spacing w:line="360" w:lineRule="exact"/>
              <w:rPr>
                <w:rFonts w:ascii="宋体" w:hAnsi="宋体"/>
                <w:color w:val="000000"/>
                <w:kern w:val="0"/>
                <w:szCs w:val="21"/>
                <w:highlight w:val="none"/>
              </w:rPr>
            </w:pPr>
            <w:r>
              <w:rPr>
                <w:rFonts w:ascii="宋体" w:hAnsi="宋体"/>
                <w:color w:val="000000"/>
                <w:kern w:val="0"/>
                <w:szCs w:val="21"/>
                <w:highlight w:val="none"/>
              </w:rPr>
              <w:t>不召开</w:t>
            </w:r>
          </w:p>
        </w:tc>
      </w:tr>
      <w:tr w14:paraId="1136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B9CC9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1.11</w:t>
            </w:r>
          </w:p>
        </w:tc>
        <w:tc>
          <w:tcPr>
            <w:tcW w:w="2210" w:type="dxa"/>
            <w:noWrap w:val="0"/>
            <w:vAlign w:val="center"/>
          </w:tcPr>
          <w:p w14:paraId="59041E36">
            <w:pPr>
              <w:spacing w:line="360" w:lineRule="exact"/>
              <w:rPr>
                <w:rFonts w:ascii="宋体" w:hAnsi="宋体"/>
                <w:color w:val="000000"/>
                <w:kern w:val="0"/>
                <w:szCs w:val="21"/>
                <w:highlight w:val="none"/>
              </w:rPr>
            </w:pPr>
            <w:r>
              <w:rPr>
                <w:rFonts w:ascii="宋体" w:hAnsi="宋体"/>
                <w:color w:val="000000"/>
                <w:kern w:val="0"/>
                <w:szCs w:val="21"/>
                <w:highlight w:val="none"/>
              </w:rPr>
              <w:t>分  包</w:t>
            </w:r>
          </w:p>
        </w:tc>
        <w:tc>
          <w:tcPr>
            <w:tcW w:w="6327" w:type="dxa"/>
            <w:noWrap w:val="0"/>
            <w:vAlign w:val="center"/>
          </w:tcPr>
          <w:p w14:paraId="0694080D">
            <w:pPr>
              <w:spacing w:line="360" w:lineRule="exact"/>
              <w:rPr>
                <w:rFonts w:ascii="宋体" w:hAnsi="宋体"/>
                <w:color w:val="000000"/>
                <w:szCs w:val="21"/>
                <w:highlight w:val="none"/>
              </w:rPr>
            </w:pPr>
            <w:r>
              <w:rPr>
                <w:rFonts w:hint="eastAsia" w:ascii="宋体" w:hAnsi="宋体" w:cs="Arial"/>
                <w:color w:val="000000"/>
                <w:highlight w:val="none"/>
              </w:rPr>
              <w:t>不允许分包</w:t>
            </w:r>
          </w:p>
        </w:tc>
      </w:tr>
      <w:tr w14:paraId="6D95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1EA02E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69FE6D96">
            <w:pPr>
              <w:spacing w:line="360" w:lineRule="exact"/>
              <w:rPr>
                <w:rFonts w:ascii="宋体" w:hAnsi="宋体"/>
                <w:color w:val="000000"/>
                <w:kern w:val="0"/>
                <w:szCs w:val="21"/>
                <w:highlight w:val="none"/>
              </w:rPr>
            </w:pPr>
            <w:r>
              <w:rPr>
                <w:rFonts w:ascii="宋体" w:hAnsi="宋体"/>
                <w:color w:val="000000"/>
                <w:kern w:val="0"/>
                <w:szCs w:val="21"/>
                <w:highlight w:val="none"/>
              </w:rPr>
              <w:t>偏  离</w:t>
            </w:r>
          </w:p>
        </w:tc>
        <w:tc>
          <w:tcPr>
            <w:tcW w:w="6327" w:type="dxa"/>
            <w:noWrap w:val="0"/>
            <w:vAlign w:val="center"/>
          </w:tcPr>
          <w:p w14:paraId="0AF8508D">
            <w:pPr>
              <w:spacing w:line="360" w:lineRule="exact"/>
              <w:rPr>
                <w:rFonts w:ascii="宋体" w:hAnsi="宋体"/>
                <w:color w:val="000000"/>
                <w:kern w:val="0"/>
                <w:szCs w:val="21"/>
                <w:highlight w:val="none"/>
              </w:rPr>
            </w:pPr>
            <w:r>
              <w:rPr>
                <w:rFonts w:ascii="宋体" w:hAnsi="宋体"/>
                <w:color w:val="000000"/>
                <w:kern w:val="0"/>
                <w:szCs w:val="21"/>
                <w:highlight w:val="none"/>
              </w:rPr>
              <w:t>不允许</w:t>
            </w:r>
          </w:p>
        </w:tc>
      </w:tr>
      <w:tr w14:paraId="2572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3CEE310">
            <w:pPr>
              <w:spacing w:line="360" w:lineRule="exact"/>
              <w:jc w:val="center"/>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1.1（8）</w:t>
            </w:r>
          </w:p>
        </w:tc>
        <w:tc>
          <w:tcPr>
            <w:tcW w:w="2210" w:type="dxa"/>
            <w:noWrap w:val="0"/>
            <w:vAlign w:val="center"/>
          </w:tcPr>
          <w:p w14:paraId="11B46609">
            <w:pPr>
              <w:spacing w:line="360" w:lineRule="exact"/>
              <w:rPr>
                <w:rFonts w:ascii="宋体" w:hAnsi="宋体"/>
                <w:color w:val="000000"/>
                <w:kern w:val="0"/>
                <w:szCs w:val="21"/>
                <w:highlight w:val="none"/>
              </w:rPr>
            </w:pPr>
            <w:r>
              <w:rPr>
                <w:rFonts w:ascii="宋体" w:hAnsi="宋体"/>
                <w:color w:val="000000"/>
                <w:kern w:val="0"/>
                <w:szCs w:val="21"/>
                <w:highlight w:val="none"/>
              </w:rPr>
              <w:t>构成招标文件的其他材料</w:t>
            </w:r>
          </w:p>
        </w:tc>
        <w:tc>
          <w:tcPr>
            <w:tcW w:w="6327" w:type="dxa"/>
            <w:noWrap w:val="0"/>
            <w:vAlign w:val="center"/>
          </w:tcPr>
          <w:p w14:paraId="6EB8908D">
            <w:pPr>
              <w:tabs>
                <w:tab w:val="left" w:pos="826"/>
              </w:tabs>
              <w:spacing w:line="360" w:lineRule="exact"/>
              <w:rPr>
                <w:rFonts w:ascii="宋体" w:hAnsi="宋体"/>
                <w:color w:val="000000"/>
                <w:kern w:val="0"/>
                <w:szCs w:val="21"/>
                <w:highlight w:val="none"/>
              </w:rPr>
            </w:pPr>
            <w:r>
              <w:rPr>
                <w:rFonts w:ascii="宋体" w:hAnsi="宋体"/>
                <w:color w:val="000000"/>
                <w:kern w:val="0"/>
                <w:szCs w:val="21"/>
                <w:highlight w:val="none"/>
              </w:rPr>
              <w:t>招标文件的澄清、修改、补充通知等内容</w:t>
            </w:r>
            <w:r>
              <w:rPr>
                <w:rFonts w:hint="eastAsia" w:ascii="宋体" w:hAnsi="宋体"/>
                <w:color w:val="000000"/>
                <w:kern w:val="0"/>
                <w:szCs w:val="21"/>
                <w:highlight w:val="none"/>
              </w:rPr>
              <w:t>。</w:t>
            </w:r>
          </w:p>
        </w:tc>
      </w:tr>
      <w:tr w14:paraId="32A4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A5944">
            <w:pPr>
              <w:spacing w:line="360" w:lineRule="exact"/>
              <w:jc w:val="center"/>
              <w:rPr>
                <w:rFonts w:ascii="宋体" w:hAnsi="宋体"/>
                <w:color w:val="000000"/>
                <w:kern w:val="0"/>
                <w:szCs w:val="21"/>
                <w:highlight w:val="none"/>
              </w:rPr>
            </w:pPr>
            <w:r>
              <w:rPr>
                <w:rFonts w:ascii="宋体" w:hAnsi="宋体"/>
                <w:color w:val="000000"/>
                <w:kern w:val="0"/>
                <w:szCs w:val="21"/>
                <w:highlight w:val="none"/>
              </w:rPr>
              <w:t>2.2.1</w:t>
            </w:r>
          </w:p>
        </w:tc>
        <w:tc>
          <w:tcPr>
            <w:tcW w:w="2210" w:type="dxa"/>
            <w:noWrap w:val="0"/>
            <w:vAlign w:val="center"/>
          </w:tcPr>
          <w:p w14:paraId="567497A1">
            <w:pPr>
              <w:spacing w:line="360" w:lineRule="exact"/>
              <w:rPr>
                <w:rFonts w:ascii="宋体" w:hAnsi="宋体"/>
                <w:color w:val="000000"/>
                <w:kern w:val="0"/>
                <w:szCs w:val="21"/>
                <w:highlight w:val="none"/>
              </w:rPr>
            </w:pPr>
            <w:r>
              <w:rPr>
                <w:rFonts w:hint="eastAsia" w:ascii="宋体" w:hAnsi="宋体" w:cs="宋体"/>
                <w:color w:val="000000"/>
                <w:szCs w:val="21"/>
                <w:highlight w:val="none"/>
              </w:rPr>
              <w:t>投标人对招标文件提出异议的截止时间</w:t>
            </w:r>
          </w:p>
        </w:tc>
        <w:tc>
          <w:tcPr>
            <w:tcW w:w="6327" w:type="dxa"/>
            <w:noWrap w:val="0"/>
            <w:vAlign w:val="center"/>
          </w:tcPr>
          <w:p w14:paraId="150D7D1A">
            <w:pPr>
              <w:spacing w:line="360" w:lineRule="exact"/>
              <w:rPr>
                <w:rFonts w:ascii="宋体" w:hAnsi="宋体"/>
                <w:color w:val="000000"/>
                <w:szCs w:val="21"/>
                <w:highlight w:val="none"/>
              </w:rPr>
            </w:pPr>
            <w:r>
              <w:rPr>
                <w:rFonts w:hint="eastAsia" w:ascii="宋体" w:hAnsi="宋体" w:cs="宋体"/>
                <w:color w:val="000000"/>
                <w:szCs w:val="21"/>
                <w:highlight w:val="none"/>
              </w:rPr>
              <w:t>投标截止时间</w:t>
            </w:r>
            <w:r>
              <w:rPr>
                <w:rFonts w:ascii="宋体" w:hAnsi="宋体"/>
                <w:color w:val="000000"/>
                <w:szCs w:val="21"/>
                <w:highlight w:val="none"/>
              </w:rPr>
              <w:t>10</w:t>
            </w:r>
            <w:r>
              <w:rPr>
                <w:rFonts w:hint="eastAsia" w:ascii="宋体" w:hAnsi="宋体" w:cs="宋体"/>
                <w:color w:val="000000"/>
                <w:szCs w:val="21"/>
                <w:highlight w:val="none"/>
              </w:rPr>
              <w:t>日前。投标人不在规定期限内提出，招标人有权不予答复，或答复后投标截止时间由招标人确定是否顺延。</w:t>
            </w:r>
          </w:p>
          <w:p w14:paraId="68ADC32C">
            <w:pPr>
              <w:spacing w:line="360" w:lineRule="exact"/>
              <w:rPr>
                <w:rFonts w:hint="eastAsia" w:ascii="宋体" w:hAnsi="宋体" w:cs="宋体"/>
                <w:color w:val="000000"/>
                <w:szCs w:val="21"/>
                <w:highlight w:val="none"/>
              </w:rPr>
            </w:pPr>
            <w:r>
              <w:rPr>
                <w:rFonts w:hint="eastAsia" w:ascii="宋体" w:hAnsi="宋体" w:cs="宋体"/>
                <w:color w:val="000000"/>
                <w:szCs w:val="21"/>
                <w:highlight w:val="none"/>
              </w:rPr>
              <w:t>澄清在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w:t>
            </w:r>
            <w:r>
              <w:rPr>
                <w:rFonts w:hint="eastAsia" w:ascii="宋体" w:hAnsi="宋体" w:cs="宋体"/>
                <w:color w:val="000000"/>
                <w:szCs w:val="21"/>
                <w:highlight w:val="none"/>
              </w:rPr>
              <w:t>。</w:t>
            </w:r>
          </w:p>
          <w:p w14:paraId="79578A6D">
            <w:pPr>
              <w:spacing w:line="360" w:lineRule="exact"/>
              <w:rPr>
                <w:rFonts w:ascii="宋体" w:hAnsi="宋体"/>
                <w:color w:val="000000"/>
                <w:kern w:val="0"/>
                <w:szCs w:val="21"/>
                <w:highlight w:val="none"/>
              </w:rPr>
            </w:pPr>
            <w:r>
              <w:rPr>
                <w:rFonts w:hint="eastAsia" w:ascii="宋体" w:hAnsi="宋体" w:cs="宋体"/>
                <w:color w:val="000000"/>
                <w:szCs w:val="21"/>
                <w:highlight w:val="none"/>
              </w:rPr>
              <w:t>异议应以书面形式提交招标代理机构，同时发送电子版（</w:t>
            </w:r>
            <w:r>
              <w:rPr>
                <w:rFonts w:hint="eastAsia" w:ascii="宋体" w:hAnsi="宋体" w:cs="宋体"/>
                <w:color w:val="000000"/>
                <w:szCs w:val="21"/>
                <w:highlight w:val="none"/>
                <w:lang w:val="en-US" w:eastAsia="zh-CN"/>
              </w:rPr>
              <w:t>Word</w:t>
            </w:r>
            <w:r>
              <w:rPr>
                <w:rFonts w:hint="eastAsia" w:ascii="宋体" w:hAnsi="宋体" w:cs="宋体"/>
                <w:color w:val="000000"/>
                <w:szCs w:val="21"/>
                <w:highlight w:val="none"/>
              </w:rPr>
              <w:t>格式</w:t>
            </w:r>
            <w:r>
              <w:rPr>
                <w:rFonts w:hint="eastAsia" w:ascii="宋体" w:hAnsi="宋体" w:cs="宋体"/>
                <w:color w:val="000000"/>
                <w:szCs w:val="21"/>
                <w:highlight w:val="none"/>
                <w:lang w:val="en-US" w:eastAsia="zh-CN"/>
              </w:rPr>
              <w:t>及PDF扫描件</w:t>
            </w:r>
            <w:r>
              <w:rPr>
                <w:rFonts w:hint="eastAsia" w:ascii="宋体" w:hAnsi="宋体" w:cs="宋体"/>
                <w:color w:val="000000"/>
                <w:szCs w:val="21"/>
                <w:highlight w:val="none"/>
              </w:rPr>
              <w:t>），接收邮箱：</w:t>
            </w:r>
            <w:r>
              <w:rPr>
                <w:rFonts w:hint="eastAsia" w:ascii="宋体" w:hAnsi="宋体" w:cs="宋体"/>
                <w:color w:val="000000"/>
                <w:szCs w:val="21"/>
                <w:highlight w:val="none"/>
                <w:lang w:eastAsia="zh-CN"/>
              </w:rPr>
              <w:t>skzb0601@163.com。</w:t>
            </w:r>
          </w:p>
        </w:tc>
      </w:tr>
      <w:tr w14:paraId="018E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B20D4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3.1.1</w:t>
            </w:r>
          </w:p>
        </w:tc>
        <w:tc>
          <w:tcPr>
            <w:tcW w:w="2210" w:type="dxa"/>
            <w:noWrap w:val="0"/>
            <w:vAlign w:val="center"/>
          </w:tcPr>
          <w:p w14:paraId="15A0266E">
            <w:pPr>
              <w:spacing w:line="360" w:lineRule="exact"/>
              <w:rPr>
                <w:rFonts w:ascii="宋体" w:hAnsi="宋体"/>
                <w:color w:val="000000"/>
                <w:kern w:val="0"/>
                <w:szCs w:val="21"/>
                <w:highlight w:val="none"/>
              </w:rPr>
            </w:pPr>
            <w:r>
              <w:rPr>
                <w:rFonts w:ascii="宋体" w:hAnsi="宋体"/>
                <w:color w:val="000000"/>
                <w:kern w:val="0"/>
                <w:szCs w:val="21"/>
                <w:highlight w:val="none"/>
              </w:rPr>
              <w:t>构成投标文件的材料</w:t>
            </w:r>
          </w:p>
        </w:tc>
        <w:tc>
          <w:tcPr>
            <w:tcW w:w="6327" w:type="dxa"/>
            <w:noWrap w:val="0"/>
            <w:vAlign w:val="center"/>
          </w:tcPr>
          <w:p w14:paraId="627874EF">
            <w:pPr>
              <w:numPr>
                <w:ilvl w:val="0"/>
                <w:numId w:val="0"/>
              </w:numPr>
              <w:spacing w:line="240" w:lineRule="auto"/>
              <w:jc w:val="left"/>
              <w:rPr>
                <w:rFonts w:ascii="宋体" w:hAnsi="宋体"/>
                <w:color w:val="000000"/>
                <w:kern w:val="0"/>
                <w:szCs w:val="21"/>
                <w:highlight w:val="none"/>
              </w:rPr>
            </w:pPr>
            <w:r>
              <w:rPr>
                <w:rFonts w:ascii="宋体" w:hAnsi="宋体"/>
                <w:color w:val="000000"/>
                <w:kern w:val="0"/>
                <w:szCs w:val="21"/>
                <w:highlight w:val="none"/>
              </w:rPr>
              <w:t>投标文件的组成部分：</w:t>
            </w:r>
            <w:r>
              <w:rPr>
                <w:rFonts w:hint="eastAsia" w:ascii="宋体" w:hAnsi="宋体"/>
                <w:color w:val="000000"/>
                <w:kern w:val="0"/>
                <w:szCs w:val="21"/>
                <w:highlight w:val="none"/>
              </w:rPr>
              <w:t>资格审查文件</w:t>
            </w:r>
            <w:r>
              <w:rPr>
                <w:rFonts w:ascii="宋体" w:hAnsi="宋体"/>
                <w:color w:val="000000"/>
                <w:kern w:val="0"/>
                <w:szCs w:val="21"/>
                <w:highlight w:val="none"/>
              </w:rPr>
              <w:t>、</w:t>
            </w:r>
            <w:r>
              <w:rPr>
                <w:rFonts w:hint="eastAsia" w:ascii="宋体" w:hAnsi="宋体"/>
                <w:color w:val="000000"/>
                <w:kern w:val="0"/>
                <w:szCs w:val="21"/>
                <w:highlight w:val="none"/>
                <w:lang w:val="en-US" w:eastAsia="zh-CN"/>
              </w:rPr>
              <w:t>技术文件、商务</w:t>
            </w:r>
            <w:r>
              <w:rPr>
                <w:rFonts w:hint="eastAsia" w:ascii="宋体" w:hAnsi="宋体"/>
                <w:color w:val="000000"/>
                <w:kern w:val="0"/>
                <w:szCs w:val="21"/>
                <w:highlight w:val="none"/>
              </w:rPr>
              <w:t>文件</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部分组成</w:t>
            </w:r>
            <w:r>
              <w:rPr>
                <w:rFonts w:hint="eastAsia" w:ascii="宋体" w:hAnsi="宋体"/>
                <w:color w:val="000000"/>
                <w:kern w:val="0"/>
                <w:szCs w:val="21"/>
                <w:highlight w:val="none"/>
              </w:rPr>
              <w:t>。</w:t>
            </w:r>
          </w:p>
          <w:p w14:paraId="11D6F5C2">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rPr>
              <w:t>资格审查</w:t>
            </w:r>
            <w:r>
              <w:rPr>
                <w:rFonts w:ascii="宋体" w:hAnsi="宋体"/>
                <w:b/>
                <w:color w:val="000000"/>
                <w:kern w:val="0"/>
                <w:szCs w:val="21"/>
                <w:highlight w:val="none"/>
              </w:rPr>
              <w:t>文件包括但不限于以下内容:</w:t>
            </w:r>
          </w:p>
          <w:p w14:paraId="6BDD9C6C">
            <w:pPr>
              <w:numPr>
                <w:ilvl w:val="0"/>
                <w:numId w:val="0"/>
              </w:numPr>
              <w:spacing w:line="240" w:lineRule="auto"/>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（1）法定代表人资格证明书及法定代表人授权委托书（如无授权时，只需提供法定代表人资格证明书），法定代表人及被授权人身份证正反面复印件；</w:t>
            </w:r>
          </w:p>
          <w:p w14:paraId="25205BC3">
            <w:pPr>
              <w:numPr>
                <w:ilvl w:val="0"/>
                <w:numId w:val="0"/>
              </w:numPr>
              <w:spacing w:line="240" w:lineRule="auto"/>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（2）</w:t>
            </w:r>
            <w:r>
              <w:rPr>
                <w:rFonts w:ascii="宋体" w:hAnsi="宋体"/>
                <w:szCs w:val="21"/>
              </w:rPr>
              <w:t>投标人有效的营业执照副本或事业单位法人证书等证明文件复印件；</w:t>
            </w:r>
          </w:p>
          <w:p w14:paraId="38453A7E">
            <w:pPr>
              <w:numPr>
                <w:ilvl w:val="0"/>
                <w:numId w:val="0"/>
              </w:numPr>
              <w:wordWrap/>
              <w:spacing w:line="240" w:lineRule="auto"/>
              <w:jc w:val="left"/>
              <w:rPr>
                <w:rFonts w:hint="eastAsia" w:ascii="宋体" w:hAnsi="宋体" w:eastAsia="宋体"/>
                <w:color w:val="000000"/>
                <w:kern w:val="0"/>
                <w:sz w:val="21"/>
                <w:szCs w:val="21"/>
                <w:highlight w:val="none"/>
              </w:rPr>
            </w:pPr>
            <w:r>
              <w:rPr>
                <w:rFonts w:hint="eastAsia" w:ascii="宋体" w:hAnsi="宋体"/>
                <w:color w:val="000000"/>
                <w:kern w:val="0"/>
                <w:sz w:val="21"/>
                <w:szCs w:val="21"/>
                <w:highlight w:val="none"/>
              </w:rPr>
              <w:t>（3）提供</w:t>
            </w:r>
            <w:r>
              <w:rPr>
                <w:rFonts w:hint="eastAsia" w:ascii="宋体" w:hAnsi="宋体"/>
                <w:color w:val="000000"/>
                <w:kern w:val="0"/>
                <w:szCs w:val="21"/>
                <w:highlight w:val="none"/>
              </w:rPr>
              <w:t>信用信息报告（信用中国网址：https://www.creditchina.gov.cn/）</w:t>
            </w:r>
            <w:r>
              <w:rPr>
                <w:rFonts w:hint="eastAsia" w:ascii="宋体" w:hAnsi="宋体" w:eastAsia="宋体"/>
                <w:color w:val="000000"/>
                <w:kern w:val="0"/>
                <w:sz w:val="21"/>
                <w:szCs w:val="21"/>
                <w:highlight w:val="none"/>
                <w:lang w:eastAsia="zh-CN"/>
              </w:rPr>
              <w:t>；</w:t>
            </w:r>
          </w:p>
          <w:p w14:paraId="39EADCA8">
            <w:pPr>
              <w:numPr>
                <w:ilvl w:val="0"/>
                <w:numId w:val="0"/>
              </w:numPr>
              <w:spacing w:line="240" w:lineRule="auto"/>
              <w:jc w:val="left"/>
              <w:rPr>
                <w:rFonts w:hint="eastAsia" w:ascii="宋体" w:hAnsi="宋体" w:eastAsia="宋体"/>
                <w:color w:val="000000"/>
                <w:kern w:val="0"/>
                <w:sz w:val="21"/>
                <w:szCs w:val="21"/>
                <w:highlight w:val="none"/>
                <w:lang w:val="en-US" w:eastAsia="zh-CN"/>
              </w:rPr>
            </w:pPr>
            <w:r>
              <w:rPr>
                <w:rFonts w:hint="eastAsia" w:ascii="宋体" w:hAnsi="宋体" w:eastAsia="宋体"/>
                <w:color w:val="000000"/>
                <w:kern w:val="0"/>
                <w:sz w:val="21"/>
                <w:szCs w:val="21"/>
                <w:highlight w:val="none"/>
                <w:lang w:val="en-US" w:eastAsia="zh-CN"/>
              </w:rPr>
              <w:t>（</w:t>
            </w:r>
            <w:r>
              <w:rPr>
                <w:rFonts w:hint="eastAsia" w:ascii="宋体" w:hAnsi="宋体"/>
                <w:color w:val="000000"/>
                <w:kern w:val="0"/>
                <w:sz w:val="21"/>
                <w:szCs w:val="21"/>
                <w:highlight w:val="none"/>
                <w:lang w:val="en-US" w:eastAsia="zh-CN"/>
              </w:rPr>
              <w:t>4</w:t>
            </w:r>
            <w:r>
              <w:rPr>
                <w:rFonts w:hint="eastAsia" w:ascii="宋体" w:hAnsi="宋体" w:eastAsia="宋体"/>
                <w:color w:val="000000"/>
                <w:kern w:val="0"/>
                <w:sz w:val="21"/>
                <w:szCs w:val="21"/>
                <w:highlight w:val="none"/>
                <w:lang w:val="en-US" w:eastAsia="zh-CN"/>
              </w:rPr>
              <w:t>）提供由第三方出具的2023或2024年度的财务报表（显示净利润为正值）或提供基本户开户银行在投标截止前30日内开具的资信证明；</w:t>
            </w:r>
          </w:p>
          <w:p w14:paraId="121E37D0">
            <w:pPr>
              <w:numPr>
                <w:ilvl w:val="0"/>
                <w:numId w:val="0"/>
              </w:numPr>
              <w:spacing w:line="240" w:lineRule="auto"/>
              <w:jc w:val="left"/>
              <w:rPr>
                <w:rFonts w:hint="eastAsia" w:ascii="宋体" w:hAnsi="宋体" w:eastAsia="宋体"/>
                <w:color w:val="000000"/>
                <w:kern w:val="0"/>
                <w:sz w:val="21"/>
                <w:szCs w:val="21"/>
                <w:highlight w:val="none"/>
              </w:rPr>
            </w:pPr>
            <w:r>
              <w:rPr>
                <w:rFonts w:hint="eastAsia" w:ascii="宋体" w:hAnsi="宋体" w:eastAsia="宋体"/>
                <w:color w:val="000000"/>
                <w:kern w:val="0"/>
                <w:sz w:val="21"/>
                <w:szCs w:val="21"/>
                <w:highlight w:val="none"/>
                <w:lang w:eastAsia="zh-CN"/>
              </w:rPr>
              <w:t>（</w:t>
            </w:r>
            <w:r>
              <w:rPr>
                <w:rFonts w:hint="eastAsia" w:ascii="宋体" w:hAnsi="宋体"/>
                <w:color w:val="000000"/>
                <w:kern w:val="0"/>
                <w:sz w:val="21"/>
                <w:szCs w:val="21"/>
                <w:highlight w:val="none"/>
                <w:lang w:val="en-US" w:eastAsia="zh-CN"/>
              </w:rPr>
              <w:t>5</w:t>
            </w:r>
            <w:r>
              <w:rPr>
                <w:rFonts w:hint="eastAsia" w:ascii="宋体" w:hAnsi="宋体" w:eastAsia="宋体"/>
                <w:color w:val="000000"/>
                <w:kern w:val="0"/>
                <w:sz w:val="21"/>
                <w:szCs w:val="21"/>
                <w:highlight w:val="none"/>
                <w:lang w:eastAsia="zh-CN"/>
              </w:rPr>
              <w:t>）</w:t>
            </w:r>
            <w:r>
              <w:rPr>
                <w:rFonts w:hint="eastAsia" w:ascii="宋体" w:hAnsi="宋体" w:eastAsia="宋体"/>
                <w:color w:val="000000"/>
                <w:kern w:val="0"/>
                <w:sz w:val="21"/>
                <w:szCs w:val="21"/>
                <w:highlight w:val="none"/>
              </w:rPr>
              <w:t>承诺书；</w:t>
            </w:r>
          </w:p>
          <w:p w14:paraId="4D915AC6">
            <w:pPr>
              <w:numPr>
                <w:ilvl w:val="0"/>
                <w:numId w:val="0"/>
              </w:numPr>
              <w:spacing w:line="240" w:lineRule="auto"/>
              <w:jc w:val="left"/>
              <w:rPr>
                <w:rFonts w:hint="eastAsia" w:ascii="宋体" w:hAnsi="宋体" w:eastAsia="宋体"/>
                <w:color w:val="000000"/>
                <w:kern w:val="0"/>
                <w:sz w:val="21"/>
                <w:szCs w:val="21"/>
                <w:highlight w:val="none"/>
              </w:rPr>
            </w:pPr>
            <w:r>
              <w:rPr>
                <w:rFonts w:hint="eastAsia" w:ascii="宋体" w:hAnsi="宋体" w:eastAsia="宋体"/>
                <w:color w:val="000000"/>
                <w:kern w:val="0"/>
                <w:sz w:val="21"/>
                <w:szCs w:val="21"/>
                <w:highlight w:val="none"/>
              </w:rPr>
              <w:t>（</w:t>
            </w:r>
            <w:r>
              <w:rPr>
                <w:rFonts w:hint="eastAsia" w:ascii="宋体" w:hAnsi="宋体"/>
                <w:color w:val="000000"/>
                <w:kern w:val="0"/>
                <w:sz w:val="21"/>
                <w:szCs w:val="21"/>
                <w:highlight w:val="none"/>
                <w:lang w:val="en-US" w:eastAsia="zh-CN"/>
              </w:rPr>
              <w:t>6</w:t>
            </w:r>
            <w:r>
              <w:rPr>
                <w:rFonts w:hint="eastAsia" w:ascii="宋体" w:hAnsi="宋体" w:eastAsia="宋体"/>
                <w:color w:val="000000"/>
                <w:kern w:val="0"/>
                <w:sz w:val="21"/>
                <w:szCs w:val="21"/>
                <w:highlight w:val="none"/>
              </w:rPr>
              <w:t>）投标人认为需要提交的其他资料。</w:t>
            </w:r>
          </w:p>
          <w:p w14:paraId="5783CA0D">
            <w:pPr>
              <w:widowControl/>
              <w:numPr>
                <w:ilvl w:val="0"/>
                <w:numId w:val="0"/>
              </w:numPr>
              <w:jc w:val="left"/>
              <w:rPr>
                <w:rFonts w:hint="eastAsia"/>
              </w:rPr>
            </w:pPr>
            <w:r>
              <w:rPr>
                <w:rFonts w:hint="eastAsia" w:ascii="宋体" w:hAnsi="宋体"/>
                <w:b/>
                <w:color w:val="000000"/>
                <w:kern w:val="0"/>
                <w:szCs w:val="21"/>
                <w:highlight w:val="none"/>
                <w:lang w:val="en-US" w:eastAsia="zh-CN"/>
              </w:rPr>
              <w:t>技术</w:t>
            </w:r>
            <w:r>
              <w:rPr>
                <w:rFonts w:hint="eastAsia" w:ascii="宋体" w:hAnsi="宋体"/>
                <w:b/>
                <w:color w:val="000000"/>
                <w:kern w:val="0"/>
                <w:szCs w:val="21"/>
                <w:highlight w:val="none"/>
                <w:lang w:eastAsia="zh-CN"/>
              </w:rPr>
              <w:t>文件</w:t>
            </w:r>
            <w:r>
              <w:rPr>
                <w:rFonts w:ascii="宋体" w:hAnsi="宋体"/>
                <w:b/>
                <w:color w:val="000000"/>
                <w:kern w:val="0"/>
                <w:szCs w:val="21"/>
                <w:highlight w:val="none"/>
              </w:rPr>
              <w:t>包括但不限于以下内容</w:t>
            </w:r>
            <w:r>
              <w:rPr>
                <w:rFonts w:hint="eastAsia" w:ascii="宋体" w:hAnsi="宋体"/>
                <w:b/>
                <w:color w:val="000000"/>
                <w:kern w:val="0"/>
                <w:szCs w:val="21"/>
                <w:highlight w:val="none"/>
              </w:rPr>
              <w:t>：</w:t>
            </w:r>
          </w:p>
          <w:p w14:paraId="23B27173">
            <w:pPr>
              <w:numPr>
                <w:ilvl w:val="0"/>
                <w:numId w:val="0"/>
              </w:numPr>
              <w:spacing w:line="240" w:lineRule="auto"/>
              <w:ind w:left="0" w:firstLine="0" w:firstLineChars="0"/>
              <w:jc w:val="left"/>
              <w:rPr>
                <w:rFonts w:hint="eastAsia" w:ascii="宋体" w:hAnsi="宋体"/>
                <w:bCs w:val="0"/>
                <w:color w:val="000000"/>
                <w:kern w:val="0"/>
                <w:sz w:val="21"/>
                <w:szCs w:val="21"/>
                <w:highlight w:val="none"/>
                <w:lang w:eastAsia="zh-CN"/>
              </w:rPr>
            </w:pPr>
            <w:r>
              <w:rPr>
                <w:rFonts w:hint="eastAsia" w:ascii="宋体" w:hAnsi="宋体"/>
                <w:bCs w:val="0"/>
                <w:color w:val="000000"/>
                <w:kern w:val="0"/>
                <w:sz w:val="21"/>
                <w:szCs w:val="21"/>
                <w:highlight w:val="none"/>
                <w:lang w:val="en-US" w:eastAsia="zh-CN"/>
              </w:rPr>
              <w:t>（1）投标人基本情况一览表</w:t>
            </w:r>
            <w:r>
              <w:rPr>
                <w:rFonts w:hint="eastAsia" w:ascii="宋体" w:hAnsi="宋体"/>
                <w:bCs w:val="0"/>
                <w:color w:val="000000"/>
                <w:kern w:val="0"/>
                <w:sz w:val="21"/>
                <w:szCs w:val="21"/>
                <w:highlight w:val="none"/>
                <w:lang w:eastAsia="zh-CN"/>
              </w:rPr>
              <w:t>；</w:t>
            </w:r>
          </w:p>
          <w:p w14:paraId="164FECB3">
            <w:pPr>
              <w:numPr>
                <w:ilvl w:val="0"/>
                <w:numId w:val="0"/>
              </w:numPr>
              <w:spacing w:line="240" w:lineRule="auto"/>
              <w:ind w:left="0" w:firstLine="0" w:firstLineChars="0"/>
              <w:jc w:val="left"/>
              <w:rPr>
                <w:rFonts w:hint="eastAsia" w:ascii="宋体" w:hAnsi="宋体" w:eastAsia="宋体" w:cs="Times New Roman"/>
                <w:color w:val="000000"/>
                <w:kern w:val="0"/>
                <w:sz w:val="21"/>
                <w:szCs w:val="21"/>
                <w:highlight w:val="none"/>
                <w:lang w:val="en-US" w:eastAsia="zh-CN" w:bidi="ar-SA"/>
              </w:rPr>
            </w:pPr>
            <w:r>
              <w:rPr>
                <w:rFonts w:hint="eastAsia" w:ascii="宋体" w:hAnsi="宋体" w:cs="Times New Roman"/>
                <w:color w:val="000000"/>
                <w:kern w:val="0"/>
                <w:sz w:val="21"/>
                <w:szCs w:val="21"/>
                <w:highlight w:val="none"/>
                <w:lang w:val="en-US" w:eastAsia="zh-CN" w:bidi="ar-SA"/>
              </w:rPr>
              <w:t>（2）</w:t>
            </w:r>
            <w:r>
              <w:rPr>
                <w:rFonts w:hint="eastAsia" w:ascii="宋体" w:hAnsi="宋体" w:eastAsia="宋体" w:cs="Times New Roman"/>
                <w:color w:val="000000"/>
                <w:kern w:val="0"/>
                <w:sz w:val="21"/>
                <w:szCs w:val="21"/>
                <w:highlight w:val="none"/>
                <w:lang w:val="en-US" w:eastAsia="zh-CN" w:bidi="ar-SA"/>
              </w:rPr>
              <w:t>合同条款响应表；</w:t>
            </w:r>
          </w:p>
          <w:p w14:paraId="330A476B">
            <w:pPr>
              <w:numPr>
                <w:ilvl w:val="0"/>
                <w:numId w:val="0"/>
              </w:numPr>
              <w:spacing w:line="240" w:lineRule="auto"/>
              <w:ind w:left="0" w:firstLine="0" w:firstLineChars="0"/>
              <w:jc w:val="left"/>
              <w:rPr>
                <w:rFonts w:hint="eastAsia" w:ascii="宋体" w:hAnsi="宋体"/>
                <w:color w:val="000000"/>
                <w:kern w:val="0"/>
                <w:sz w:val="21"/>
                <w:szCs w:val="21"/>
                <w:highlight w:val="none"/>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3</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rPr>
              <w:t>技术</w:t>
            </w:r>
            <w:r>
              <w:rPr>
                <w:rFonts w:hint="eastAsia" w:ascii="宋体" w:hAnsi="宋体" w:eastAsia="宋体" w:cs="Times New Roman"/>
                <w:color w:val="000000"/>
                <w:kern w:val="0"/>
                <w:sz w:val="21"/>
                <w:szCs w:val="21"/>
                <w:highlight w:val="none"/>
                <w:lang w:val="en-US" w:eastAsia="zh-CN"/>
              </w:rPr>
              <w:t>条款响应表</w:t>
            </w:r>
            <w:r>
              <w:rPr>
                <w:rFonts w:hint="eastAsia" w:ascii="宋体" w:hAnsi="宋体"/>
                <w:color w:val="000000"/>
                <w:kern w:val="0"/>
                <w:sz w:val="21"/>
                <w:szCs w:val="21"/>
                <w:highlight w:val="none"/>
              </w:rPr>
              <w:t>；</w:t>
            </w:r>
          </w:p>
          <w:p w14:paraId="43157F12">
            <w:pPr>
              <w:numPr>
                <w:ilvl w:val="0"/>
                <w:numId w:val="0"/>
              </w:numPr>
              <w:spacing w:line="240" w:lineRule="auto"/>
              <w:ind w:left="0" w:firstLine="0" w:firstLineChars="0"/>
              <w:jc w:val="left"/>
              <w:rPr>
                <w:rFonts w:hint="eastAsia" w:ascii="宋体" w:hAnsi="宋体"/>
                <w:color w:val="000000"/>
                <w:kern w:val="0"/>
                <w:sz w:val="21"/>
                <w:szCs w:val="21"/>
                <w:highlight w:val="none"/>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4</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olor w:val="000000"/>
                <w:kern w:val="0"/>
                <w:sz w:val="21"/>
                <w:szCs w:val="21"/>
                <w:highlight w:val="none"/>
              </w:rPr>
              <w:t>按期交货承诺书；</w:t>
            </w:r>
          </w:p>
          <w:p w14:paraId="37B3AA4C">
            <w:pPr>
              <w:numPr>
                <w:ilvl w:val="0"/>
                <w:numId w:val="0"/>
              </w:numPr>
              <w:spacing w:line="240" w:lineRule="auto"/>
              <w:ind w:left="0" w:firstLine="0" w:firstLineChars="0"/>
              <w:jc w:val="left"/>
              <w:rPr>
                <w:rFonts w:hint="eastAsia" w:ascii="宋体" w:hAnsi="宋体"/>
                <w:color w:val="000000"/>
                <w:kern w:val="0"/>
                <w:sz w:val="21"/>
                <w:szCs w:val="21"/>
                <w:highlight w:val="none"/>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5</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olor w:val="000000"/>
                <w:kern w:val="0"/>
                <w:sz w:val="21"/>
                <w:szCs w:val="21"/>
                <w:highlight w:val="none"/>
              </w:rPr>
              <w:t>售后服务承诺书；</w:t>
            </w:r>
          </w:p>
          <w:p w14:paraId="13F874D5">
            <w:pPr>
              <w:widowControl/>
              <w:numPr>
                <w:ilvl w:val="0"/>
                <w:numId w:val="0"/>
              </w:numPr>
              <w:spacing w:line="240" w:lineRule="auto"/>
              <w:jc w:val="left"/>
              <w:rPr>
                <w:rFonts w:hint="eastAsia" w:ascii="宋体" w:hAnsi="宋体"/>
                <w:b w:val="0"/>
                <w:color w:val="000000"/>
                <w:kern w:val="0"/>
                <w:szCs w:val="21"/>
                <w:highlight w:val="none"/>
                <w:lang w:val="en-US" w:eastAsia="zh-CN"/>
              </w:rPr>
            </w:pPr>
            <w:r>
              <w:rPr>
                <w:rFonts w:hint="eastAsia" w:ascii="宋体" w:hAnsi="宋体"/>
                <w:b w:val="0"/>
                <w:color w:val="000000"/>
                <w:kern w:val="0"/>
                <w:szCs w:val="21"/>
                <w:highlight w:val="none"/>
                <w:lang w:val="en-US" w:eastAsia="zh-CN"/>
              </w:rPr>
              <w:t>（6）拟投入本项目人员情况表；</w:t>
            </w:r>
          </w:p>
          <w:p w14:paraId="2A4C018B">
            <w:pPr>
              <w:widowControl/>
              <w:numPr>
                <w:ilvl w:val="0"/>
                <w:numId w:val="0"/>
              </w:numPr>
              <w:spacing w:line="240" w:lineRule="auto"/>
              <w:jc w:val="left"/>
              <w:rPr>
                <w:rFonts w:hint="eastAsia" w:ascii="宋体" w:hAnsi="宋体"/>
                <w:b w:val="0"/>
                <w:color w:val="000000"/>
                <w:kern w:val="0"/>
                <w:szCs w:val="21"/>
                <w:highlight w:val="none"/>
                <w:lang w:val="en-US" w:eastAsia="zh-CN"/>
              </w:rPr>
            </w:pPr>
            <w:r>
              <w:rPr>
                <w:rFonts w:hint="eastAsia" w:ascii="宋体" w:hAnsi="宋体"/>
                <w:b w:val="0"/>
                <w:color w:val="000000"/>
                <w:kern w:val="0"/>
                <w:szCs w:val="21"/>
                <w:highlight w:val="none"/>
                <w:lang w:val="en-US" w:eastAsia="zh-CN"/>
              </w:rPr>
              <w:t>（7）售后服务方案；</w:t>
            </w:r>
          </w:p>
          <w:p w14:paraId="4BF8A954">
            <w:pPr>
              <w:widowControl/>
              <w:numPr>
                <w:ilvl w:val="0"/>
                <w:numId w:val="0"/>
              </w:numPr>
              <w:spacing w:line="240" w:lineRule="auto"/>
              <w:jc w:val="left"/>
              <w:rPr>
                <w:rFonts w:hint="eastAsia" w:ascii="宋体" w:hAnsi="宋体"/>
                <w:b w:val="0"/>
                <w:color w:val="000000"/>
                <w:kern w:val="0"/>
                <w:szCs w:val="21"/>
                <w:highlight w:val="none"/>
                <w:lang w:val="en-US" w:eastAsia="zh-CN"/>
              </w:rPr>
            </w:pPr>
            <w:r>
              <w:rPr>
                <w:rFonts w:hint="eastAsia" w:ascii="宋体" w:hAnsi="宋体"/>
                <w:b w:val="0"/>
                <w:color w:val="000000"/>
                <w:kern w:val="0"/>
                <w:szCs w:val="21"/>
                <w:highlight w:val="none"/>
                <w:lang w:val="en-US" w:eastAsia="zh-CN"/>
              </w:rPr>
              <w:t>（7）应急供货服务方案；</w:t>
            </w:r>
          </w:p>
          <w:p w14:paraId="632ABE9D">
            <w:pPr>
              <w:widowControl/>
              <w:numPr>
                <w:ilvl w:val="0"/>
                <w:numId w:val="0"/>
              </w:numPr>
              <w:spacing w:line="240" w:lineRule="auto"/>
              <w:jc w:val="left"/>
              <w:rPr>
                <w:rFonts w:hint="eastAsia" w:ascii="宋体" w:hAnsi="宋体"/>
                <w:b w:val="0"/>
                <w:color w:val="000000"/>
                <w:kern w:val="0"/>
                <w:szCs w:val="21"/>
                <w:highlight w:val="none"/>
                <w:lang w:val="en-US" w:eastAsia="zh-CN"/>
              </w:rPr>
            </w:pPr>
            <w:r>
              <w:rPr>
                <w:rFonts w:hint="eastAsia" w:ascii="宋体" w:hAnsi="宋体"/>
                <w:b w:val="0"/>
                <w:color w:val="000000"/>
                <w:kern w:val="0"/>
                <w:szCs w:val="21"/>
                <w:highlight w:val="none"/>
                <w:lang w:val="en-US" w:eastAsia="zh-CN"/>
              </w:rPr>
              <w:t>（8）质量保证措施、安全保证措施；</w:t>
            </w:r>
          </w:p>
          <w:p w14:paraId="55A6D593">
            <w:pPr>
              <w:widowControl/>
              <w:numPr>
                <w:ilvl w:val="0"/>
                <w:numId w:val="0"/>
              </w:numPr>
              <w:spacing w:line="240" w:lineRule="auto"/>
              <w:jc w:val="left"/>
              <w:rPr>
                <w:rFonts w:hint="eastAsia" w:ascii="宋体" w:hAnsi="宋体"/>
                <w:b w:val="0"/>
                <w:color w:val="000000"/>
                <w:kern w:val="0"/>
                <w:szCs w:val="21"/>
                <w:highlight w:val="none"/>
                <w:lang w:val="en-US" w:eastAsia="zh-CN"/>
              </w:rPr>
            </w:pPr>
            <w:r>
              <w:rPr>
                <w:rFonts w:hint="eastAsia" w:ascii="宋体" w:hAnsi="宋体"/>
                <w:b w:val="0"/>
                <w:color w:val="000000"/>
                <w:kern w:val="0"/>
                <w:szCs w:val="21"/>
                <w:highlight w:val="none"/>
                <w:lang w:val="en-US" w:eastAsia="zh-CN"/>
              </w:rPr>
              <w:t>（9）投标人认为需要提交的其他资料</w:t>
            </w:r>
            <w:r>
              <w:rPr>
                <w:rFonts w:hint="eastAsia" w:ascii="宋体" w:hAnsi="宋体" w:eastAsia="宋体" w:cs="Times New Roman"/>
                <w:b w:val="0"/>
                <w:color w:val="000000"/>
                <w:kern w:val="0"/>
                <w:szCs w:val="21"/>
                <w:highlight w:val="none"/>
                <w:lang w:val="en-US" w:eastAsia="zh-CN"/>
              </w:rPr>
              <w:t>（如有）</w:t>
            </w:r>
            <w:r>
              <w:rPr>
                <w:rFonts w:hint="eastAsia" w:ascii="宋体" w:hAnsi="宋体"/>
                <w:b w:val="0"/>
                <w:color w:val="000000"/>
                <w:kern w:val="0"/>
                <w:szCs w:val="21"/>
                <w:highlight w:val="none"/>
                <w:lang w:val="en-US" w:eastAsia="zh-CN"/>
              </w:rPr>
              <w:t>。</w:t>
            </w:r>
          </w:p>
          <w:p w14:paraId="30F76BA2">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lang w:val="en-US" w:eastAsia="zh-CN"/>
              </w:rPr>
              <w:t>商务</w:t>
            </w:r>
            <w:r>
              <w:rPr>
                <w:rFonts w:hint="eastAsia" w:ascii="宋体" w:hAnsi="宋体"/>
                <w:b/>
                <w:color w:val="000000"/>
                <w:kern w:val="0"/>
                <w:szCs w:val="21"/>
                <w:highlight w:val="none"/>
                <w:lang w:eastAsia="zh-CN"/>
              </w:rPr>
              <w:t>文件</w:t>
            </w:r>
            <w:r>
              <w:rPr>
                <w:rFonts w:ascii="宋体" w:hAnsi="宋体"/>
                <w:b/>
                <w:color w:val="000000"/>
                <w:kern w:val="0"/>
                <w:szCs w:val="21"/>
                <w:highlight w:val="none"/>
              </w:rPr>
              <w:t>包括但不限于以下内容</w:t>
            </w:r>
            <w:r>
              <w:rPr>
                <w:rFonts w:hint="eastAsia" w:ascii="宋体" w:hAnsi="宋体"/>
                <w:b/>
                <w:color w:val="000000"/>
                <w:kern w:val="0"/>
                <w:szCs w:val="21"/>
                <w:highlight w:val="none"/>
              </w:rPr>
              <w:t>：</w:t>
            </w:r>
          </w:p>
          <w:p w14:paraId="320B41EF">
            <w:pPr>
              <w:numPr>
                <w:ilvl w:val="0"/>
                <w:numId w:val="0"/>
              </w:numPr>
              <w:spacing w:line="240" w:lineRule="auto"/>
              <w:ind w:firstLine="0" w:firstLineChars="0"/>
              <w:jc w:val="left"/>
              <w:rPr>
                <w:rFonts w:hint="eastAsia" w:ascii="宋体" w:hAnsi="宋体"/>
                <w:bCs w:val="0"/>
                <w:color w:val="000000"/>
                <w:kern w:val="0"/>
                <w:sz w:val="21"/>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1</w:t>
            </w: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rPr>
              <w:t>投标函；</w:t>
            </w:r>
          </w:p>
          <w:p w14:paraId="45B5757F">
            <w:pPr>
              <w:numPr>
                <w:ilvl w:val="0"/>
                <w:numId w:val="0"/>
              </w:numPr>
              <w:spacing w:line="240" w:lineRule="auto"/>
              <w:ind w:firstLine="0" w:firstLineChars="0"/>
              <w:jc w:val="left"/>
              <w:rPr>
                <w:rFonts w:hint="eastAsia" w:ascii="宋体" w:hAnsi="宋体"/>
                <w:bCs w:val="0"/>
                <w:color w:val="000000"/>
                <w:kern w:val="0"/>
                <w:sz w:val="21"/>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2</w:t>
            </w:r>
            <w:r>
              <w:rPr>
                <w:rFonts w:hint="eastAsia" w:ascii="宋体" w:hAnsi="宋体"/>
                <w:bCs w:val="0"/>
                <w:color w:val="000000"/>
                <w:kern w:val="0"/>
                <w:sz w:val="21"/>
                <w:szCs w:val="21"/>
                <w:highlight w:val="none"/>
                <w:lang w:eastAsia="zh-CN"/>
              </w:rPr>
              <w:t>）</w:t>
            </w:r>
            <w:r>
              <w:rPr>
                <w:rFonts w:hint="eastAsia" w:ascii="宋体" w:hAnsi="宋体"/>
                <w:color w:val="000000"/>
                <w:kern w:val="0"/>
                <w:sz w:val="21"/>
                <w:szCs w:val="21"/>
                <w:highlight w:val="none"/>
              </w:rPr>
              <w:t>投标报价表</w:t>
            </w:r>
            <w:r>
              <w:rPr>
                <w:rFonts w:hint="eastAsia" w:ascii="宋体" w:hAnsi="宋体"/>
                <w:bCs w:val="0"/>
                <w:color w:val="000000"/>
                <w:kern w:val="0"/>
                <w:sz w:val="21"/>
                <w:szCs w:val="21"/>
                <w:highlight w:val="none"/>
              </w:rPr>
              <w:t>；</w:t>
            </w:r>
          </w:p>
          <w:p w14:paraId="14B208A9">
            <w:pPr>
              <w:numPr>
                <w:ilvl w:val="0"/>
                <w:numId w:val="0"/>
              </w:numPr>
              <w:spacing w:line="240" w:lineRule="auto"/>
              <w:ind w:firstLine="0" w:firstLineChars="0"/>
              <w:jc w:val="left"/>
              <w:rPr>
                <w:rFonts w:hint="eastAsia" w:ascii="宋体" w:hAnsi="宋体"/>
                <w:color w:val="000000"/>
                <w:kern w:val="0"/>
                <w:sz w:val="21"/>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3</w:t>
            </w: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投标报价明细表</w:t>
            </w:r>
            <w:r>
              <w:rPr>
                <w:rFonts w:hint="eastAsia" w:ascii="宋体" w:hAnsi="宋体"/>
                <w:bCs w:val="0"/>
                <w:color w:val="000000"/>
                <w:kern w:val="0"/>
                <w:sz w:val="21"/>
                <w:szCs w:val="21"/>
                <w:highlight w:val="none"/>
              </w:rPr>
              <w:t>；</w:t>
            </w:r>
          </w:p>
          <w:p w14:paraId="477CA37D">
            <w:pPr>
              <w:numPr>
                <w:ilvl w:val="0"/>
                <w:numId w:val="0"/>
              </w:numPr>
              <w:spacing w:line="240" w:lineRule="auto"/>
              <w:ind w:firstLine="0" w:firstLineChars="0"/>
              <w:jc w:val="left"/>
              <w:rPr>
                <w:rFonts w:hint="eastAsia" w:ascii="宋体" w:hAnsi="宋体"/>
                <w:color w:val="000000"/>
                <w:kern w:val="0"/>
                <w:sz w:val="21"/>
                <w:szCs w:val="21"/>
                <w:highlight w:val="none"/>
              </w:rPr>
            </w:pPr>
            <w:r>
              <w:rPr>
                <w:rFonts w:hint="eastAsia" w:ascii="宋体" w:hAnsi="宋体"/>
                <w:bCs w:val="0"/>
                <w:color w:val="000000"/>
                <w:kern w:val="0"/>
                <w:sz w:val="21"/>
                <w:szCs w:val="21"/>
                <w:highlight w:val="none"/>
                <w:lang w:val="en-US" w:eastAsia="zh-CN"/>
              </w:rPr>
              <w:t>（4）投标人类似项目业绩表；</w:t>
            </w:r>
            <w:r>
              <w:rPr>
                <w:rFonts w:hint="eastAsia" w:ascii="宋体" w:hAnsi="宋体"/>
                <w:color w:val="000000"/>
                <w:kern w:val="0"/>
                <w:sz w:val="21"/>
                <w:szCs w:val="21"/>
                <w:highlight w:val="none"/>
              </w:rPr>
              <w:t xml:space="preserve"> </w:t>
            </w:r>
          </w:p>
          <w:p w14:paraId="2A996F41">
            <w:pPr>
              <w:numPr>
                <w:ilvl w:val="0"/>
                <w:numId w:val="0"/>
              </w:numPr>
              <w:spacing w:line="240" w:lineRule="auto"/>
              <w:jc w:val="left"/>
              <w:rPr>
                <w:rFonts w:ascii="宋体" w:hAnsi="宋体"/>
                <w:color w:val="000000"/>
                <w:kern w:val="0"/>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5</w:t>
            </w:r>
            <w:r>
              <w:rPr>
                <w:rFonts w:hint="eastAsia" w:ascii="宋体" w:hAnsi="宋体"/>
                <w:bCs w:val="0"/>
                <w:color w:val="000000"/>
                <w:kern w:val="0"/>
                <w:sz w:val="21"/>
                <w:szCs w:val="21"/>
                <w:highlight w:val="none"/>
                <w:lang w:eastAsia="zh-CN"/>
              </w:rPr>
              <w:t>）</w:t>
            </w:r>
            <w:r>
              <w:rPr>
                <w:rFonts w:hint="eastAsia" w:ascii="宋体" w:hAnsi="宋体"/>
                <w:color w:val="000000"/>
                <w:kern w:val="0"/>
                <w:sz w:val="21"/>
                <w:szCs w:val="21"/>
                <w:highlight w:val="none"/>
              </w:rPr>
              <w:t>投标人认为需要提交的其他资料（如有）。</w:t>
            </w:r>
          </w:p>
        </w:tc>
      </w:tr>
      <w:tr w14:paraId="0699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1BD4390">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3.2</w:t>
            </w:r>
          </w:p>
        </w:tc>
        <w:tc>
          <w:tcPr>
            <w:tcW w:w="2210" w:type="dxa"/>
            <w:noWrap w:val="0"/>
            <w:vAlign w:val="center"/>
          </w:tcPr>
          <w:p w14:paraId="59DE110C">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投标报价</w:t>
            </w:r>
          </w:p>
        </w:tc>
        <w:tc>
          <w:tcPr>
            <w:tcW w:w="6327" w:type="dxa"/>
            <w:noWrap w:val="0"/>
            <w:vAlign w:val="center"/>
          </w:tcPr>
          <w:p w14:paraId="35F05113">
            <w:pPr>
              <w:spacing w:line="360" w:lineRule="auto"/>
              <w:rPr>
                <w:iCs/>
                <w:color w:val="000000"/>
                <w:highlight w:val="none"/>
              </w:rPr>
            </w:pPr>
            <w:r>
              <w:rPr>
                <w:rFonts w:hint="eastAsia"/>
                <w:iCs/>
                <w:color w:val="000000"/>
                <w:highlight w:val="none"/>
              </w:rPr>
              <w:t>1、</w:t>
            </w:r>
            <w:r>
              <w:rPr>
                <w:rFonts w:hint="eastAsia" w:ascii="宋体" w:hAnsi="宋体" w:cs="仿宋"/>
                <w:color w:val="000000"/>
                <w:highlight w:val="none"/>
                <w:lang w:val="zh-CN"/>
              </w:rPr>
              <w:t>投标人所报价格应为含税全包价，包括：</w:t>
            </w:r>
          </w:p>
          <w:p w14:paraId="7655EE69">
            <w:pPr>
              <w:spacing w:line="360" w:lineRule="auto"/>
              <w:jc w:val="left"/>
              <w:rPr>
                <w:iCs/>
                <w:color w:val="000000"/>
                <w:highlight w:val="none"/>
              </w:rPr>
            </w:pPr>
            <w:r>
              <w:rPr>
                <w:rFonts w:hint="eastAsia"/>
                <w:iCs/>
                <w:color w:val="000000"/>
                <w:highlight w:val="none"/>
              </w:rPr>
              <w:t>（1）货物</w:t>
            </w:r>
            <w:r>
              <w:rPr>
                <w:rFonts w:hint="eastAsia"/>
                <w:iCs/>
                <w:color w:val="000000"/>
                <w:highlight w:val="none"/>
                <w:lang w:val="en-US" w:eastAsia="zh-CN"/>
              </w:rPr>
              <w:t>价款、税金</w:t>
            </w:r>
            <w:r>
              <w:rPr>
                <w:rFonts w:hint="eastAsia"/>
                <w:iCs/>
                <w:color w:val="000000"/>
                <w:highlight w:val="none"/>
              </w:rPr>
              <w:t>；</w:t>
            </w:r>
          </w:p>
          <w:p w14:paraId="01A6B3A8">
            <w:pPr>
              <w:spacing w:line="360" w:lineRule="auto"/>
              <w:jc w:val="left"/>
              <w:rPr>
                <w:iCs/>
                <w:color w:val="000000"/>
                <w:highlight w:val="none"/>
              </w:rPr>
            </w:pPr>
            <w:r>
              <w:rPr>
                <w:rFonts w:hint="eastAsia"/>
                <w:iCs/>
                <w:color w:val="000000"/>
                <w:highlight w:val="none"/>
              </w:rPr>
              <w:t>（2）货物的制造准备、制造、出厂检测、检验、验收、运输、供货、装卸</w:t>
            </w:r>
            <w:r>
              <w:rPr>
                <w:rFonts w:hint="eastAsia"/>
                <w:iCs/>
                <w:color w:val="000000"/>
                <w:highlight w:val="none"/>
                <w:lang w:eastAsia="zh-CN"/>
              </w:rPr>
              <w:t>、</w:t>
            </w:r>
            <w:r>
              <w:rPr>
                <w:rFonts w:hint="eastAsia"/>
                <w:iCs/>
                <w:color w:val="000000"/>
                <w:highlight w:val="none"/>
              </w:rPr>
              <w:t>包装、</w:t>
            </w:r>
            <w:r>
              <w:rPr>
                <w:rFonts w:hint="eastAsia" w:ascii="宋体" w:hAnsi="宋体" w:cs="宋体"/>
                <w:color w:val="000000"/>
                <w:highlight w:val="none"/>
              </w:rPr>
              <w:t>成品保护、</w:t>
            </w:r>
            <w:r>
              <w:rPr>
                <w:rFonts w:hint="eastAsia" w:ascii="宋体" w:hAnsi="宋体" w:cs="仿宋"/>
                <w:color w:val="000000"/>
                <w:highlight w:val="none"/>
                <w:lang w:val="zh-CN"/>
              </w:rPr>
              <w:t>保修、</w:t>
            </w:r>
            <w:r>
              <w:rPr>
                <w:rFonts w:hint="eastAsia"/>
                <w:color w:val="000000"/>
                <w:highlight w:val="none"/>
              </w:rPr>
              <w:t>人工工资、管理费、利润、抽样及其检测费（如有）</w:t>
            </w:r>
            <w:r>
              <w:rPr>
                <w:rFonts w:hint="eastAsia" w:ascii="宋体" w:hAnsi="宋体"/>
                <w:color w:val="000000"/>
                <w:szCs w:val="21"/>
                <w:highlight w:val="none"/>
              </w:rPr>
              <w:t>、技术服务、</w:t>
            </w:r>
            <w:r>
              <w:rPr>
                <w:rFonts w:hint="eastAsia"/>
                <w:iCs/>
                <w:color w:val="000000"/>
                <w:highlight w:val="none"/>
              </w:rPr>
              <w:t>质量保证期服务</w:t>
            </w:r>
            <w:r>
              <w:rPr>
                <w:rFonts w:hint="eastAsia" w:ascii="宋体" w:hAnsi="宋体"/>
                <w:color w:val="000000"/>
                <w:szCs w:val="21"/>
                <w:highlight w:val="none"/>
              </w:rPr>
              <w:t>及</w:t>
            </w:r>
            <w:r>
              <w:rPr>
                <w:rFonts w:hint="eastAsia"/>
                <w:iCs/>
                <w:color w:val="000000"/>
                <w:highlight w:val="none"/>
              </w:rPr>
              <w:t>必要的售后服务等费用；</w:t>
            </w:r>
          </w:p>
          <w:p w14:paraId="4F3F7E6C">
            <w:pPr>
              <w:pStyle w:val="23"/>
              <w:spacing w:line="360" w:lineRule="auto"/>
              <w:rPr>
                <w:color w:val="000000"/>
                <w:highlight w:val="none"/>
              </w:rPr>
            </w:pPr>
            <w:r>
              <w:rPr>
                <w:rFonts w:hint="eastAsia" w:hAnsi="宋体"/>
                <w:color w:val="000000"/>
                <w:highlight w:val="none"/>
              </w:rPr>
              <w:t>（</w:t>
            </w:r>
            <w:r>
              <w:rPr>
                <w:rFonts w:hint="eastAsia" w:hAnsi="宋体"/>
                <w:color w:val="000000"/>
                <w:highlight w:val="none"/>
                <w:lang w:val="en-US" w:eastAsia="zh-CN"/>
              </w:rPr>
              <w:t>3</w:t>
            </w:r>
            <w:r>
              <w:rPr>
                <w:rFonts w:hint="eastAsia" w:hAnsi="宋体"/>
                <w:color w:val="000000"/>
                <w:highlight w:val="none"/>
              </w:rPr>
              <w:t>）</w:t>
            </w:r>
            <w:r>
              <w:rPr>
                <w:rFonts w:hint="eastAsia"/>
                <w:iCs/>
                <w:color w:val="000000"/>
                <w:highlight w:val="none"/>
              </w:rPr>
              <w:t>必要的保险费用。</w:t>
            </w:r>
          </w:p>
          <w:p w14:paraId="0E8E6790">
            <w:pPr>
              <w:spacing w:line="360" w:lineRule="auto"/>
              <w:jc w:val="left"/>
              <w:rPr>
                <w:rFonts w:hAnsi="宋体"/>
                <w:color w:val="000000"/>
                <w:szCs w:val="21"/>
                <w:highlight w:val="none"/>
              </w:rPr>
            </w:pPr>
            <w:r>
              <w:rPr>
                <w:rFonts w:hint="eastAsia"/>
                <w:iCs/>
                <w:color w:val="000000"/>
                <w:highlight w:val="none"/>
              </w:rPr>
              <w:t>（</w:t>
            </w:r>
            <w:r>
              <w:rPr>
                <w:rFonts w:hint="eastAsia"/>
                <w:iCs/>
                <w:color w:val="000000"/>
                <w:highlight w:val="none"/>
                <w:lang w:val="en-US" w:eastAsia="zh-CN"/>
              </w:rPr>
              <w:t>4</w:t>
            </w:r>
            <w:r>
              <w:rPr>
                <w:rFonts w:hint="eastAsia"/>
                <w:iCs/>
                <w:color w:val="000000"/>
                <w:highlight w:val="none"/>
              </w:rPr>
              <w:t>）</w:t>
            </w:r>
            <w:r>
              <w:rPr>
                <w:rFonts w:hint="eastAsia"/>
                <w:color w:val="000000"/>
                <w:highlight w:val="none"/>
              </w:rPr>
              <w:t>履行合同标的全过程产生的所有成本和费用及</w:t>
            </w:r>
            <w:r>
              <w:rPr>
                <w:rFonts w:hint="eastAsia" w:ascii="宋体" w:hAnsi="宋体"/>
                <w:color w:val="000000"/>
                <w:szCs w:val="21"/>
                <w:highlight w:val="none"/>
              </w:rPr>
              <w:t>招标文件要求提供的所有伴随服务、工程等</w:t>
            </w:r>
            <w:r>
              <w:rPr>
                <w:rFonts w:hint="eastAsia" w:hAnsi="宋体"/>
                <w:color w:val="000000"/>
                <w:szCs w:val="21"/>
                <w:highlight w:val="none"/>
              </w:rPr>
              <w:t>一切</w:t>
            </w:r>
            <w:r>
              <w:rPr>
                <w:rFonts w:hint="eastAsia" w:ascii="宋体" w:hAnsi="宋体"/>
                <w:color w:val="000000"/>
                <w:szCs w:val="21"/>
                <w:highlight w:val="none"/>
              </w:rPr>
              <w:t>费用</w:t>
            </w:r>
            <w:r>
              <w:rPr>
                <w:rFonts w:hint="eastAsia" w:hAnsi="宋体"/>
                <w:color w:val="000000"/>
                <w:szCs w:val="21"/>
                <w:highlight w:val="none"/>
              </w:rPr>
              <w:t>。</w:t>
            </w:r>
          </w:p>
          <w:p w14:paraId="77CF86AF">
            <w:pPr>
              <w:spacing w:line="360" w:lineRule="auto"/>
              <w:jc w:val="left"/>
              <w:rPr>
                <w:rFonts w:ascii="宋体" w:hAnsi="宋体"/>
                <w:b/>
                <w:color w:val="000000"/>
                <w:highlight w:val="none"/>
              </w:rPr>
            </w:pPr>
            <w:r>
              <w:rPr>
                <w:rFonts w:hint="eastAsia" w:ascii="宋体" w:hAnsi="宋体"/>
                <w:b/>
                <w:color w:val="000000"/>
                <w:highlight w:val="none"/>
                <w:lang w:val="en-US" w:eastAsia="zh-CN"/>
              </w:rPr>
              <w:t>2</w:t>
            </w:r>
            <w:r>
              <w:rPr>
                <w:rFonts w:hint="eastAsia" w:ascii="宋体" w:hAnsi="宋体"/>
                <w:b/>
                <w:color w:val="000000"/>
                <w:highlight w:val="none"/>
              </w:rPr>
              <w:t>.</w:t>
            </w:r>
            <w:r>
              <w:rPr>
                <w:rFonts w:ascii="宋体" w:hAnsi="宋体"/>
                <w:b/>
                <w:color w:val="000000"/>
                <w:highlight w:val="none"/>
              </w:rPr>
              <w:t>本项目采用含税</w:t>
            </w:r>
            <w:r>
              <w:rPr>
                <w:rFonts w:hint="eastAsia" w:ascii="宋体" w:hAnsi="宋体"/>
                <w:b/>
                <w:color w:val="000000"/>
                <w:highlight w:val="none"/>
                <w:lang w:val="en-US" w:eastAsia="zh-CN"/>
              </w:rPr>
              <w:t>网价基准价</w:t>
            </w:r>
            <w:r>
              <w:rPr>
                <w:rFonts w:ascii="宋体" w:hAnsi="宋体"/>
                <w:b/>
                <w:color w:val="000000"/>
                <w:highlight w:val="none"/>
              </w:rPr>
              <w:t>下调</w:t>
            </w:r>
            <w:r>
              <w:rPr>
                <w:rFonts w:hint="eastAsia" w:ascii="宋体" w:hAnsi="宋体"/>
                <w:b/>
                <w:color w:val="000000"/>
                <w:highlight w:val="none"/>
                <w:lang w:val="en-US" w:eastAsia="zh-CN"/>
              </w:rPr>
              <w:t>金额</w:t>
            </w:r>
            <w:r>
              <w:rPr>
                <w:rFonts w:ascii="宋体" w:hAnsi="宋体"/>
                <w:b/>
                <w:color w:val="000000"/>
                <w:highlight w:val="none"/>
              </w:rPr>
              <w:t>报价</w:t>
            </w:r>
            <w:r>
              <w:rPr>
                <w:rFonts w:hint="eastAsia" w:ascii="宋体" w:hAnsi="宋体"/>
                <w:b/>
                <w:color w:val="000000"/>
                <w:highlight w:val="none"/>
                <w:lang w:eastAsia="zh-CN"/>
              </w:rPr>
              <w:t>，</w:t>
            </w:r>
            <w:r>
              <w:rPr>
                <w:rFonts w:hint="eastAsia" w:ascii="宋体" w:hAnsi="宋体"/>
                <w:b/>
                <w:color w:val="000000"/>
                <w:highlight w:val="none"/>
                <w:lang w:val="en-US" w:eastAsia="zh-CN"/>
              </w:rPr>
              <w:t>投标人含税单价为网价基准价扣减X元/吨（X≥20）（下调金额以10元为一档，例如：20元、30元以此类推）</w:t>
            </w:r>
            <w:r>
              <w:rPr>
                <w:rFonts w:hint="eastAsia" w:ascii="宋体" w:hAnsi="宋体"/>
                <w:b/>
                <w:color w:val="000000"/>
                <w:highlight w:val="none"/>
                <w:lang w:eastAsia="zh-CN"/>
              </w:rPr>
              <w:t>，</w:t>
            </w:r>
            <w:r>
              <w:rPr>
                <w:rFonts w:ascii="宋体" w:hAnsi="宋体"/>
                <w:b/>
                <w:color w:val="000000"/>
                <w:highlight w:val="none"/>
              </w:rPr>
              <w:t>在签订本项目合同时，</w:t>
            </w:r>
            <w:r>
              <w:rPr>
                <w:rFonts w:hint="eastAsia" w:ascii="宋体" w:hAnsi="宋体"/>
                <w:b/>
                <w:color w:val="000000"/>
                <w:highlight w:val="none"/>
              </w:rPr>
              <w:t>遵循国家现行税法的相关规定</w:t>
            </w:r>
            <w:r>
              <w:rPr>
                <w:rFonts w:ascii="宋体" w:hAnsi="宋体"/>
                <w:b/>
                <w:color w:val="000000"/>
                <w:highlight w:val="none"/>
              </w:rPr>
              <w:t>在中标人含税</w:t>
            </w:r>
            <w:r>
              <w:rPr>
                <w:rFonts w:hint="eastAsia" w:ascii="宋体" w:hAnsi="宋体"/>
                <w:b/>
                <w:color w:val="000000"/>
                <w:highlight w:val="none"/>
              </w:rPr>
              <w:t>单</w:t>
            </w:r>
            <w:r>
              <w:rPr>
                <w:rFonts w:ascii="宋体" w:hAnsi="宋体"/>
                <w:b/>
                <w:color w:val="000000"/>
                <w:highlight w:val="none"/>
              </w:rPr>
              <w:t>价</w:t>
            </w:r>
            <w:r>
              <w:rPr>
                <w:rFonts w:hint="eastAsia" w:ascii="宋体" w:hAnsi="宋体"/>
                <w:b/>
                <w:color w:val="000000"/>
                <w:highlight w:val="none"/>
              </w:rPr>
              <w:t>和合价</w:t>
            </w:r>
            <w:r>
              <w:rPr>
                <w:rFonts w:ascii="宋体" w:hAnsi="宋体"/>
                <w:b/>
                <w:color w:val="000000"/>
                <w:highlight w:val="none"/>
              </w:rPr>
              <w:t>的基础上</w:t>
            </w:r>
            <w:r>
              <w:rPr>
                <w:rFonts w:hint="eastAsia" w:ascii="宋体" w:hAnsi="宋体"/>
                <w:b/>
                <w:color w:val="000000"/>
                <w:highlight w:val="none"/>
              </w:rPr>
              <w:t>逐项增加税费，并</w:t>
            </w:r>
            <w:r>
              <w:rPr>
                <w:rFonts w:ascii="宋体" w:hAnsi="宋体"/>
                <w:b/>
                <w:color w:val="000000"/>
                <w:highlight w:val="none"/>
              </w:rPr>
              <w:t>明确相应税率和税金。</w:t>
            </w:r>
          </w:p>
          <w:p w14:paraId="51647956">
            <w:pPr>
              <w:spacing w:line="360" w:lineRule="auto"/>
              <w:rPr>
                <w:color w:val="000000"/>
                <w:highlight w:val="none"/>
              </w:rPr>
            </w:pPr>
            <w:r>
              <w:rPr>
                <w:rFonts w:hint="eastAsia" w:ascii="宋体" w:hAnsi="宋体"/>
                <w:b/>
                <w:color w:val="000000"/>
                <w:highlight w:val="none"/>
                <w:lang w:val="en-US" w:eastAsia="zh-CN"/>
              </w:rPr>
              <w:t>3</w:t>
            </w:r>
            <w:r>
              <w:rPr>
                <w:rFonts w:hint="eastAsia" w:ascii="宋体" w:hAnsi="宋体"/>
                <w:b/>
                <w:color w:val="000000"/>
                <w:highlight w:val="none"/>
              </w:rPr>
              <w:t>.本项目含税报价是指含增值税报价。</w:t>
            </w:r>
          </w:p>
        </w:tc>
      </w:tr>
      <w:tr w14:paraId="1941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BBC6A0">
            <w:pPr>
              <w:spacing w:line="360" w:lineRule="exact"/>
              <w:jc w:val="center"/>
              <w:rPr>
                <w:rFonts w:ascii="宋体" w:hAnsi="宋体"/>
                <w:color w:val="000000"/>
                <w:kern w:val="0"/>
                <w:szCs w:val="21"/>
                <w:highlight w:val="none"/>
              </w:rPr>
            </w:pPr>
            <w:r>
              <w:rPr>
                <w:rFonts w:ascii="宋体" w:hAnsi="宋体"/>
                <w:color w:val="000000"/>
                <w:kern w:val="0"/>
                <w:szCs w:val="21"/>
                <w:highlight w:val="none"/>
              </w:rPr>
              <w:t>3.3.1</w:t>
            </w:r>
          </w:p>
        </w:tc>
        <w:tc>
          <w:tcPr>
            <w:tcW w:w="2210" w:type="dxa"/>
            <w:noWrap w:val="0"/>
            <w:vAlign w:val="center"/>
          </w:tcPr>
          <w:p w14:paraId="15E90BD3">
            <w:pPr>
              <w:spacing w:line="360" w:lineRule="exact"/>
              <w:rPr>
                <w:rFonts w:ascii="宋体" w:hAnsi="宋体"/>
                <w:color w:val="000000"/>
                <w:kern w:val="0"/>
                <w:szCs w:val="21"/>
                <w:highlight w:val="none"/>
              </w:rPr>
            </w:pPr>
            <w:r>
              <w:rPr>
                <w:rFonts w:ascii="宋体" w:hAnsi="宋体"/>
                <w:color w:val="000000"/>
                <w:kern w:val="0"/>
                <w:szCs w:val="21"/>
                <w:highlight w:val="none"/>
              </w:rPr>
              <w:t>投标有效期</w:t>
            </w:r>
          </w:p>
        </w:tc>
        <w:tc>
          <w:tcPr>
            <w:tcW w:w="6327" w:type="dxa"/>
            <w:noWrap w:val="0"/>
            <w:vAlign w:val="center"/>
          </w:tcPr>
          <w:p w14:paraId="2C2BEA42">
            <w:pPr>
              <w:spacing w:line="360" w:lineRule="exact"/>
              <w:rPr>
                <w:rFonts w:ascii="宋体" w:hAnsi="宋体"/>
                <w:color w:val="000000"/>
                <w:kern w:val="0"/>
                <w:szCs w:val="21"/>
                <w:highlight w:val="none"/>
              </w:rPr>
            </w:pPr>
            <w:r>
              <w:rPr>
                <w:rFonts w:hint="eastAsia" w:ascii="宋体" w:hAnsi="宋体"/>
                <w:color w:val="000000"/>
                <w:kern w:val="0"/>
                <w:szCs w:val="21"/>
                <w:highlight w:val="none"/>
              </w:rPr>
              <w:t>递交投标文件的截止之日起120日历天</w:t>
            </w:r>
          </w:p>
        </w:tc>
      </w:tr>
      <w:tr w14:paraId="6182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B3A195A">
            <w:pPr>
              <w:spacing w:line="360" w:lineRule="exact"/>
              <w:jc w:val="center"/>
              <w:rPr>
                <w:rFonts w:ascii="宋体" w:hAnsi="宋体"/>
                <w:color w:val="000000"/>
                <w:kern w:val="0"/>
                <w:szCs w:val="21"/>
                <w:highlight w:val="none"/>
              </w:rPr>
            </w:pPr>
            <w:r>
              <w:rPr>
                <w:rFonts w:ascii="宋体" w:hAnsi="宋体"/>
                <w:color w:val="000000"/>
                <w:kern w:val="0"/>
                <w:szCs w:val="21"/>
                <w:highlight w:val="none"/>
              </w:rPr>
              <w:t>3.4</w:t>
            </w:r>
          </w:p>
        </w:tc>
        <w:tc>
          <w:tcPr>
            <w:tcW w:w="2210" w:type="dxa"/>
            <w:noWrap w:val="0"/>
            <w:vAlign w:val="center"/>
          </w:tcPr>
          <w:p w14:paraId="41E596C1">
            <w:pPr>
              <w:spacing w:line="360" w:lineRule="exact"/>
              <w:jc w:val="left"/>
              <w:rPr>
                <w:rFonts w:ascii="宋体" w:hAnsi="宋体"/>
                <w:color w:val="000000"/>
                <w:kern w:val="0"/>
                <w:szCs w:val="21"/>
                <w:highlight w:val="none"/>
              </w:rPr>
            </w:pPr>
            <w:r>
              <w:rPr>
                <w:rFonts w:hint="eastAsia" w:ascii="宋体" w:hAnsi="宋体"/>
                <w:color w:val="000000"/>
                <w:kern w:val="0"/>
                <w:szCs w:val="21"/>
                <w:highlight w:val="none"/>
              </w:rPr>
              <w:t>投标保证金</w:t>
            </w:r>
          </w:p>
        </w:tc>
        <w:tc>
          <w:tcPr>
            <w:tcW w:w="6327" w:type="dxa"/>
            <w:noWrap w:val="0"/>
            <w:vAlign w:val="center"/>
          </w:tcPr>
          <w:p w14:paraId="54FA53D8">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tc>
      </w:tr>
      <w:tr w14:paraId="31B5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83C2AC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3.5</w:t>
            </w:r>
          </w:p>
        </w:tc>
        <w:tc>
          <w:tcPr>
            <w:tcW w:w="2210" w:type="dxa"/>
            <w:noWrap w:val="0"/>
            <w:vAlign w:val="center"/>
          </w:tcPr>
          <w:p w14:paraId="3643BE2B">
            <w:pPr>
              <w:spacing w:line="360" w:lineRule="exact"/>
              <w:rPr>
                <w:rFonts w:ascii="宋体" w:hAnsi="宋体"/>
                <w:color w:val="000000"/>
                <w:kern w:val="0"/>
                <w:szCs w:val="21"/>
                <w:highlight w:val="none"/>
              </w:rPr>
            </w:pPr>
            <w:r>
              <w:rPr>
                <w:rFonts w:ascii="宋体" w:hAnsi="宋体"/>
                <w:color w:val="000000"/>
                <w:kern w:val="0"/>
                <w:szCs w:val="21"/>
                <w:highlight w:val="none"/>
              </w:rPr>
              <w:t>是否允许递交备选投标方案</w:t>
            </w:r>
          </w:p>
        </w:tc>
        <w:tc>
          <w:tcPr>
            <w:tcW w:w="6327" w:type="dxa"/>
            <w:noWrap w:val="0"/>
            <w:vAlign w:val="center"/>
          </w:tcPr>
          <w:p w14:paraId="2FFD45F4">
            <w:pPr>
              <w:spacing w:line="360" w:lineRule="exact"/>
              <w:rPr>
                <w:rFonts w:ascii="宋体" w:hAnsi="宋体"/>
                <w:color w:val="000000"/>
                <w:kern w:val="0"/>
                <w:szCs w:val="21"/>
                <w:highlight w:val="none"/>
                <w:u w:val="single"/>
              </w:rPr>
            </w:pPr>
            <w:r>
              <w:rPr>
                <w:rFonts w:ascii="宋体" w:hAnsi="宋体"/>
                <w:color w:val="000000"/>
                <w:kern w:val="0"/>
                <w:szCs w:val="21"/>
                <w:highlight w:val="none"/>
              </w:rPr>
              <w:t>不允许</w:t>
            </w:r>
          </w:p>
        </w:tc>
      </w:tr>
      <w:tr w14:paraId="544C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450C92B">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3.6.3</w:t>
            </w:r>
          </w:p>
        </w:tc>
        <w:tc>
          <w:tcPr>
            <w:tcW w:w="2210" w:type="dxa"/>
            <w:noWrap w:val="0"/>
            <w:vAlign w:val="center"/>
          </w:tcPr>
          <w:p w14:paraId="3DFBFA71">
            <w:pPr>
              <w:spacing w:line="360" w:lineRule="exact"/>
              <w:rPr>
                <w:rFonts w:ascii="宋体" w:hAnsi="宋体"/>
                <w:color w:val="000000"/>
                <w:kern w:val="0"/>
                <w:szCs w:val="21"/>
                <w:highlight w:val="none"/>
              </w:rPr>
            </w:pPr>
            <w:r>
              <w:rPr>
                <w:rFonts w:ascii="宋体" w:hAnsi="宋体"/>
                <w:color w:val="000000"/>
                <w:kern w:val="0"/>
                <w:szCs w:val="21"/>
                <w:highlight w:val="none"/>
              </w:rPr>
              <w:t>签字和（或）盖章要求</w:t>
            </w:r>
          </w:p>
        </w:tc>
        <w:tc>
          <w:tcPr>
            <w:tcW w:w="6327" w:type="dxa"/>
            <w:noWrap w:val="0"/>
            <w:vAlign w:val="center"/>
          </w:tcPr>
          <w:p w14:paraId="0A5B6CB4">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投标人应当按照招标文件规定，在投标文件封面和文本中明确要求之处进行签字或者盖章。</w:t>
            </w:r>
          </w:p>
        </w:tc>
      </w:tr>
      <w:tr w14:paraId="7C8E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04A7A8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3.6.4</w:t>
            </w:r>
          </w:p>
        </w:tc>
        <w:tc>
          <w:tcPr>
            <w:tcW w:w="2210" w:type="dxa"/>
            <w:noWrap w:val="0"/>
            <w:vAlign w:val="center"/>
          </w:tcPr>
          <w:p w14:paraId="3A1F9877">
            <w:pPr>
              <w:spacing w:line="360" w:lineRule="exact"/>
              <w:rPr>
                <w:rFonts w:ascii="宋体" w:hAnsi="宋体"/>
                <w:color w:val="000000"/>
                <w:kern w:val="0"/>
                <w:szCs w:val="21"/>
                <w:highlight w:val="none"/>
              </w:rPr>
            </w:pPr>
            <w:r>
              <w:rPr>
                <w:rFonts w:ascii="宋体" w:hAnsi="宋体"/>
                <w:color w:val="000000"/>
                <w:kern w:val="0"/>
                <w:szCs w:val="21"/>
                <w:highlight w:val="none"/>
              </w:rPr>
              <w:t>投标文件份数</w:t>
            </w:r>
          </w:p>
        </w:tc>
        <w:tc>
          <w:tcPr>
            <w:tcW w:w="6327" w:type="dxa"/>
            <w:noWrap w:val="0"/>
            <w:vAlign w:val="center"/>
          </w:tcPr>
          <w:p w14:paraId="502AF1A7">
            <w:pPr>
              <w:spacing w:line="360" w:lineRule="exact"/>
              <w:rPr>
                <w:rFonts w:ascii="宋体" w:hAnsi="宋体"/>
                <w:caps/>
                <w:color w:val="000000"/>
                <w:szCs w:val="21"/>
                <w:highlight w:val="none"/>
              </w:rPr>
            </w:pPr>
            <w:r>
              <w:rPr>
                <w:rFonts w:ascii="宋体" w:hAnsi="宋体"/>
                <w:caps/>
                <w:color w:val="000000"/>
                <w:szCs w:val="21"/>
                <w:highlight w:val="none"/>
              </w:rPr>
              <w:t>正本</w:t>
            </w:r>
            <w:r>
              <w:rPr>
                <w:rFonts w:hint="eastAsia" w:ascii="宋体" w:hAnsi="宋体"/>
                <w:caps/>
                <w:color w:val="000000"/>
                <w:szCs w:val="21"/>
                <w:highlight w:val="none"/>
                <w:u w:val="single"/>
              </w:rPr>
              <w:t xml:space="preserve"> </w:t>
            </w:r>
            <w:r>
              <w:rPr>
                <w:rFonts w:ascii="宋体" w:hAnsi="宋体"/>
                <w:b/>
                <w:caps/>
                <w:color w:val="000000"/>
                <w:szCs w:val="21"/>
                <w:highlight w:val="none"/>
                <w:u w:val="single"/>
              </w:rPr>
              <w:t>一</w:t>
            </w:r>
            <w:r>
              <w:rPr>
                <w:rFonts w:hint="eastAsia"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，副本</w:t>
            </w:r>
            <w:r>
              <w:rPr>
                <w:rFonts w:ascii="宋体" w:hAnsi="宋体"/>
                <w:b/>
                <w:caps/>
                <w:color w:val="000000"/>
                <w:szCs w:val="21"/>
                <w:highlight w:val="none"/>
                <w:u w:val="single"/>
              </w:rPr>
              <w:t xml:space="preserve"> </w:t>
            </w:r>
            <w:r>
              <w:rPr>
                <w:rFonts w:hint="eastAsia" w:ascii="宋体" w:hAnsi="宋体"/>
                <w:caps/>
                <w:color w:val="000000"/>
                <w:szCs w:val="21"/>
                <w:highlight w:val="none"/>
                <w:u w:val="single"/>
              </w:rPr>
              <w:t>四</w:t>
            </w:r>
            <w:r>
              <w:rPr>
                <w:rFonts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，并应随投标文件提交包含投标文件全部内容的电子文件U盘</w:t>
            </w:r>
            <w:r>
              <w:rPr>
                <w:rFonts w:hint="eastAsia" w:ascii="宋体" w:hAnsi="宋体"/>
                <w:b/>
                <w:caps/>
                <w:color w:val="000000"/>
                <w:szCs w:val="21"/>
                <w:highlight w:val="none"/>
                <w:u w:val="single"/>
              </w:rPr>
              <w:t xml:space="preserve"> 二 </w:t>
            </w:r>
            <w:r>
              <w:rPr>
                <w:rFonts w:hint="eastAsia" w:ascii="宋体" w:hAnsi="宋体"/>
                <w:caps/>
                <w:color w:val="000000"/>
                <w:szCs w:val="21"/>
                <w:highlight w:val="none"/>
              </w:rPr>
              <w:t>份。投标文件电子版内容及格式：包括office版本（文本内容为Word格式，</w:t>
            </w:r>
            <w:r>
              <w:rPr>
                <w:rFonts w:hint="eastAsia" w:ascii="宋体" w:hAnsi="宋体"/>
                <w:caps/>
                <w:color w:val="000000"/>
                <w:szCs w:val="21"/>
                <w:highlight w:val="none"/>
                <w:lang w:eastAsia="zh-CN"/>
              </w:rPr>
              <w:t>商务文件</w:t>
            </w:r>
            <w:r>
              <w:rPr>
                <w:rFonts w:hint="eastAsia" w:ascii="宋体" w:hAnsi="宋体"/>
                <w:caps/>
                <w:color w:val="000000"/>
                <w:szCs w:val="21"/>
                <w:highlight w:val="none"/>
              </w:rPr>
              <w:t>为word或Excel格式）的全套投标文件(资格审查文件</w:t>
            </w:r>
            <w:r>
              <w:rPr>
                <w:rFonts w:ascii="宋体" w:hAnsi="宋体"/>
                <w:caps/>
                <w:color w:val="000000"/>
                <w:szCs w:val="21"/>
                <w:highlight w:val="none"/>
              </w:rPr>
              <w:t>、</w:t>
            </w:r>
            <w:r>
              <w:rPr>
                <w:rFonts w:hint="eastAsia" w:ascii="宋体" w:hAnsi="宋体"/>
                <w:color w:val="000000"/>
                <w:kern w:val="0"/>
                <w:szCs w:val="21"/>
                <w:highlight w:val="none"/>
                <w:lang w:val="en-US" w:eastAsia="zh-CN"/>
              </w:rPr>
              <w:t>技术</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aps/>
                <w:color w:val="000000"/>
                <w:szCs w:val="21"/>
                <w:highlight w:val="none"/>
                <w:lang w:eastAsia="zh-CN"/>
              </w:rPr>
              <w:t>商务文件</w:t>
            </w:r>
            <w:r>
              <w:rPr>
                <w:rFonts w:hint="eastAsia" w:ascii="宋体" w:hAnsi="宋体"/>
                <w:caps/>
                <w:color w:val="000000"/>
                <w:szCs w:val="21"/>
                <w:highlight w:val="none"/>
              </w:rPr>
              <w:t>)和全套投标文件的正本盖章后PDF版的扫描件。</w:t>
            </w:r>
          </w:p>
          <w:p w14:paraId="02787909">
            <w:pPr>
              <w:spacing w:line="360" w:lineRule="exact"/>
              <w:rPr>
                <w:rFonts w:ascii="宋体" w:hAnsi="宋体"/>
                <w:color w:val="000000"/>
                <w:kern w:val="0"/>
                <w:szCs w:val="21"/>
                <w:highlight w:val="none"/>
              </w:rPr>
            </w:pPr>
            <w:r>
              <w:rPr>
                <w:rFonts w:hint="eastAsia" w:ascii="宋体" w:hAnsi="宋体"/>
                <w:caps/>
                <w:color w:val="000000"/>
                <w:szCs w:val="21"/>
                <w:highlight w:val="none"/>
              </w:rPr>
              <w:t>投标人中标后须按招标人要求另提供若干份副本。</w:t>
            </w:r>
          </w:p>
        </w:tc>
      </w:tr>
      <w:tr w14:paraId="362C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A8742C">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3.6.5</w:t>
            </w:r>
          </w:p>
        </w:tc>
        <w:tc>
          <w:tcPr>
            <w:tcW w:w="2210" w:type="dxa"/>
            <w:noWrap w:val="0"/>
            <w:vAlign w:val="center"/>
          </w:tcPr>
          <w:p w14:paraId="737DF19D">
            <w:pPr>
              <w:spacing w:line="360" w:lineRule="exact"/>
              <w:rPr>
                <w:rFonts w:ascii="宋体" w:hAnsi="宋体"/>
                <w:color w:val="000000"/>
                <w:kern w:val="0"/>
                <w:szCs w:val="21"/>
                <w:highlight w:val="none"/>
              </w:rPr>
            </w:pPr>
            <w:r>
              <w:rPr>
                <w:rFonts w:ascii="宋体" w:hAnsi="宋体"/>
                <w:color w:val="000000"/>
                <w:kern w:val="0"/>
                <w:szCs w:val="21"/>
                <w:highlight w:val="none"/>
              </w:rPr>
              <w:t>装订要求</w:t>
            </w:r>
          </w:p>
        </w:tc>
        <w:tc>
          <w:tcPr>
            <w:tcW w:w="6327" w:type="dxa"/>
            <w:noWrap w:val="0"/>
            <w:vAlign w:val="center"/>
          </w:tcPr>
          <w:p w14:paraId="2FF4B05A">
            <w:pPr>
              <w:spacing w:line="360" w:lineRule="exact"/>
              <w:rPr>
                <w:rFonts w:ascii="宋体" w:hAnsi="宋体"/>
                <w:color w:val="000000"/>
                <w:kern w:val="0"/>
                <w:szCs w:val="21"/>
                <w:highlight w:val="none"/>
              </w:rPr>
            </w:pPr>
            <w:bookmarkStart w:id="113" w:name="EB5b680c25c0a041ab8645025b2c354d54"/>
            <w:r>
              <w:rPr>
                <w:rFonts w:hint="eastAsia" w:ascii="宋体" w:hAnsi="宋体"/>
                <w:color w:val="000000"/>
                <w:kern w:val="0"/>
                <w:szCs w:val="21"/>
                <w:highlight w:val="none"/>
              </w:rPr>
              <w:t>分册装订，共分</w:t>
            </w:r>
            <w:r>
              <w:rPr>
                <w:rFonts w:hint="eastAsia" w:ascii="宋体" w:hAnsi="宋体"/>
                <w:color w:val="000000"/>
                <w:kern w:val="0"/>
                <w:szCs w:val="21"/>
                <w:highlight w:val="none"/>
                <w:lang w:val="en-US" w:eastAsia="zh-CN"/>
              </w:rPr>
              <w:t>3</w:t>
            </w:r>
            <w:r>
              <w:rPr>
                <w:rFonts w:hint="eastAsia" w:ascii="宋体" w:hAnsi="宋体"/>
                <w:color w:val="000000"/>
                <w:kern w:val="0"/>
                <w:szCs w:val="21"/>
                <w:highlight w:val="none"/>
              </w:rPr>
              <w:t>册，分别为：资格审查文件</w:t>
            </w:r>
            <w:r>
              <w:rPr>
                <w:rFonts w:ascii="宋体" w:hAnsi="宋体"/>
                <w:color w:val="000000"/>
                <w:kern w:val="0"/>
                <w:szCs w:val="21"/>
                <w:highlight w:val="none"/>
              </w:rPr>
              <w:t>、</w:t>
            </w:r>
            <w:r>
              <w:rPr>
                <w:rFonts w:hint="eastAsia" w:ascii="宋体" w:hAnsi="宋体"/>
                <w:color w:val="000000"/>
                <w:kern w:val="0"/>
                <w:szCs w:val="21"/>
                <w:highlight w:val="none"/>
                <w:lang w:val="en-US" w:eastAsia="zh-CN"/>
              </w:rPr>
              <w:t>技术</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商务文件</w:t>
            </w:r>
            <w:r>
              <w:rPr>
                <w:rFonts w:hint="eastAsia" w:ascii="宋体" w:hAnsi="宋体"/>
                <w:color w:val="000000"/>
                <w:kern w:val="0"/>
                <w:szCs w:val="21"/>
                <w:highlight w:val="none"/>
              </w:rPr>
              <w:t>。</w:t>
            </w:r>
          </w:p>
          <w:p w14:paraId="136F52BA">
            <w:pPr>
              <w:spacing w:line="360" w:lineRule="exact"/>
              <w:rPr>
                <w:rFonts w:ascii="宋体" w:hAnsi="宋体"/>
                <w:color w:val="000000"/>
                <w:kern w:val="0"/>
                <w:szCs w:val="21"/>
                <w:highlight w:val="none"/>
                <w:u w:val="single"/>
              </w:rPr>
            </w:pPr>
            <w:r>
              <w:rPr>
                <w:rFonts w:hint="eastAsia" w:ascii="宋体" w:hAnsi="宋体"/>
                <w:color w:val="000000"/>
                <w:kern w:val="0"/>
                <w:szCs w:val="21"/>
                <w:highlight w:val="none"/>
              </w:rPr>
              <w:t>投标文件每册装订应牢固、不易拆散和换页，不得采用活页装订</w:t>
            </w:r>
            <w:r>
              <w:rPr>
                <w:rFonts w:ascii="宋体" w:hAnsi="宋体"/>
                <w:color w:val="000000"/>
                <w:kern w:val="0"/>
                <w:szCs w:val="21"/>
                <w:highlight w:val="none"/>
              </w:rPr>
              <w:t>，建议采用软封面和胶装方式装订</w:t>
            </w:r>
            <w:r>
              <w:rPr>
                <w:rFonts w:hint="eastAsia" w:ascii="宋体" w:hAnsi="宋体"/>
                <w:color w:val="000000"/>
                <w:kern w:val="0"/>
                <w:szCs w:val="21"/>
                <w:highlight w:val="none"/>
              </w:rPr>
              <w:t>。</w:t>
            </w:r>
            <w:bookmarkEnd w:id="113"/>
          </w:p>
        </w:tc>
      </w:tr>
      <w:tr w14:paraId="5954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344133E">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4.1.1</w:t>
            </w:r>
          </w:p>
        </w:tc>
        <w:tc>
          <w:tcPr>
            <w:tcW w:w="2210" w:type="dxa"/>
            <w:noWrap w:val="0"/>
            <w:vAlign w:val="center"/>
          </w:tcPr>
          <w:p w14:paraId="625255F0">
            <w:pPr>
              <w:spacing w:line="360" w:lineRule="exact"/>
              <w:rPr>
                <w:rFonts w:ascii="宋体" w:hAnsi="宋体"/>
                <w:color w:val="000000"/>
                <w:kern w:val="0"/>
                <w:szCs w:val="21"/>
                <w:highlight w:val="none"/>
              </w:rPr>
            </w:pPr>
            <w:r>
              <w:rPr>
                <w:rFonts w:ascii="宋体" w:hAnsi="宋体"/>
                <w:color w:val="000000"/>
                <w:kern w:val="0"/>
                <w:szCs w:val="21"/>
                <w:highlight w:val="none"/>
              </w:rPr>
              <w:t>包装、密封</w:t>
            </w:r>
          </w:p>
        </w:tc>
        <w:tc>
          <w:tcPr>
            <w:tcW w:w="6327" w:type="dxa"/>
            <w:noWrap w:val="0"/>
            <w:vAlign w:val="top"/>
          </w:tcPr>
          <w:p w14:paraId="1D187DC8">
            <w:pPr>
              <w:spacing w:line="360" w:lineRule="exact"/>
              <w:rPr>
                <w:rFonts w:ascii="宋体" w:hAnsi="宋体"/>
                <w:color w:val="000000"/>
                <w:kern w:val="0"/>
                <w:szCs w:val="21"/>
                <w:highlight w:val="none"/>
              </w:rPr>
            </w:pPr>
            <w:r>
              <w:rPr>
                <w:rFonts w:ascii="宋体" w:hAnsi="宋体"/>
                <w:color w:val="000000"/>
                <w:kern w:val="0"/>
                <w:szCs w:val="21"/>
                <w:highlight w:val="none"/>
              </w:rPr>
              <w:t>投标人应将投标文件封装为</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个包，分别密封在投标文件密封箱/袋里，</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个包装中分别是：资格审查</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w:t>
            </w:r>
            <w:r>
              <w:rPr>
                <w:rFonts w:hint="eastAsia" w:ascii="宋体" w:hAnsi="宋体"/>
                <w:color w:val="000000"/>
                <w:kern w:val="0"/>
                <w:szCs w:val="21"/>
                <w:highlight w:val="none"/>
                <w:lang w:val="en-US" w:eastAsia="zh-CN"/>
              </w:rPr>
              <w:t>技术</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商务文件</w:t>
            </w:r>
            <w:r>
              <w:rPr>
                <w:rFonts w:ascii="宋体" w:hAnsi="宋体"/>
                <w:color w:val="000000"/>
                <w:kern w:val="0"/>
                <w:szCs w:val="21"/>
                <w:highlight w:val="none"/>
              </w:rPr>
              <w:t>正本和副本（电子版文件封入此包装内）。密封箱/袋上应清楚的标明“资格审查</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w:t>
            </w:r>
            <w:r>
              <w:rPr>
                <w:rFonts w:hint="eastAsia" w:ascii="宋体" w:hAnsi="宋体"/>
                <w:color w:val="000000"/>
                <w:kern w:val="0"/>
                <w:szCs w:val="21"/>
                <w:highlight w:val="none"/>
                <w:lang w:val="en-US" w:eastAsia="zh-CN"/>
              </w:rPr>
              <w:t>技术文件</w:t>
            </w:r>
            <w:r>
              <w:rPr>
                <w:rFonts w:hint="eastAsia" w:ascii="宋体" w:hAnsi="宋体"/>
                <w:color w:val="000000"/>
                <w:kern w:val="0"/>
                <w:szCs w:val="21"/>
                <w:highlight w:val="none"/>
                <w:lang w:eastAsia="zh-CN"/>
              </w:rPr>
              <w:t>”、</w:t>
            </w:r>
            <w:r>
              <w:rPr>
                <w:rFonts w:ascii="宋体" w:hAnsi="宋体"/>
                <w:color w:val="000000"/>
                <w:kern w:val="0"/>
                <w:szCs w:val="21"/>
                <w:highlight w:val="none"/>
              </w:rPr>
              <w:t>“</w:t>
            </w:r>
            <w:r>
              <w:rPr>
                <w:rFonts w:hint="eastAsia" w:ascii="宋体" w:hAnsi="宋体"/>
                <w:color w:val="000000"/>
                <w:kern w:val="0"/>
                <w:szCs w:val="21"/>
                <w:highlight w:val="none"/>
                <w:lang w:eastAsia="zh-CN"/>
              </w:rPr>
              <w:t>商务文件</w:t>
            </w:r>
            <w:r>
              <w:rPr>
                <w:rFonts w:ascii="宋体" w:hAnsi="宋体"/>
                <w:color w:val="000000"/>
                <w:kern w:val="0"/>
                <w:szCs w:val="21"/>
                <w:highlight w:val="none"/>
              </w:rPr>
              <w:t>”。最后，投标人</w:t>
            </w:r>
            <w:r>
              <w:rPr>
                <w:rFonts w:hint="eastAsia" w:ascii="宋体" w:hAnsi="宋体"/>
                <w:color w:val="000000"/>
                <w:kern w:val="0"/>
                <w:szCs w:val="21"/>
                <w:highlight w:val="none"/>
              </w:rPr>
              <w:t>可以</w:t>
            </w:r>
            <w:r>
              <w:rPr>
                <w:rFonts w:ascii="宋体" w:hAnsi="宋体"/>
                <w:color w:val="000000"/>
                <w:kern w:val="0"/>
                <w:szCs w:val="21"/>
                <w:highlight w:val="none"/>
              </w:rPr>
              <w:t>将上述</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个密封箱/袋</w:t>
            </w:r>
            <w:r>
              <w:rPr>
                <w:rFonts w:hint="eastAsia" w:ascii="宋体" w:hAnsi="宋体"/>
                <w:color w:val="000000"/>
                <w:kern w:val="0"/>
                <w:szCs w:val="21"/>
                <w:highlight w:val="none"/>
              </w:rPr>
              <w:t>单独或者</w:t>
            </w:r>
            <w:r>
              <w:rPr>
                <w:rFonts w:ascii="宋体" w:hAnsi="宋体"/>
                <w:color w:val="000000"/>
                <w:kern w:val="0"/>
                <w:szCs w:val="21"/>
                <w:highlight w:val="none"/>
              </w:rPr>
              <w:t>统一封装在一个</w:t>
            </w:r>
            <w:r>
              <w:rPr>
                <w:rFonts w:hint="eastAsia" w:ascii="宋体" w:hAnsi="宋体"/>
                <w:color w:val="000000"/>
                <w:kern w:val="0"/>
                <w:szCs w:val="21"/>
                <w:highlight w:val="none"/>
              </w:rPr>
              <w:t>或多个</w:t>
            </w:r>
            <w:r>
              <w:rPr>
                <w:rFonts w:ascii="宋体" w:hAnsi="宋体"/>
                <w:color w:val="000000"/>
                <w:kern w:val="0"/>
                <w:szCs w:val="21"/>
                <w:highlight w:val="none"/>
              </w:rPr>
              <w:t>大的密封箱/袋内</w:t>
            </w:r>
            <w:r>
              <w:rPr>
                <w:rFonts w:hint="eastAsia" w:ascii="宋体" w:hAnsi="宋体"/>
                <w:color w:val="000000"/>
                <w:kern w:val="0"/>
                <w:szCs w:val="21"/>
                <w:highlight w:val="none"/>
              </w:rPr>
              <w:t>递交。</w:t>
            </w:r>
          </w:p>
        </w:tc>
      </w:tr>
      <w:tr w14:paraId="5CF5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E10C8B5">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4.1.2</w:t>
            </w:r>
          </w:p>
        </w:tc>
        <w:tc>
          <w:tcPr>
            <w:tcW w:w="2210" w:type="dxa"/>
            <w:noWrap w:val="0"/>
            <w:vAlign w:val="center"/>
          </w:tcPr>
          <w:p w14:paraId="20322CC7">
            <w:pPr>
              <w:spacing w:line="360" w:lineRule="exact"/>
              <w:rPr>
                <w:rFonts w:ascii="宋体" w:hAnsi="宋体"/>
                <w:color w:val="000000"/>
                <w:kern w:val="0"/>
                <w:szCs w:val="21"/>
                <w:highlight w:val="none"/>
              </w:rPr>
            </w:pPr>
            <w:r>
              <w:rPr>
                <w:rFonts w:ascii="宋体" w:hAnsi="宋体"/>
                <w:color w:val="000000"/>
                <w:kern w:val="0"/>
                <w:szCs w:val="21"/>
                <w:highlight w:val="none"/>
              </w:rPr>
              <w:t>封套上写明</w:t>
            </w:r>
          </w:p>
        </w:tc>
        <w:tc>
          <w:tcPr>
            <w:tcW w:w="6327" w:type="dxa"/>
            <w:noWrap w:val="0"/>
            <w:vAlign w:val="center"/>
          </w:tcPr>
          <w:p w14:paraId="7C3EAC84">
            <w:pPr>
              <w:spacing w:line="360" w:lineRule="exact"/>
              <w:rPr>
                <w:rFonts w:hint="eastAsia" w:ascii="宋体" w:hAnsi="宋体"/>
                <w:color w:val="000000"/>
                <w:kern w:val="0"/>
                <w:szCs w:val="21"/>
                <w:highlight w:val="none"/>
                <w:lang w:eastAsia="zh-CN"/>
              </w:rPr>
            </w:pPr>
            <w:bookmarkStart w:id="114" w:name="EB0be95bca8da54c898cfef17ae2750f28"/>
            <w:r>
              <w:rPr>
                <w:rFonts w:hint="eastAsia" w:ascii="宋体" w:hAnsi="宋体"/>
                <w:color w:val="000000"/>
                <w:kern w:val="0"/>
                <w:szCs w:val="21"/>
                <w:highlight w:val="none"/>
              </w:rPr>
              <w:t>招标编号：</w:t>
            </w:r>
            <w:r>
              <w:rPr>
                <w:rFonts w:hint="eastAsia" w:ascii="宋体" w:hAnsi="宋体"/>
                <w:color w:val="000000"/>
                <w:kern w:val="0"/>
                <w:szCs w:val="21"/>
                <w:highlight w:val="none"/>
                <w:lang w:eastAsia="zh-CN"/>
              </w:rPr>
              <w:t>SKZX-2025-HW012</w:t>
            </w:r>
          </w:p>
          <w:p w14:paraId="7563466B">
            <w:pPr>
              <w:spacing w:line="360" w:lineRule="exact"/>
              <w:rPr>
                <w:rFonts w:ascii="宋体" w:hAnsi="宋体"/>
                <w:color w:val="000000"/>
                <w:kern w:val="0"/>
                <w:szCs w:val="21"/>
                <w:highlight w:val="none"/>
              </w:rPr>
            </w:pPr>
            <w:r>
              <w:rPr>
                <w:rFonts w:hint="eastAsia" w:ascii="宋体" w:hAnsi="宋体"/>
                <w:color w:val="000000"/>
                <w:kern w:val="0"/>
                <w:szCs w:val="21"/>
                <w:highlight w:val="none"/>
              </w:rPr>
              <w:t>招标人名称：</w:t>
            </w:r>
            <w:r>
              <w:rPr>
                <w:rFonts w:hint="eastAsia"/>
                <w:color w:val="000000"/>
                <w:highlight w:val="none"/>
                <w:lang w:val="en-US" w:eastAsia="zh-CN"/>
              </w:rPr>
              <w:t>南宁</w:t>
            </w:r>
            <w:r>
              <w:rPr>
                <w:rFonts w:hint="eastAsia" w:ascii="宋体" w:hAnsi="宋体"/>
                <w:color w:val="000000"/>
                <w:kern w:val="0"/>
                <w:szCs w:val="21"/>
                <w:highlight w:val="none"/>
              </w:rPr>
              <w:t>轨道地产建筑工程有限责任公司</w:t>
            </w:r>
          </w:p>
          <w:p w14:paraId="2B9AD147">
            <w:pPr>
              <w:spacing w:line="360" w:lineRule="exact"/>
              <w:ind w:firstLine="0" w:firstLineChars="0"/>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rPr>
              <w:t>（项目名称）</w:t>
            </w:r>
            <w:r>
              <w:rPr>
                <w:rFonts w:hint="eastAsia" w:ascii="宋体" w:hAnsi="宋体"/>
                <w:color w:val="000000"/>
                <w:kern w:val="0"/>
                <w:szCs w:val="21"/>
                <w:highlight w:val="none"/>
                <w:lang w:eastAsia="zh-CN"/>
              </w:rPr>
              <w:t>2025年-2026年南宁轨道地产建筑工程有限责任公司钢筋集中采购项目</w:t>
            </w:r>
          </w:p>
          <w:p w14:paraId="0333E8BA">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投标文件</w:t>
            </w:r>
          </w:p>
          <w:p w14:paraId="2E284D38">
            <w:pPr>
              <w:spacing w:line="360" w:lineRule="exact"/>
              <w:rPr>
                <w:rFonts w:hint="eastAsia" w:ascii="宋体" w:hAnsi="宋体" w:eastAsia="宋体"/>
                <w:color w:val="000000"/>
                <w:kern w:val="0"/>
                <w:szCs w:val="21"/>
                <w:highlight w:val="none"/>
                <w:u w:val="single"/>
                <w:lang w:eastAsia="zh-CN"/>
              </w:rPr>
            </w:pPr>
            <w:r>
              <w:rPr>
                <w:rFonts w:hint="eastAsia" w:ascii="宋体" w:hAnsi="宋体"/>
                <w:color w:val="000000"/>
                <w:kern w:val="0"/>
                <w:szCs w:val="21"/>
                <w:highlight w:val="none"/>
                <w:u w:val="single"/>
              </w:rPr>
              <w:t>资格审查文件或</w:t>
            </w:r>
            <w:r>
              <w:rPr>
                <w:rFonts w:hint="eastAsia" w:ascii="宋体" w:hAnsi="宋体"/>
                <w:color w:val="000000"/>
                <w:kern w:val="0"/>
                <w:szCs w:val="21"/>
                <w:highlight w:val="none"/>
                <w:lang w:val="en-US" w:eastAsia="zh-CN"/>
              </w:rPr>
              <w:t>技术</w:t>
            </w:r>
            <w:r>
              <w:rPr>
                <w:rFonts w:hint="eastAsia" w:ascii="宋体" w:hAnsi="宋体"/>
                <w:color w:val="000000"/>
                <w:kern w:val="0"/>
                <w:szCs w:val="21"/>
                <w:highlight w:val="none"/>
              </w:rPr>
              <w:t>文件</w:t>
            </w:r>
            <w:r>
              <w:rPr>
                <w:rFonts w:hint="eastAsia" w:ascii="宋体" w:hAnsi="宋体"/>
                <w:color w:val="000000"/>
                <w:kern w:val="0"/>
                <w:szCs w:val="21"/>
                <w:highlight w:val="none"/>
                <w:lang w:val="en-US" w:eastAsia="zh-CN"/>
              </w:rPr>
              <w:t>或</w:t>
            </w:r>
            <w:r>
              <w:rPr>
                <w:rFonts w:hint="eastAsia" w:ascii="宋体" w:hAnsi="宋体"/>
                <w:color w:val="000000"/>
                <w:kern w:val="0"/>
                <w:szCs w:val="21"/>
                <w:highlight w:val="none"/>
                <w:u w:val="single"/>
                <w:lang w:eastAsia="zh-CN"/>
              </w:rPr>
              <w:t>商务文件</w:t>
            </w:r>
          </w:p>
          <w:p w14:paraId="50154C61">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投标人地址：</w:t>
            </w:r>
          </w:p>
          <w:p w14:paraId="68073ABE">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投标人名称：</w:t>
            </w:r>
          </w:p>
          <w:p w14:paraId="0E90116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本投标文件投标截止时间前不得开启</w:t>
            </w:r>
            <w:bookmarkEnd w:id="114"/>
          </w:p>
        </w:tc>
      </w:tr>
      <w:tr w14:paraId="20FF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59EF932">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4.2.2</w:t>
            </w:r>
          </w:p>
        </w:tc>
        <w:tc>
          <w:tcPr>
            <w:tcW w:w="2210" w:type="dxa"/>
            <w:noWrap w:val="0"/>
            <w:vAlign w:val="center"/>
          </w:tcPr>
          <w:p w14:paraId="69404B3F">
            <w:pPr>
              <w:spacing w:line="360" w:lineRule="exact"/>
              <w:rPr>
                <w:rFonts w:ascii="宋体" w:hAnsi="宋体"/>
                <w:color w:val="000000"/>
                <w:kern w:val="0"/>
                <w:szCs w:val="21"/>
                <w:highlight w:val="none"/>
              </w:rPr>
            </w:pPr>
            <w:r>
              <w:rPr>
                <w:rFonts w:ascii="宋体" w:hAnsi="宋体"/>
                <w:color w:val="000000"/>
                <w:kern w:val="0"/>
                <w:szCs w:val="21"/>
                <w:highlight w:val="none"/>
              </w:rPr>
              <w:t>递交投标文件地点</w:t>
            </w:r>
          </w:p>
        </w:tc>
        <w:tc>
          <w:tcPr>
            <w:tcW w:w="6327" w:type="dxa"/>
            <w:noWrap w:val="0"/>
            <w:vAlign w:val="center"/>
          </w:tcPr>
          <w:p w14:paraId="1FD7E0BA">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1C4B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D2D453F">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4.2.3</w:t>
            </w:r>
          </w:p>
        </w:tc>
        <w:tc>
          <w:tcPr>
            <w:tcW w:w="2210" w:type="dxa"/>
            <w:noWrap w:val="0"/>
            <w:vAlign w:val="center"/>
          </w:tcPr>
          <w:p w14:paraId="55A40655">
            <w:pPr>
              <w:spacing w:line="360" w:lineRule="exact"/>
              <w:rPr>
                <w:rFonts w:ascii="宋体" w:hAnsi="宋体"/>
                <w:color w:val="000000"/>
                <w:kern w:val="0"/>
                <w:szCs w:val="21"/>
                <w:highlight w:val="none"/>
              </w:rPr>
            </w:pPr>
            <w:r>
              <w:rPr>
                <w:rFonts w:ascii="宋体" w:hAnsi="宋体"/>
                <w:color w:val="000000"/>
                <w:kern w:val="0"/>
                <w:szCs w:val="21"/>
                <w:highlight w:val="none"/>
              </w:rPr>
              <w:t>是否退还投标文件</w:t>
            </w:r>
          </w:p>
        </w:tc>
        <w:tc>
          <w:tcPr>
            <w:tcW w:w="6327" w:type="dxa"/>
            <w:noWrap w:val="0"/>
            <w:vAlign w:val="center"/>
          </w:tcPr>
          <w:p w14:paraId="2D6C0327">
            <w:pPr>
              <w:spacing w:line="360" w:lineRule="exact"/>
              <w:rPr>
                <w:rFonts w:ascii="宋体" w:hAnsi="宋体"/>
                <w:color w:val="000000"/>
                <w:kern w:val="0"/>
                <w:szCs w:val="21"/>
                <w:highlight w:val="none"/>
                <w:u w:val="single"/>
              </w:rPr>
            </w:pPr>
            <w:r>
              <w:rPr>
                <w:rFonts w:ascii="宋体" w:hAnsi="宋体"/>
                <w:color w:val="000000"/>
                <w:kern w:val="0"/>
                <w:szCs w:val="21"/>
                <w:highlight w:val="none"/>
              </w:rPr>
              <w:t>否</w:t>
            </w:r>
          </w:p>
        </w:tc>
      </w:tr>
      <w:tr w14:paraId="63B8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50F46F1">
            <w:pPr>
              <w:spacing w:line="360" w:lineRule="exact"/>
              <w:jc w:val="center"/>
              <w:rPr>
                <w:rFonts w:ascii="宋体" w:hAnsi="宋体"/>
                <w:color w:val="000000"/>
                <w:kern w:val="0"/>
                <w:szCs w:val="21"/>
                <w:highlight w:val="none"/>
              </w:rPr>
            </w:pPr>
            <w:r>
              <w:rPr>
                <w:rFonts w:ascii="宋体" w:hAnsi="宋体"/>
                <w:color w:val="000000"/>
                <w:kern w:val="0"/>
                <w:szCs w:val="21"/>
                <w:highlight w:val="none"/>
              </w:rPr>
              <w:t>5.1</w:t>
            </w:r>
          </w:p>
        </w:tc>
        <w:tc>
          <w:tcPr>
            <w:tcW w:w="2210" w:type="dxa"/>
            <w:noWrap w:val="0"/>
            <w:vAlign w:val="center"/>
          </w:tcPr>
          <w:p w14:paraId="0203C1AC">
            <w:pPr>
              <w:spacing w:line="360" w:lineRule="exact"/>
              <w:rPr>
                <w:rFonts w:ascii="宋体" w:hAnsi="宋体"/>
                <w:color w:val="000000"/>
                <w:kern w:val="0"/>
                <w:szCs w:val="21"/>
                <w:highlight w:val="none"/>
              </w:rPr>
            </w:pPr>
            <w:r>
              <w:rPr>
                <w:rFonts w:hint="eastAsia" w:ascii="宋体" w:hAnsi="宋体"/>
                <w:color w:val="000000"/>
                <w:kern w:val="0"/>
                <w:szCs w:val="21"/>
                <w:highlight w:val="none"/>
              </w:rPr>
              <w:t>截标、</w:t>
            </w:r>
            <w:r>
              <w:rPr>
                <w:rFonts w:ascii="宋体" w:hAnsi="宋体"/>
                <w:color w:val="000000"/>
                <w:kern w:val="0"/>
                <w:szCs w:val="21"/>
                <w:highlight w:val="none"/>
              </w:rPr>
              <w:t>开标时间和地点</w:t>
            </w:r>
          </w:p>
        </w:tc>
        <w:tc>
          <w:tcPr>
            <w:tcW w:w="6327" w:type="dxa"/>
            <w:noWrap w:val="0"/>
            <w:vAlign w:val="center"/>
          </w:tcPr>
          <w:p w14:paraId="50C915B9">
            <w:pPr>
              <w:spacing w:line="360" w:lineRule="exact"/>
              <w:rPr>
                <w:rFonts w:ascii="宋体" w:hAnsi="宋体"/>
                <w:color w:val="000000"/>
                <w:kern w:val="0"/>
                <w:szCs w:val="21"/>
                <w:highlight w:val="none"/>
              </w:rPr>
            </w:pPr>
            <w:bookmarkStart w:id="115" w:name="EB9dc210fb3ccf40ddb1c46c39ed5d1fbd"/>
            <w:r>
              <w:rPr>
                <w:rFonts w:hint="eastAsia" w:ascii="宋体" w:hAnsi="宋体"/>
                <w:color w:val="000000"/>
                <w:kern w:val="0"/>
                <w:szCs w:val="21"/>
                <w:highlight w:val="none"/>
              </w:rPr>
              <w:t>投标截止时间：详见招标公告</w:t>
            </w:r>
          </w:p>
          <w:p w14:paraId="08062726">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开标时间：同投标截止时间</w:t>
            </w:r>
          </w:p>
          <w:p w14:paraId="5122E5EB">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开标地点：</w:t>
            </w:r>
            <w:bookmarkEnd w:id="115"/>
            <w:r>
              <w:rPr>
                <w:rFonts w:hint="eastAsia" w:ascii="宋体" w:hAnsi="宋体"/>
                <w:color w:val="000000"/>
                <w:kern w:val="0"/>
                <w:szCs w:val="21"/>
                <w:highlight w:val="none"/>
                <w:lang w:val="en-US" w:eastAsia="zh-CN"/>
              </w:rPr>
              <w:t>南宁市青秀区凤岭北路111号南宁国际旅游中心3号楼（C座）28楼2801开标室</w:t>
            </w:r>
            <w:r>
              <w:rPr>
                <w:rFonts w:hint="eastAsia" w:ascii="宋体" w:hAnsi="宋体"/>
                <w:color w:val="000000"/>
                <w:kern w:val="0"/>
                <w:szCs w:val="21"/>
                <w:highlight w:val="none"/>
              </w:rPr>
              <w:t>。</w:t>
            </w:r>
          </w:p>
        </w:tc>
      </w:tr>
      <w:tr w14:paraId="609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64142A8">
            <w:pPr>
              <w:spacing w:line="360" w:lineRule="exact"/>
              <w:jc w:val="center"/>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w:t>
            </w:r>
            <w:r>
              <w:rPr>
                <w:rFonts w:ascii="宋体" w:hAnsi="宋体"/>
                <w:color w:val="000000"/>
                <w:kern w:val="0"/>
                <w:szCs w:val="21"/>
                <w:highlight w:val="none"/>
              </w:rPr>
              <w:t>1</w:t>
            </w:r>
          </w:p>
        </w:tc>
        <w:tc>
          <w:tcPr>
            <w:tcW w:w="2210" w:type="dxa"/>
            <w:noWrap w:val="0"/>
            <w:vAlign w:val="center"/>
          </w:tcPr>
          <w:p w14:paraId="370E2A3A">
            <w:pPr>
              <w:spacing w:line="360" w:lineRule="exact"/>
              <w:rPr>
                <w:rFonts w:ascii="宋体" w:hAnsi="宋体"/>
                <w:color w:val="000000"/>
                <w:kern w:val="0"/>
                <w:szCs w:val="21"/>
                <w:highlight w:val="none"/>
              </w:rPr>
            </w:pPr>
            <w:r>
              <w:rPr>
                <w:rFonts w:ascii="宋体" w:hAnsi="宋体"/>
                <w:color w:val="000000"/>
                <w:kern w:val="0"/>
                <w:szCs w:val="21"/>
                <w:highlight w:val="none"/>
              </w:rPr>
              <w:t>开标</w:t>
            </w:r>
          </w:p>
        </w:tc>
        <w:tc>
          <w:tcPr>
            <w:tcW w:w="6327" w:type="dxa"/>
            <w:noWrap w:val="0"/>
            <w:vAlign w:val="center"/>
          </w:tcPr>
          <w:p w14:paraId="5504BC2E">
            <w:pPr>
              <w:spacing w:line="360" w:lineRule="exact"/>
              <w:rPr>
                <w:rFonts w:ascii="宋体" w:hAnsi="宋体"/>
                <w:color w:val="000000"/>
                <w:kern w:val="0"/>
                <w:szCs w:val="21"/>
                <w:highlight w:val="none"/>
              </w:rPr>
            </w:pPr>
            <w:r>
              <w:rPr>
                <w:rFonts w:ascii="宋体" w:hAnsi="宋体"/>
                <w:color w:val="000000"/>
                <w:kern w:val="0"/>
                <w:szCs w:val="21"/>
                <w:highlight w:val="none"/>
              </w:rPr>
              <w:t>开标顺序：</w:t>
            </w:r>
            <w:r>
              <w:rPr>
                <w:rFonts w:ascii="宋体" w:hAnsi="宋体"/>
                <w:color w:val="000000"/>
                <w:kern w:val="0"/>
                <w:szCs w:val="21"/>
                <w:highlight w:val="none"/>
                <w:u w:val="single"/>
              </w:rPr>
              <w:t>随机</w:t>
            </w:r>
          </w:p>
        </w:tc>
      </w:tr>
      <w:tr w14:paraId="4F47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325DEAD">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6.1.1</w:t>
            </w:r>
          </w:p>
        </w:tc>
        <w:tc>
          <w:tcPr>
            <w:tcW w:w="2210" w:type="dxa"/>
            <w:noWrap w:val="0"/>
            <w:vAlign w:val="center"/>
          </w:tcPr>
          <w:p w14:paraId="1CC20A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评标委员会的组建</w:t>
            </w:r>
          </w:p>
        </w:tc>
        <w:tc>
          <w:tcPr>
            <w:tcW w:w="6327" w:type="dxa"/>
            <w:noWrap w:val="0"/>
            <w:vAlign w:val="center"/>
          </w:tcPr>
          <w:p w14:paraId="4ACFC084">
            <w:pPr>
              <w:spacing w:line="360" w:lineRule="exact"/>
              <w:rPr>
                <w:rFonts w:ascii="宋体" w:hAnsi="宋体"/>
                <w:color w:val="000000"/>
                <w:kern w:val="0"/>
                <w:szCs w:val="21"/>
                <w:highlight w:val="none"/>
              </w:rPr>
            </w:pPr>
            <w:bookmarkStart w:id="116" w:name="EBa378068603ea4135a471662f37485f80"/>
            <w:r>
              <w:rPr>
                <w:rFonts w:hint="eastAsia" w:ascii="宋体" w:hAnsi="宋体"/>
                <w:color w:val="000000"/>
                <w:kern w:val="0"/>
                <w:szCs w:val="21"/>
                <w:highlight w:val="none"/>
              </w:rPr>
              <w:t>评标委员会构成：</w:t>
            </w:r>
            <w:r>
              <w:rPr>
                <w:rFonts w:ascii="宋体" w:hAnsi="宋体"/>
                <w:color w:val="000000"/>
                <w:szCs w:val="21"/>
                <w:highlight w:val="none"/>
              </w:rPr>
              <w:t>成员人数为5人及以上单数，其中技术、经济等方面的专家组成不得少于成员总数的2/3，招标人委派评标专家不得多于成员总数的1/3。</w:t>
            </w:r>
            <w:bookmarkEnd w:id="116"/>
          </w:p>
        </w:tc>
      </w:tr>
      <w:tr w14:paraId="19AF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B1B57F4">
            <w:pPr>
              <w:spacing w:line="360" w:lineRule="exact"/>
              <w:jc w:val="center"/>
              <w:rPr>
                <w:rFonts w:ascii="宋体" w:hAnsi="宋体"/>
                <w:color w:val="000000"/>
                <w:kern w:val="0"/>
                <w:szCs w:val="21"/>
                <w:highlight w:val="none"/>
              </w:rPr>
            </w:pPr>
            <w:r>
              <w:rPr>
                <w:rFonts w:ascii="宋体" w:hAnsi="宋体"/>
                <w:color w:val="000000"/>
                <w:kern w:val="0"/>
                <w:szCs w:val="21"/>
                <w:highlight w:val="none"/>
              </w:rPr>
              <w:t>6.</w:t>
            </w:r>
            <w:r>
              <w:rPr>
                <w:rFonts w:hint="eastAsia" w:ascii="宋体" w:hAnsi="宋体"/>
                <w:color w:val="000000"/>
                <w:kern w:val="0"/>
                <w:szCs w:val="21"/>
                <w:highlight w:val="none"/>
              </w:rPr>
              <w:t>3</w:t>
            </w:r>
          </w:p>
        </w:tc>
        <w:tc>
          <w:tcPr>
            <w:tcW w:w="2210" w:type="dxa"/>
            <w:noWrap w:val="0"/>
            <w:vAlign w:val="center"/>
          </w:tcPr>
          <w:p w14:paraId="43948BC8">
            <w:pPr>
              <w:spacing w:line="360" w:lineRule="exact"/>
              <w:rPr>
                <w:rFonts w:ascii="宋体" w:hAnsi="宋体"/>
                <w:color w:val="000000"/>
                <w:kern w:val="0"/>
                <w:szCs w:val="21"/>
                <w:highlight w:val="none"/>
              </w:rPr>
            </w:pPr>
            <w:r>
              <w:rPr>
                <w:rFonts w:ascii="宋体" w:hAnsi="宋体"/>
                <w:color w:val="000000"/>
                <w:kern w:val="0"/>
                <w:szCs w:val="21"/>
                <w:highlight w:val="none"/>
              </w:rPr>
              <w:t>评标</w:t>
            </w:r>
            <w:r>
              <w:rPr>
                <w:rFonts w:hint="eastAsia" w:ascii="宋体" w:hAnsi="宋体"/>
                <w:color w:val="000000"/>
                <w:kern w:val="0"/>
                <w:szCs w:val="21"/>
                <w:highlight w:val="none"/>
              </w:rPr>
              <w:t>办法</w:t>
            </w:r>
          </w:p>
        </w:tc>
        <w:tc>
          <w:tcPr>
            <w:tcW w:w="6327" w:type="dxa"/>
            <w:noWrap w:val="0"/>
            <w:vAlign w:val="center"/>
          </w:tcPr>
          <w:p w14:paraId="71DC5774">
            <w:pPr>
              <w:spacing w:line="360" w:lineRule="exact"/>
              <w:rPr>
                <w:rFonts w:ascii="宋体" w:hAnsi="宋体"/>
                <w:color w:val="000000"/>
                <w:kern w:val="0"/>
                <w:szCs w:val="21"/>
                <w:highlight w:val="none"/>
              </w:rPr>
            </w:pPr>
            <w:r>
              <w:rPr>
                <w:rFonts w:hint="eastAsia" w:ascii="宋体" w:hAnsi="宋体"/>
                <w:color w:val="000000"/>
                <w:kern w:val="0"/>
                <w:szCs w:val="21"/>
                <w:highlight w:val="none"/>
              </w:rPr>
              <w:t>采用</w:t>
            </w:r>
            <w:r>
              <w:rPr>
                <w:rFonts w:ascii="宋体" w:hAnsi="宋体"/>
                <w:color w:val="000000"/>
                <w:kern w:val="0"/>
                <w:szCs w:val="21"/>
                <w:highlight w:val="none"/>
              </w:rPr>
              <w:t>综合评估法</w:t>
            </w:r>
            <w:r>
              <w:rPr>
                <w:rFonts w:hint="eastAsia" w:ascii="宋体" w:hAnsi="宋体"/>
                <w:color w:val="000000"/>
                <w:kern w:val="0"/>
                <w:szCs w:val="21"/>
                <w:highlight w:val="none"/>
              </w:rPr>
              <w:t>，详见第三章《评标办法》</w:t>
            </w:r>
          </w:p>
        </w:tc>
      </w:tr>
      <w:tr w14:paraId="38BB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22BDC15">
            <w:pPr>
              <w:spacing w:line="360" w:lineRule="exact"/>
              <w:jc w:val="center"/>
              <w:rPr>
                <w:rFonts w:ascii="宋体" w:hAnsi="宋体"/>
                <w:color w:val="000000"/>
                <w:kern w:val="0"/>
                <w:szCs w:val="21"/>
                <w:highlight w:val="none"/>
              </w:rPr>
            </w:pPr>
            <w:r>
              <w:rPr>
                <w:rFonts w:ascii="宋体" w:hAnsi="宋体"/>
                <w:color w:val="000000"/>
                <w:kern w:val="0"/>
                <w:szCs w:val="21"/>
                <w:highlight w:val="none"/>
              </w:rPr>
              <w:t>7.1</w:t>
            </w:r>
          </w:p>
        </w:tc>
        <w:tc>
          <w:tcPr>
            <w:tcW w:w="2210" w:type="dxa"/>
            <w:noWrap w:val="0"/>
            <w:vAlign w:val="center"/>
          </w:tcPr>
          <w:p w14:paraId="7A5E39B6">
            <w:pPr>
              <w:spacing w:line="360" w:lineRule="exact"/>
              <w:rPr>
                <w:rFonts w:hint="default" w:ascii="宋体" w:hAnsi="宋体" w:eastAsia="宋体"/>
                <w:color w:val="000000"/>
                <w:kern w:val="0"/>
                <w:szCs w:val="21"/>
                <w:highlight w:val="none"/>
                <w:lang w:val="en-US" w:eastAsia="zh-CN"/>
              </w:rPr>
            </w:pPr>
            <w:r>
              <w:rPr>
                <w:rFonts w:ascii="宋体" w:hAnsi="宋体"/>
                <w:color w:val="000000"/>
                <w:kern w:val="0"/>
                <w:szCs w:val="21"/>
                <w:highlight w:val="none"/>
              </w:rPr>
              <w:t>是否授权评标委员会确定中标人</w:t>
            </w:r>
            <w:r>
              <w:rPr>
                <w:rFonts w:hint="eastAsia" w:ascii="宋体" w:hAnsi="宋体"/>
                <w:color w:val="000000"/>
                <w:kern w:val="0"/>
                <w:szCs w:val="21"/>
                <w:highlight w:val="none"/>
                <w:lang w:val="en-US" w:eastAsia="zh-CN"/>
              </w:rPr>
              <w:t>及定标原则</w:t>
            </w:r>
          </w:p>
        </w:tc>
        <w:tc>
          <w:tcPr>
            <w:tcW w:w="6327" w:type="dxa"/>
            <w:noWrap w:val="0"/>
            <w:vAlign w:val="center"/>
          </w:tcPr>
          <w:p w14:paraId="0254EEDD">
            <w:pPr>
              <w:spacing w:line="360" w:lineRule="auto"/>
              <w:ind w:right="0" w:firstLine="420" w:firstLineChars="200"/>
              <w:jc w:val="left"/>
              <w:rPr>
                <w:rFonts w:hint="eastAsia" w:ascii="宋体" w:hAnsi="宋体" w:eastAsia="宋体"/>
                <w:color w:val="000000"/>
                <w:kern w:val="2"/>
                <w:szCs w:val="24"/>
                <w:highlight w:val="none"/>
                <w:lang w:eastAsia="zh-CN"/>
              </w:rPr>
            </w:pPr>
            <w:r>
              <w:rPr>
                <w:rFonts w:hint="eastAsia" w:ascii="宋体" w:hAnsi="宋体"/>
                <w:color w:val="000000"/>
                <w:kern w:val="2"/>
                <w:szCs w:val="24"/>
                <w:highlight w:val="none"/>
              </w:rPr>
              <w:t>否，评标委员会根据综合评分排名情况，推荐</w:t>
            </w:r>
            <w:r>
              <w:rPr>
                <w:rFonts w:hint="eastAsia" w:ascii="宋体" w:hAnsi="宋体"/>
                <w:color w:val="000000"/>
                <w:kern w:val="2"/>
                <w:szCs w:val="24"/>
                <w:highlight w:val="none"/>
                <w:lang w:val="en-US" w:eastAsia="zh-CN"/>
              </w:rPr>
              <w:t>5</w:t>
            </w:r>
            <w:r>
              <w:rPr>
                <w:rFonts w:hint="eastAsia" w:ascii="宋体" w:hAnsi="宋体"/>
                <w:color w:val="000000"/>
                <w:kern w:val="2"/>
                <w:szCs w:val="24"/>
                <w:highlight w:val="none"/>
              </w:rPr>
              <w:t>名中标候选人（当中标候选人不足</w:t>
            </w:r>
            <w:r>
              <w:rPr>
                <w:rFonts w:hint="eastAsia" w:ascii="宋体" w:hAnsi="宋体"/>
                <w:color w:val="000000"/>
                <w:kern w:val="2"/>
                <w:szCs w:val="24"/>
                <w:highlight w:val="none"/>
                <w:lang w:val="en-US" w:eastAsia="zh-CN"/>
              </w:rPr>
              <w:t>5</w:t>
            </w:r>
            <w:r>
              <w:rPr>
                <w:rFonts w:hint="eastAsia" w:ascii="宋体" w:hAnsi="宋体"/>
                <w:color w:val="000000"/>
                <w:kern w:val="2"/>
                <w:szCs w:val="24"/>
                <w:highlight w:val="none"/>
              </w:rPr>
              <w:t>名时按实际数量推荐），并标明排序</w:t>
            </w:r>
            <w:r>
              <w:rPr>
                <w:rFonts w:hint="eastAsia" w:ascii="宋体" w:hAnsi="宋体"/>
                <w:color w:val="000000"/>
                <w:kern w:val="2"/>
                <w:szCs w:val="24"/>
                <w:highlight w:val="none"/>
                <w:lang w:eastAsia="zh-CN"/>
              </w:rPr>
              <w:t>，</w:t>
            </w:r>
            <w:r>
              <w:rPr>
                <w:rFonts w:hint="eastAsia" w:ascii="宋体" w:hAnsi="宋体"/>
                <w:b w:val="0"/>
                <w:bCs w:val="0"/>
                <w:color w:val="000000"/>
                <w:kern w:val="2"/>
                <w:szCs w:val="24"/>
                <w:highlight w:val="none"/>
                <w:lang w:val="en-US" w:eastAsia="zh-CN"/>
              </w:rPr>
              <w:t>招标人根据评标结果确定</w:t>
            </w:r>
            <w:r>
              <w:rPr>
                <w:rFonts w:hint="eastAsia" w:ascii="宋体" w:hAnsi="宋体"/>
                <w:b w:val="0"/>
                <w:bCs w:val="0"/>
                <w:color w:val="000000"/>
                <w:highlight w:val="none"/>
                <w:shd w:val="clear" w:color="auto" w:fill="auto"/>
              </w:rPr>
              <w:t>综合得分排名第一</w:t>
            </w:r>
            <w:r>
              <w:rPr>
                <w:rFonts w:hint="eastAsia" w:ascii="宋体" w:hAnsi="宋体"/>
                <w:b w:val="0"/>
                <w:bCs w:val="0"/>
                <w:color w:val="000000"/>
                <w:highlight w:val="none"/>
                <w:shd w:val="clear" w:color="auto" w:fill="auto"/>
                <w:lang w:val="en-US" w:eastAsia="zh-CN"/>
              </w:rPr>
              <w:t>和</w:t>
            </w:r>
            <w:r>
              <w:rPr>
                <w:rFonts w:hint="eastAsia" w:ascii="宋体" w:hAnsi="宋体"/>
                <w:b w:val="0"/>
                <w:bCs w:val="0"/>
                <w:color w:val="000000"/>
                <w:highlight w:val="none"/>
                <w:shd w:val="clear" w:color="auto" w:fill="auto"/>
              </w:rPr>
              <w:t>第二的</w:t>
            </w:r>
            <w:r>
              <w:rPr>
                <w:rFonts w:hint="eastAsia" w:ascii="宋体" w:hAnsi="宋体"/>
                <w:b w:val="0"/>
                <w:bCs w:val="0"/>
                <w:color w:val="000000"/>
                <w:highlight w:val="none"/>
                <w:shd w:val="clear" w:color="auto" w:fill="auto"/>
                <w:lang w:val="en-US" w:eastAsia="zh-CN"/>
              </w:rPr>
              <w:t>中标候选</w:t>
            </w:r>
            <w:r>
              <w:rPr>
                <w:rFonts w:hint="eastAsia" w:ascii="宋体" w:hAnsi="宋体"/>
                <w:b w:val="0"/>
                <w:bCs w:val="0"/>
                <w:color w:val="000000"/>
                <w:highlight w:val="none"/>
                <w:shd w:val="clear" w:color="auto" w:fill="auto"/>
              </w:rPr>
              <w:t>人</w:t>
            </w:r>
            <w:r>
              <w:rPr>
                <w:rFonts w:hint="eastAsia" w:ascii="宋体" w:hAnsi="宋体"/>
                <w:b w:val="0"/>
                <w:bCs w:val="0"/>
                <w:color w:val="000000"/>
                <w:highlight w:val="none"/>
                <w:shd w:val="clear" w:color="auto" w:fill="auto"/>
                <w:lang w:val="en-US" w:eastAsia="zh-CN"/>
              </w:rPr>
              <w:t>为</w:t>
            </w:r>
            <w:r>
              <w:rPr>
                <w:rFonts w:hint="eastAsia" w:ascii="宋体" w:hAnsi="宋体"/>
                <w:b w:val="0"/>
                <w:bCs w:val="0"/>
                <w:color w:val="000000"/>
                <w:kern w:val="2"/>
                <w:szCs w:val="24"/>
                <w:highlight w:val="none"/>
                <w:lang w:val="en-US" w:eastAsia="zh-CN"/>
              </w:rPr>
              <w:t>中标人。前两名中标候选人中，含税投标总报价高的一名中标候选人必须承诺接受另一名含税投标总报价低的中标候选人的投标单价</w:t>
            </w:r>
            <w:r>
              <w:rPr>
                <w:rFonts w:hint="eastAsia" w:ascii="宋体" w:hAnsi="宋体"/>
                <w:b w:val="0"/>
                <w:bCs w:val="0"/>
                <w:color w:val="000000"/>
                <w:highlight w:val="none"/>
                <w:lang w:val="en-US" w:eastAsia="zh-CN"/>
              </w:rPr>
              <w:t>为中标单价</w:t>
            </w:r>
            <w:r>
              <w:rPr>
                <w:rFonts w:hint="eastAsia" w:ascii="宋体" w:hAnsi="宋体"/>
                <w:color w:val="000000"/>
                <w:kern w:val="2"/>
                <w:szCs w:val="24"/>
                <w:highlight w:val="none"/>
                <w:lang w:val="en-US" w:eastAsia="zh-CN"/>
              </w:rPr>
              <w:t>，</w:t>
            </w:r>
            <w:r>
              <w:rPr>
                <w:rFonts w:hint="eastAsia" w:ascii="宋体" w:hAnsi="宋体"/>
                <w:b w:val="0"/>
                <w:bCs w:val="0"/>
                <w:color w:val="000000"/>
                <w:highlight w:val="none"/>
                <w:lang w:val="en-US" w:eastAsia="zh-CN"/>
              </w:rPr>
              <w:t>如</w:t>
            </w:r>
            <w:r>
              <w:rPr>
                <w:rFonts w:hint="eastAsia" w:ascii="宋体" w:hAnsi="宋体"/>
                <w:b w:val="0"/>
                <w:bCs w:val="0"/>
                <w:color w:val="000000"/>
                <w:kern w:val="2"/>
                <w:szCs w:val="24"/>
                <w:highlight w:val="none"/>
                <w:lang w:val="en-US" w:eastAsia="zh-CN"/>
              </w:rPr>
              <w:t>含税投标总报价</w:t>
            </w:r>
            <w:r>
              <w:rPr>
                <w:rFonts w:hint="eastAsia" w:ascii="宋体" w:hAnsi="宋体"/>
                <w:b w:val="0"/>
                <w:bCs w:val="0"/>
                <w:color w:val="000000"/>
                <w:highlight w:val="none"/>
                <w:lang w:val="en-US" w:eastAsia="zh-CN"/>
              </w:rPr>
              <w:t>高的中标候选人不接受</w:t>
            </w:r>
            <w:r>
              <w:rPr>
                <w:rFonts w:hint="eastAsia" w:ascii="宋体" w:hAnsi="宋体"/>
                <w:b w:val="0"/>
                <w:bCs w:val="0"/>
                <w:color w:val="000000"/>
                <w:kern w:val="2"/>
                <w:szCs w:val="24"/>
                <w:highlight w:val="none"/>
                <w:lang w:val="en-US" w:eastAsia="zh-CN"/>
              </w:rPr>
              <w:t>含税投标总报价</w:t>
            </w:r>
            <w:r>
              <w:rPr>
                <w:rFonts w:hint="eastAsia" w:ascii="宋体" w:hAnsi="宋体"/>
                <w:b w:val="0"/>
                <w:bCs w:val="0"/>
                <w:color w:val="000000"/>
                <w:highlight w:val="none"/>
                <w:lang w:val="en-US" w:eastAsia="zh-CN"/>
              </w:rPr>
              <w:t>低的中标候选人的</w:t>
            </w:r>
            <w:r>
              <w:rPr>
                <w:rFonts w:hint="eastAsia" w:ascii="宋体" w:hAnsi="宋体"/>
                <w:b w:val="0"/>
                <w:bCs w:val="0"/>
                <w:color w:val="000000"/>
                <w:kern w:val="2"/>
                <w:szCs w:val="24"/>
                <w:highlight w:val="none"/>
                <w:lang w:val="en-US" w:eastAsia="zh-CN"/>
              </w:rPr>
              <w:t>投标单价</w:t>
            </w:r>
            <w:r>
              <w:rPr>
                <w:rFonts w:hint="eastAsia" w:ascii="宋体" w:hAnsi="宋体"/>
                <w:b w:val="0"/>
                <w:bCs w:val="0"/>
                <w:color w:val="000000"/>
                <w:highlight w:val="none"/>
                <w:lang w:val="en-US" w:eastAsia="zh-CN"/>
              </w:rPr>
              <w:t>为中标单价的，</w:t>
            </w:r>
            <w:r>
              <w:rPr>
                <w:rFonts w:hint="eastAsia" w:ascii="宋体" w:hAnsi="宋体"/>
                <w:b w:val="0"/>
                <w:bCs w:val="0"/>
                <w:color w:val="000000"/>
                <w:kern w:val="2"/>
                <w:szCs w:val="24"/>
                <w:highlight w:val="none"/>
                <w:lang w:val="en-US" w:eastAsia="zh-CN"/>
              </w:rPr>
              <w:t>招标人有权按中标候选人排序确定其他中标候选人为中标人，也可以重新招标</w:t>
            </w:r>
            <w:r>
              <w:rPr>
                <w:rFonts w:hint="eastAsia" w:ascii="宋体" w:hAnsi="宋体"/>
                <w:color w:val="000000"/>
                <w:kern w:val="2"/>
                <w:szCs w:val="24"/>
                <w:highlight w:val="none"/>
              </w:rPr>
              <w:t>。</w:t>
            </w:r>
          </w:p>
          <w:p w14:paraId="4714DA7B">
            <w:pPr>
              <w:spacing w:line="360" w:lineRule="auto"/>
              <w:ind w:firstLine="420" w:firstLineChars="200"/>
              <w:rPr>
                <w:rFonts w:hint="eastAsia" w:ascii="宋体" w:hAnsi="宋体"/>
                <w:color w:val="000000"/>
                <w:kern w:val="2"/>
                <w:szCs w:val="24"/>
                <w:highlight w:val="none"/>
              </w:rPr>
            </w:pPr>
            <w:r>
              <w:rPr>
                <w:rFonts w:hint="eastAsia" w:ascii="宋体" w:hAnsi="宋体"/>
                <w:color w:val="000000"/>
                <w:highlight w:val="none"/>
                <w:shd w:val="clear" w:color="auto" w:fill="auto"/>
              </w:rPr>
              <w:t>综合得分排名第一</w:t>
            </w:r>
            <w:r>
              <w:rPr>
                <w:rFonts w:hint="eastAsia" w:ascii="宋体" w:hAnsi="宋体"/>
                <w:color w:val="000000"/>
                <w:highlight w:val="none"/>
                <w:shd w:val="clear" w:color="auto" w:fill="auto"/>
                <w:lang w:val="en-US" w:eastAsia="zh-CN"/>
              </w:rPr>
              <w:t>的</w:t>
            </w:r>
            <w:r>
              <w:rPr>
                <w:rFonts w:hint="eastAsia" w:ascii="宋体" w:hAnsi="宋体"/>
                <w:color w:val="000000"/>
                <w:kern w:val="2"/>
                <w:szCs w:val="24"/>
                <w:highlight w:val="none"/>
                <w:lang w:val="en-US" w:eastAsia="zh-CN"/>
              </w:rPr>
              <w:t>中标人</w:t>
            </w:r>
            <w:r>
              <w:rPr>
                <w:rFonts w:hint="eastAsia" w:ascii="宋体" w:hAnsi="宋体"/>
                <w:color w:val="000000"/>
                <w:kern w:val="2"/>
                <w:szCs w:val="24"/>
                <w:highlight w:val="none"/>
              </w:rPr>
              <w:t>负责青秀区、良庆区、邕宁区范围内的项目供货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highlight w:val="none"/>
                <w:shd w:val="clear" w:color="auto" w:fill="auto"/>
              </w:rPr>
              <w:t>综合得分排名第</w:t>
            </w:r>
            <w:r>
              <w:rPr>
                <w:rFonts w:hint="eastAsia" w:ascii="宋体" w:hAnsi="宋体"/>
                <w:color w:val="000000"/>
                <w:highlight w:val="none"/>
                <w:shd w:val="clear" w:color="auto" w:fill="auto"/>
                <w:lang w:val="en-US" w:eastAsia="zh-CN"/>
              </w:rPr>
              <w:t>二的</w:t>
            </w:r>
            <w:r>
              <w:rPr>
                <w:rFonts w:hint="eastAsia" w:ascii="宋体" w:hAnsi="宋体"/>
                <w:color w:val="000000"/>
                <w:kern w:val="2"/>
                <w:szCs w:val="24"/>
                <w:highlight w:val="none"/>
                <w:lang w:val="en-US" w:eastAsia="zh-CN"/>
              </w:rPr>
              <w:t>中标人负责</w:t>
            </w:r>
            <w:r>
              <w:rPr>
                <w:rFonts w:hint="eastAsia" w:ascii="宋体" w:hAnsi="宋体"/>
                <w:color w:val="000000"/>
                <w:kern w:val="2"/>
                <w:szCs w:val="24"/>
                <w:highlight w:val="none"/>
              </w:rPr>
              <w:t>兴宁区、江南区、西乡塘区、武鸣区范围内的项目供货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kern w:val="2"/>
                <w:szCs w:val="24"/>
                <w:highlight w:val="none"/>
              </w:rPr>
              <w:t>。</w:t>
            </w:r>
          </w:p>
          <w:p w14:paraId="400DCCA7">
            <w:pPr>
              <w:spacing w:line="360" w:lineRule="auto"/>
              <w:ind w:right="0" w:firstLine="420" w:firstLineChars="200"/>
              <w:jc w:val="left"/>
              <w:rPr>
                <w:rFonts w:hint="eastAsia" w:ascii="宋体" w:hAnsi="宋体"/>
                <w:color w:val="000000"/>
                <w:highlight w:val="none"/>
                <w:shd w:val="clear" w:color="auto" w:fill="auto"/>
                <w:lang w:eastAsia="zh-CN"/>
              </w:rPr>
            </w:pPr>
            <w:r>
              <w:rPr>
                <w:rFonts w:hint="eastAsia" w:ascii="宋体" w:hAnsi="宋体"/>
                <w:color w:val="000000"/>
                <w:kern w:val="2"/>
                <w:szCs w:val="24"/>
                <w:highlight w:val="none"/>
                <w:lang w:val="en-US" w:eastAsia="zh-CN"/>
              </w:rPr>
              <w:t>中标</w:t>
            </w:r>
            <w:r>
              <w:rPr>
                <w:rFonts w:hint="eastAsia" w:ascii="宋体" w:hAnsi="宋体"/>
                <w:color w:val="000000"/>
                <w:highlight w:val="none"/>
                <w:shd w:val="clear" w:color="auto" w:fill="auto"/>
              </w:rPr>
              <w:t>合同将授予被确定实质上</w:t>
            </w:r>
            <w:r>
              <w:rPr>
                <w:rFonts w:hint="eastAsia" w:ascii="宋体" w:hAnsi="宋体"/>
                <w:color w:val="000000"/>
                <w:highlight w:val="none"/>
                <w:shd w:val="clear" w:color="auto" w:fill="auto"/>
                <w:lang w:val="en-US" w:eastAsia="zh-CN"/>
              </w:rPr>
              <w:t>响应</w:t>
            </w:r>
            <w:r>
              <w:rPr>
                <w:rFonts w:hint="eastAsia" w:ascii="宋体" w:hAnsi="宋体"/>
                <w:color w:val="000000"/>
                <w:highlight w:val="none"/>
                <w:shd w:val="clear" w:color="auto" w:fill="auto"/>
              </w:rPr>
              <w:t>招标文件要求，具备履行合同能力，综合得分排名第一和第二的投标人。</w:t>
            </w:r>
            <w:r>
              <w:rPr>
                <w:rFonts w:hint="eastAsia" w:ascii="宋体" w:hAnsi="宋体"/>
                <w:color w:val="000000"/>
                <w:highlight w:val="none"/>
                <w:shd w:val="clear" w:color="auto" w:fill="auto"/>
                <w:lang w:eastAsia="zh-CN"/>
              </w:rPr>
              <w:t>（</w:t>
            </w:r>
            <w:r>
              <w:rPr>
                <w:rFonts w:hint="eastAsia" w:ascii="宋体" w:hAnsi="宋体"/>
                <w:color w:val="000000"/>
                <w:highlight w:val="none"/>
                <w:shd w:val="clear" w:color="auto" w:fill="auto"/>
                <w:lang w:val="en-US" w:eastAsia="zh-CN"/>
              </w:rPr>
              <w:t>详见投标人须知正文部分7.1定标条款</w:t>
            </w:r>
            <w:r>
              <w:rPr>
                <w:rFonts w:hint="eastAsia" w:ascii="宋体" w:hAnsi="宋体"/>
                <w:color w:val="000000"/>
                <w:highlight w:val="none"/>
                <w:shd w:val="clear" w:color="auto" w:fill="auto"/>
                <w:lang w:eastAsia="zh-CN"/>
              </w:rPr>
              <w:t>）</w:t>
            </w:r>
          </w:p>
          <w:p w14:paraId="29C86417">
            <w:pPr>
              <w:spacing w:line="360" w:lineRule="auto"/>
              <w:ind w:right="-21" w:firstLine="420" w:firstLineChars="200"/>
              <w:jc w:val="left"/>
              <w:rPr>
                <w:rFonts w:hint="eastAsia" w:ascii="宋体" w:hAnsi="宋体" w:eastAsia="宋体"/>
                <w:color w:val="000000"/>
                <w:kern w:val="0"/>
                <w:szCs w:val="21"/>
                <w:highlight w:val="none"/>
                <w:lang w:eastAsia="zh-CN"/>
              </w:rPr>
            </w:pPr>
            <w:r>
              <w:rPr>
                <w:rFonts w:hint="eastAsia" w:ascii="宋体" w:hAnsi="宋体"/>
                <w:color w:val="000000"/>
                <w:kern w:val="2"/>
                <w:szCs w:val="24"/>
                <w:highlight w:val="none"/>
              </w:rPr>
              <w:t>招标人将从2名中标人中选择</w:t>
            </w:r>
            <w:r>
              <w:rPr>
                <w:rFonts w:hint="eastAsia" w:ascii="宋体" w:hAnsi="宋体"/>
                <w:b w:val="0"/>
                <w:bCs w:val="0"/>
                <w:color w:val="000000"/>
                <w:kern w:val="2"/>
                <w:szCs w:val="24"/>
                <w:highlight w:val="none"/>
                <w:lang w:eastAsia="zh-CN"/>
              </w:rPr>
              <w:t>含税</w:t>
            </w:r>
            <w:r>
              <w:rPr>
                <w:rFonts w:hint="eastAsia" w:ascii="宋体" w:hAnsi="宋体"/>
                <w:b w:val="0"/>
                <w:bCs w:val="0"/>
                <w:color w:val="000000"/>
                <w:kern w:val="2"/>
                <w:szCs w:val="24"/>
                <w:highlight w:val="none"/>
              </w:rPr>
              <w:t>投标</w:t>
            </w:r>
            <w:r>
              <w:rPr>
                <w:rFonts w:hint="eastAsia" w:ascii="宋体" w:hAnsi="宋体"/>
                <w:b w:val="0"/>
                <w:bCs w:val="0"/>
                <w:color w:val="000000"/>
                <w:kern w:val="2"/>
                <w:szCs w:val="24"/>
                <w:highlight w:val="none"/>
                <w:lang w:eastAsia="zh-CN"/>
              </w:rPr>
              <w:t>总</w:t>
            </w:r>
            <w:r>
              <w:rPr>
                <w:rFonts w:hint="eastAsia" w:ascii="宋体" w:hAnsi="宋体"/>
                <w:b w:val="0"/>
                <w:bCs w:val="0"/>
                <w:color w:val="000000"/>
                <w:kern w:val="2"/>
                <w:szCs w:val="24"/>
                <w:highlight w:val="none"/>
              </w:rPr>
              <w:t>报价较低的</w:t>
            </w:r>
            <w:r>
              <w:rPr>
                <w:rFonts w:hint="eastAsia" w:ascii="宋体" w:hAnsi="宋体"/>
                <w:b w:val="0"/>
                <w:bCs w:val="0"/>
                <w:color w:val="000000"/>
                <w:kern w:val="2"/>
                <w:szCs w:val="24"/>
                <w:highlight w:val="none"/>
                <w:lang w:eastAsia="zh-CN"/>
              </w:rPr>
              <w:t>中标人的</w:t>
            </w:r>
            <w:r>
              <w:rPr>
                <w:rFonts w:hint="eastAsia" w:ascii="宋体" w:hAnsi="宋体"/>
                <w:b w:val="0"/>
                <w:bCs w:val="0"/>
                <w:color w:val="000000"/>
                <w:kern w:val="2"/>
                <w:szCs w:val="24"/>
                <w:highlight w:val="none"/>
                <w:lang w:val="en-US" w:eastAsia="zh-CN"/>
              </w:rPr>
              <w:t>含税</w:t>
            </w:r>
            <w:r>
              <w:rPr>
                <w:rFonts w:hint="eastAsia" w:ascii="宋体" w:hAnsi="宋体"/>
                <w:b w:val="0"/>
                <w:bCs w:val="0"/>
                <w:color w:val="000000"/>
                <w:kern w:val="2"/>
                <w:szCs w:val="24"/>
                <w:highlight w:val="none"/>
                <w:lang w:eastAsia="zh-CN"/>
              </w:rPr>
              <w:t>单价作为合同签订单价，</w:t>
            </w:r>
            <w:r>
              <w:rPr>
                <w:rFonts w:hint="eastAsia" w:ascii="宋体" w:hAnsi="宋体"/>
                <w:b w:val="0"/>
                <w:bCs w:val="0"/>
                <w:color w:val="000000"/>
                <w:kern w:val="2"/>
                <w:szCs w:val="24"/>
                <w:highlight w:val="none"/>
              </w:rPr>
              <w:t>每个中标人的合同签订金额应为</w:t>
            </w:r>
            <w:r>
              <w:rPr>
                <w:rFonts w:hint="eastAsia" w:ascii="宋体" w:hAnsi="宋体"/>
                <w:b w:val="0"/>
                <w:bCs w:val="0"/>
                <w:color w:val="000000"/>
                <w:kern w:val="2"/>
                <w:szCs w:val="24"/>
                <w:highlight w:val="none"/>
                <w:lang w:eastAsia="zh-CN"/>
              </w:rPr>
              <w:t>合同</w:t>
            </w:r>
            <w:r>
              <w:rPr>
                <w:rFonts w:hint="eastAsia" w:ascii="宋体" w:hAnsi="宋体"/>
                <w:b w:val="0"/>
                <w:bCs w:val="0"/>
                <w:color w:val="000000"/>
                <w:kern w:val="2"/>
                <w:szCs w:val="24"/>
                <w:highlight w:val="none"/>
                <w:lang w:val="en-US" w:eastAsia="zh-CN"/>
              </w:rPr>
              <w:t>签订</w:t>
            </w:r>
            <w:r>
              <w:rPr>
                <w:rFonts w:hint="eastAsia" w:ascii="宋体" w:hAnsi="宋体"/>
                <w:b w:val="0"/>
                <w:bCs w:val="0"/>
                <w:color w:val="000000"/>
                <w:kern w:val="2"/>
                <w:szCs w:val="24"/>
                <w:highlight w:val="none"/>
              </w:rPr>
              <w:t>单价乘以所负责区域的项目供货对应的工程量（即为本项目招标总工程量的50%）</w:t>
            </w:r>
            <w:r>
              <w:rPr>
                <w:rFonts w:hint="eastAsia" w:ascii="宋体" w:hAnsi="宋体"/>
                <w:b w:val="0"/>
                <w:bCs w:val="0"/>
                <w:color w:val="000000"/>
                <w:kern w:val="2"/>
                <w:szCs w:val="24"/>
                <w:highlight w:val="none"/>
                <w:lang w:val="en-US" w:eastAsia="zh-CN"/>
              </w:rPr>
              <w:t>。</w:t>
            </w:r>
          </w:p>
        </w:tc>
      </w:tr>
      <w:tr w14:paraId="43BC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154B94">
            <w:pPr>
              <w:spacing w:line="360" w:lineRule="exact"/>
              <w:jc w:val="center"/>
              <w:rPr>
                <w:rFonts w:ascii="宋体" w:hAnsi="宋体"/>
                <w:color w:val="000000"/>
                <w:kern w:val="0"/>
                <w:szCs w:val="21"/>
                <w:highlight w:val="none"/>
              </w:rPr>
            </w:pPr>
            <w:r>
              <w:rPr>
                <w:rFonts w:ascii="宋体" w:hAnsi="宋体"/>
                <w:color w:val="000000"/>
                <w:kern w:val="0"/>
                <w:szCs w:val="21"/>
                <w:highlight w:val="none"/>
              </w:rPr>
              <w:t>7.3.1</w:t>
            </w:r>
          </w:p>
        </w:tc>
        <w:tc>
          <w:tcPr>
            <w:tcW w:w="2210" w:type="dxa"/>
            <w:noWrap w:val="0"/>
            <w:vAlign w:val="center"/>
          </w:tcPr>
          <w:p w14:paraId="0F52E246">
            <w:pPr>
              <w:spacing w:line="360" w:lineRule="exact"/>
              <w:rPr>
                <w:rFonts w:ascii="宋体" w:hAnsi="宋体"/>
                <w:color w:val="000000"/>
                <w:kern w:val="0"/>
                <w:szCs w:val="21"/>
                <w:highlight w:val="none"/>
              </w:rPr>
            </w:pPr>
            <w:r>
              <w:rPr>
                <w:rFonts w:ascii="宋体" w:hAnsi="宋体"/>
                <w:color w:val="000000"/>
                <w:kern w:val="0"/>
                <w:szCs w:val="21"/>
                <w:highlight w:val="none"/>
              </w:rPr>
              <w:t>履约</w:t>
            </w:r>
            <w:r>
              <w:rPr>
                <w:rFonts w:hint="eastAsia" w:ascii="宋体" w:hAnsi="宋体"/>
                <w:color w:val="000000"/>
                <w:kern w:val="0"/>
                <w:szCs w:val="21"/>
                <w:highlight w:val="none"/>
              </w:rPr>
              <w:t>保证金</w:t>
            </w:r>
          </w:p>
        </w:tc>
        <w:tc>
          <w:tcPr>
            <w:tcW w:w="6327" w:type="dxa"/>
            <w:noWrap w:val="0"/>
            <w:vAlign w:val="center"/>
          </w:tcPr>
          <w:p w14:paraId="31B22876">
            <w:pPr>
              <w:spacing w:line="240" w:lineRule="auto"/>
              <w:rPr>
                <w:color w:val="000000"/>
                <w:highlight w:val="none"/>
              </w:rPr>
            </w:pPr>
            <w:r>
              <w:rPr>
                <w:rFonts w:hint="eastAsia"/>
                <w:strike w:val="0"/>
                <w:highlight w:val="none"/>
                <w:lang w:val="en-US" w:eastAsia="zh-CN"/>
              </w:rPr>
              <w:t>不需递交履约保证金。</w:t>
            </w:r>
          </w:p>
        </w:tc>
      </w:tr>
      <w:tr w14:paraId="4111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CEF3EAE">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7.4.4</w:t>
            </w:r>
          </w:p>
        </w:tc>
        <w:tc>
          <w:tcPr>
            <w:tcW w:w="2210" w:type="dxa"/>
            <w:noWrap w:val="0"/>
            <w:vAlign w:val="center"/>
          </w:tcPr>
          <w:p w14:paraId="65770AE9">
            <w:pPr>
              <w:spacing w:line="360" w:lineRule="exact"/>
              <w:rPr>
                <w:rFonts w:ascii="宋体" w:hAnsi="宋体"/>
                <w:color w:val="000000"/>
                <w:kern w:val="0"/>
                <w:szCs w:val="21"/>
                <w:highlight w:val="none"/>
              </w:rPr>
            </w:pPr>
            <w:r>
              <w:rPr>
                <w:rFonts w:hint="eastAsia" w:ascii="宋体" w:hAnsi="宋体"/>
                <w:color w:val="000000"/>
                <w:highlight w:val="none"/>
              </w:rPr>
              <w:t>放弃中标人资格</w:t>
            </w:r>
          </w:p>
        </w:tc>
        <w:tc>
          <w:tcPr>
            <w:tcW w:w="6327" w:type="dxa"/>
            <w:noWrap w:val="0"/>
            <w:vAlign w:val="center"/>
          </w:tcPr>
          <w:p w14:paraId="518002CF">
            <w:pPr>
              <w:spacing w:line="360" w:lineRule="exact"/>
              <w:rPr>
                <w:rFonts w:ascii="宋体" w:hAnsi="宋体"/>
                <w:color w:val="000000"/>
                <w:kern w:val="0"/>
                <w:szCs w:val="21"/>
                <w:highlight w:val="none"/>
              </w:rPr>
            </w:pPr>
            <w:r>
              <w:rPr>
                <w:rFonts w:hint="eastAsia" w:ascii="宋体" w:hAnsi="宋体"/>
                <w:color w:val="000000"/>
                <w:highlight w:val="none"/>
              </w:rPr>
              <w:t>中标人如放弃中标资格，则纳入招标人的不良信用名单，并禁止1年内不得投属于招标人的项目。</w:t>
            </w:r>
          </w:p>
        </w:tc>
      </w:tr>
      <w:tr w14:paraId="08F8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04" w:type="dxa"/>
            <w:gridSpan w:val="3"/>
            <w:noWrap w:val="0"/>
            <w:vAlign w:val="center"/>
          </w:tcPr>
          <w:p w14:paraId="7FED44D3">
            <w:pPr>
              <w:spacing w:line="360" w:lineRule="exact"/>
              <w:rPr>
                <w:rFonts w:ascii="宋体" w:hAnsi="宋体"/>
                <w:color w:val="000000"/>
                <w:kern w:val="0"/>
                <w:szCs w:val="21"/>
                <w:highlight w:val="none"/>
              </w:rPr>
            </w:pPr>
            <w:r>
              <w:rPr>
                <w:rFonts w:ascii="宋体" w:hAnsi="宋体"/>
                <w:color w:val="000000"/>
                <w:kern w:val="0"/>
                <w:szCs w:val="21"/>
                <w:highlight w:val="none"/>
              </w:rPr>
              <w:t>10. 需要补充的其他内容</w:t>
            </w:r>
          </w:p>
        </w:tc>
      </w:tr>
      <w:tr w14:paraId="680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1BA8ED1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10.1</w:t>
            </w:r>
          </w:p>
        </w:tc>
        <w:tc>
          <w:tcPr>
            <w:tcW w:w="2210" w:type="dxa"/>
            <w:noWrap w:val="0"/>
            <w:vAlign w:val="center"/>
          </w:tcPr>
          <w:p w14:paraId="41DF515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词语定义</w:t>
            </w:r>
          </w:p>
        </w:tc>
        <w:tc>
          <w:tcPr>
            <w:tcW w:w="6327" w:type="dxa"/>
            <w:noWrap w:val="0"/>
            <w:vAlign w:val="center"/>
          </w:tcPr>
          <w:p w14:paraId="26F1A779">
            <w:pPr>
              <w:spacing w:line="360" w:lineRule="exact"/>
              <w:rPr>
                <w:rFonts w:ascii="宋体" w:hAnsi="宋体"/>
                <w:color w:val="000000"/>
                <w:szCs w:val="21"/>
                <w:highlight w:val="none"/>
              </w:rPr>
            </w:pPr>
            <w:r>
              <w:rPr>
                <w:rFonts w:hint="eastAsia" w:ascii="宋体" w:hAnsi="宋体"/>
                <w:color w:val="000000"/>
                <w:szCs w:val="21"/>
                <w:highlight w:val="none"/>
              </w:rPr>
              <w:t>1.本招标文件中描述投标人的</w:t>
            </w:r>
            <w:r>
              <w:rPr>
                <w:rFonts w:ascii="宋体" w:hAnsi="宋体"/>
                <w:color w:val="000000"/>
                <w:szCs w:val="21"/>
                <w:highlight w:val="none"/>
              </w:rPr>
              <w:t>“</w:t>
            </w:r>
            <w:r>
              <w:rPr>
                <w:rFonts w:hint="eastAsia" w:ascii="宋体" w:hAnsi="宋体"/>
                <w:color w:val="000000"/>
                <w:szCs w:val="21"/>
                <w:highlight w:val="none"/>
              </w:rPr>
              <w:t>公章</w:t>
            </w:r>
            <w:r>
              <w:rPr>
                <w:rFonts w:ascii="宋体" w:hAnsi="宋体"/>
                <w:color w:val="000000"/>
                <w:szCs w:val="21"/>
                <w:highlight w:val="none"/>
              </w:rPr>
              <w:t>”</w:t>
            </w:r>
            <w:r>
              <w:rPr>
                <w:rFonts w:hint="eastAsia" w:ascii="宋体" w:hAnsi="宋体"/>
                <w:color w:val="000000"/>
                <w:szCs w:val="21"/>
                <w:highlight w:val="none"/>
              </w:rPr>
              <w:t>是指根据我国对公章的管理规定，用投标人法定主体行为名称制作的印章，除本招标文件有特殊规定外，投标人的财务章、部门章、分公司章、工会章、合同章、投标专用章、业务专用章等其它形式印章均不能代替公章。</w:t>
            </w:r>
          </w:p>
          <w:p w14:paraId="3BF6819D">
            <w:pPr>
              <w:spacing w:line="360" w:lineRule="exact"/>
              <w:rPr>
                <w:rFonts w:ascii="宋体" w:hAnsi="宋体"/>
                <w:color w:val="000000"/>
                <w:kern w:val="0"/>
                <w:szCs w:val="21"/>
                <w:highlight w:val="none"/>
                <w:u w:val="single"/>
              </w:rPr>
            </w:pPr>
            <w:r>
              <w:rPr>
                <w:rFonts w:hint="eastAsia" w:ascii="宋体" w:hAnsi="宋体"/>
                <w:color w:val="000000"/>
                <w:szCs w:val="21"/>
                <w:highlight w:val="none"/>
              </w:rPr>
              <w:t>2.本招标文件中描述投标人的</w:t>
            </w:r>
            <w:r>
              <w:rPr>
                <w:rFonts w:ascii="宋体" w:hAnsi="宋体"/>
                <w:color w:val="000000"/>
                <w:szCs w:val="21"/>
                <w:highlight w:val="none"/>
              </w:rPr>
              <w:t>“</w:t>
            </w:r>
            <w:r>
              <w:rPr>
                <w:rFonts w:hint="eastAsia" w:ascii="宋体" w:hAnsi="宋体"/>
                <w:color w:val="000000"/>
                <w:szCs w:val="21"/>
                <w:highlight w:val="none"/>
              </w:rPr>
              <w:t>签字</w:t>
            </w:r>
            <w:r>
              <w:rPr>
                <w:rFonts w:ascii="宋体" w:hAnsi="宋体"/>
                <w:color w:val="000000"/>
                <w:szCs w:val="21"/>
                <w:highlight w:val="none"/>
              </w:rPr>
              <w:t>”</w:t>
            </w:r>
            <w:r>
              <w:rPr>
                <w:rFonts w:hint="eastAsia" w:ascii="宋体" w:hAnsi="宋体"/>
                <w:color w:val="000000"/>
                <w:szCs w:val="21"/>
                <w:highlight w:val="none"/>
              </w:rPr>
              <w:t>是指投标人的法定代表人或被授权人亲自在招标文件规定签署处亲笔写上个人的名字的行为。</w:t>
            </w:r>
          </w:p>
        </w:tc>
      </w:tr>
      <w:tr w14:paraId="0174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BA698C4">
            <w:pPr>
              <w:spacing w:line="360" w:lineRule="exact"/>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0.2</w:t>
            </w:r>
          </w:p>
        </w:tc>
        <w:tc>
          <w:tcPr>
            <w:tcW w:w="2210" w:type="dxa"/>
            <w:noWrap w:val="0"/>
            <w:vAlign w:val="center"/>
          </w:tcPr>
          <w:p w14:paraId="2EAA00AA">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招标控制价</w:t>
            </w:r>
          </w:p>
        </w:tc>
        <w:tc>
          <w:tcPr>
            <w:tcW w:w="6327" w:type="dxa"/>
            <w:noWrap w:val="0"/>
            <w:vAlign w:val="center"/>
          </w:tcPr>
          <w:p w14:paraId="3F8C259E">
            <w:pPr>
              <w:widowControl/>
              <w:spacing w:line="360" w:lineRule="exact"/>
              <w:rPr>
                <w:color w:val="000000"/>
                <w:highlight w:val="none"/>
              </w:rPr>
            </w:pPr>
            <w:r>
              <w:rPr>
                <w:rFonts w:hint="eastAsia"/>
                <w:color w:val="000000"/>
                <w:highlight w:val="none"/>
              </w:rPr>
              <w:t>本项目</w:t>
            </w:r>
            <w:r>
              <w:rPr>
                <w:rFonts w:hint="eastAsia"/>
                <w:color w:val="000000"/>
                <w:highlight w:val="none"/>
                <w:lang w:val="en-US" w:eastAsia="zh-CN"/>
              </w:rPr>
              <w:t>含税</w:t>
            </w:r>
            <w:r>
              <w:rPr>
                <w:rFonts w:hint="eastAsia"/>
                <w:color w:val="000000"/>
                <w:highlight w:val="none"/>
                <w:lang w:eastAsia="zh-CN"/>
              </w:rPr>
              <w:t>招标控制价</w:t>
            </w:r>
            <w:r>
              <w:rPr>
                <w:rFonts w:hint="eastAsia"/>
                <w:color w:val="000000"/>
                <w:highlight w:val="none"/>
              </w:rPr>
              <w:t>为人民币</w:t>
            </w:r>
            <w:r>
              <w:rPr>
                <w:rFonts w:hint="eastAsia"/>
                <w:color w:val="000000"/>
                <w:highlight w:val="none"/>
                <w:lang w:val="en-US" w:eastAsia="zh-CN"/>
              </w:rPr>
              <w:t>贰仟贰佰柒拾肆万柒仟元整</w:t>
            </w:r>
            <w:r>
              <w:rPr>
                <w:rFonts w:hint="eastAsia"/>
                <w:color w:val="000000"/>
                <w:highlight w:val="none"/>
              </w:rPr>
              <w:t>（¥</w:t>
            </w:r>
            <w:r>
              <w:rPr>
                <w:rFonts w:hint="eastAsia"/>
                <w:color w:val="000000"/>
                <w:highlight w:val="none"/>
                <w:lang w:val="en-US" w:eastAsia="zh-CN"/>
              </w:rPr>
              <w:t>22747000.00），其中：含增值税招标控制单价详见招标文件第六章用户需求书《技术需求及数量表》。投标报价高于招标控制价（或含税招标控制综合单价）的投标文件将按否决投标处理。</w:t>
            </w:r>
          </w:p>
        </w:tc>
      </w:tr>
      <w:tr w14:paraId="0A68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74A077B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10.8</w:t>
            </w:r>
          </w:p>
        </w:tc>
        <w:tc>
          <w:tcPr>
            <w:tcW w:w="2210" w:type="dxa"/>
            <w:noWrap w:val="0"/>
            <w:vAlign w:val="center"/>
          </w:tcPr>
          <w:p w14:paraId="0E0617BB">
            <w:pPr>
              <w:spacing w:line="360" w:lineRule="exact"/>
              <w:rPr>
                <w:rFonts w:ascii="宋体" w:hAnsi="宋体"/>
                <w:color w:val="000000"/>
                <w:kern w:val="0"/>
                <w:szCs w:val="21"/>
                <w:highlight w:val="none"/>
              </w:rPr>
            </w:pPr>
            <w:r>
              <w:rPr>
                <w:rFonts w:ascii="宋体" w:hAnsi="宋体"/>
                <w:color w:val="000000"/>
                <w:kern w:val="0"/>
                <w:szCs w:val="21"/>
                <w:highlight w:val="none"/>
              </w:rPr>
              <w:t>其他</w:t>
            </w:r>
          </w:p>
        </w:tc>
        <w:tc>
          <w:tcPr>
            <w:tcW w:w="6327" w:type="dxa"/>
            <w:noWrap w:val="0"/>
            <w:vAlign w:val="center"/>
          </w:tcPr>
          <w:p w14:paraId="3F9C4F78">
            <w:pPr>
              <w:widowControl/>
              <w:spacing w:line="276" w:lineRule="auto"/>
              <w:rPr>
                <w:rFonts w:hint="eastAsia" w:ascii="宋体" w:hAnsi="宋体" w:cs="宋体"/>
                <w:szCs w:val="21"/>
                <w:highlight w:val="none"/>
              </w:rPr>
            </w:pPr>
            <w:r>
              <w:rPr>
                <w:rFonts w:hint="eastAsia" w:ascii="宋体" w:hAnsi="宋体"/>
                <w:szCs w:val="21"/>
                <w:highlight w:val="none"/>
              </w:rPr>
              <w:t>1.在签订合同前，招标人与中标人依据本次招标文件中的用户需求书、中标人的投标文件（如</w:t>
            </w:r>
            <w:r>
              <w:rPr>
                <w:rFonts w:hint="eastAsia" w:ascii="宋体" w:hAnsi="宋体"/>
                <w:szCs w:val="21"/>
                <w:highlight w:val="none"/>
                <w:lang w:val="en-US" w:eastAsia="zh-CN"/>
              </w:rPr>
              <w:t>技术条款</w:t>
            </w:r>
            <w:r>
              <w:rPr>
                <w:rFonts w:hint="eastAsia" w:ascii="宋体" w:hAnsi="宋体"/>
                <w:szCs w:val="21"/>
                <w:highlight w:val="none"/>
              </w:rPr>
              <w:t>响应表、</w:t>
            </w:r>
            <w:r>
              <w:rPr>
                <w:rFonts w:hint="eastAsia" w:ascii="宋体" w:hAnsi="宋体"/>
                <w:szCs w:val="21"/>
                <w:highlight w:val="none"/>
                <w:lang w:val="en-US" w:eastAsia="zh-CN"/>
              </w:rPr>
              <w:t>技术</w:t>
            </w:r>
            <w:r>
              <w:rPr>
                <w:rFonts w:hint="eastAsia" w:ascii="宋体" w:hAnsi="宋体"/>
                <w:szCs w:val="21"/>
                <w:highlight w:val="none"/>
              </w:rPr>
              <w:t>文件等），按照二者较优值形成技术规格书。并经双方确认后构成本合同的有效组成部分。</w:t>
            </w:r>
            <w:r>
              <w:rPr>
                <w:rFonts w:hint="eastAsia" w:ascii="宋体" w:hAnsi="宋体" w:cs="宋体"/>
                <w:szCs w:val="21"/>
                <w:highlight w:val="none"/>
              </w:rPr>
              <w:t>若中标人在定标后及合同签订前，以上述事项为借口而不履行合同签订手续及执行合同，则视作放弃中标资格。</w:t>
            </w:r>
          </w:p>
          <w:p w14:paraId="6C9E8748">
            <w:pPr>
              <w:spacing w:line="276" w:lineRule="auto"/>
              <w:rPr>
                <w:rFonts w:hint="default" w:eastAsia="宋体"/>
                <w:highlight w:val="none"/>
                <w:lang w:val="en-US" w:eastAsia="zh-CN"/>
              </w:rPr>
            </w:pPr>
            <w:r>
              <w:rPr>
                <w:rFonts w:hint="eastAsia" w:ascii="宋体" w:hAnsi="宋体"/>
                <w:highlight w:val="none"/>
              </w:rPr>
              <w:t>2.中标人在领取中标通知书前，一次性向招标代理机构支付招标代理服务费</w:t>
            </w:r>
            <w:r>
              <w:rPr>
                <w:rFonts w:hint="eastAsia" w:ascii="宋体" w:hAnsi="宋体"/>
                <w:highlight w:val="none"/>
                <w:lang w:eastAsia="zh-CN"/>
              </w:rPr>
              <w:t>，</w:t>
            </w:r>
            <w:r>
              <w:rPr>
                <w:rFonts w:hint="eastAsia" w:ascii="宋体" w:hAnsi="宋体"/>
                <w:color w:val="000000"/>
                <w:highlight w:val="none"/>
              </w:rPr>
              <w:t>暂按含增值税</w:t>
            </w:r>
            <w:r>
              <w:rPr>
                <w:rFonts w:hint="eastAsia" w:ascii="宋体" w:hAnsi="宋体"/>
                <w:color w:val="000000"/>
                <w:highlight w:val="none"/>
                <w:lang w:eastAsia="zh-CN"/>
              </w:rPr>
              <w:t>招标控制价</w:t>
            </w:r>
            <w:r>
              <w:rPr>
                <w:rFonts w:hint="eastAsia"/>
                <w:color w:val="000000"/>
                <w:highlight w:val="none"/>
                <w:lang w:val="en-US" w:eastAsia="zh-CN"/>
              </w:rPr>
              <w:t>22747000.00</w:t>
            </w:r>
            <w:r>
              <w:rPr>
                <w:rFonts w:hint="eastAsia" w:ascii="宋体" w:hAnsi="宋体"/>
                <w:color w:val="000000"/>
                <w:highlight w:val="none"/>
              </w:rPr>
              <w:t>元计算，预计</w:t>
            </w:r>
            <w:r>
              <w:rPr>
                <w:rFonts w:hint="eastAsia" w:ascii="宋体" w:hAnsi="宋体"/>
                <w:b w:val="0"/>
                <w:bCs/>
                <w:color w:val="000000"/>
                <w:szCs w:val="21"/>
                <w:highlight w:val="none"/>
                <w:lang w:val="en-US" w:eastAsia="zh-CN"/>
              </w:rPr>
              <w:t>7.32万</w:t>
            </w:r>
            <w:r>
              <w:rPr>
                <w:rFonts w:hint="eastAsia" w:ascii="宋体" w:hAnsi="宋体"/>
                <w:color w:val="000000"/>
                <w:highlight w:val="none"/>
              </w:rPr>
              <w:t>元。最终实际支付金额以中标价为基数计算</w:t>
            </w:r>
            <w:r>
              <w:rPr>
                <w:rFonts w:hint="eastAsia" w:ascii="宋体" w:hAnsi="宋体"/>
                <w:color w:val="000000"/>
                <w:highlight w:val="none"/>
                <w:lang w:eastAsia="zh-CN"/>
              </w:rPr>
              <w:t>，</w:t>
            </w:r>
            <w:r>
              <w:rPr>
                <w:rFonts w:hint="eastAsia"/>
                <w:highlight w:val="none"/>
                <w:lang w:val="en-US" w:eastAsia="zh-CN"/>
              </w:rPr>
              <w:t>根据中标人数量平均分摊支付。</w:t>
            </w:r>
            <w:r>
              <w:rPr>
                <w:rFonts w:hint="eastAsia" w:ascii="宋体" w:hAnsi="宋体"/>
                <w:highlight w:val="none"/>
              </w:rPr>
              <w:t>招标代理机构在收到费用后5个工作日内向中标人开具增值税发票。</w:t>
            </w:r>
            <w:r>
              <w:rPr>
                <w:highlight w:val="none"/>
              </w:rPr>
              <w:t>根据招标人与代理人签订的《</w:t>
            </w:r>
            <w:r>
              <w:rPr>
                <w:rFonts w:hint="eastAsia"/>
                <w:highlight w:val="none"/>
                <w:lang w:eastAsia="zh-CN"/>
              </w:rPr>
              <w:t>2025年-2026年南宁轨道地产建筑工程有限责任公司钢筋集中采购项目</w:t>
            </w:r>
            <w:r>
              <w:rPr>
                <w:rFonts w:hint="eastAsia"/>
                <w:highlight w:val="none"/>
              </w:rPr>
              <w:t>招标代理合同</w:t>
            </w:r>
            <w:r>
              <w:rPr>
                <w:highlight w:val="none"/>
              </w:rPr>
              <w:t>》，</w:t>
            </w:r>
            <w:r>
              <w:rPr>
                <w:rFonts w:hint="eastAsia"/>
                <w:highlight w:val="none"/>
              </w:rPr>
              <w:t>招标代理服务费：参照国家发展改革委《关于降低部分建设项目收费标准规范收费行为等有关问题的通知》（发改价格〔2011〕534号）规定。招标代理服务费=</w:t>
            </w:r>
            <w:r>
              <w:rPr>
                <w:rFonts w:hint="eastAsia" w:ascii="宋体" w:hAnsi="宋体"/>
                <w:color w:val="000000"/>
                <w:highlight w:val="none"/>
              </w:rPr>
              <w:t>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w:t>
            </w:r>
            <w:r>
              <w:rPr>
                <w:rFonts w:hint="eastAsia"/>
                <w:highlight w:val="none"/>
              </w:rPr>
              <w:t>，</w:t>
            </w:r>
            <w:r>
              <w:rPr>
                <w:rFonts w:hint="eastAsia" w:ascii="宋体" w:hAnsi="宋体"/>
                <w:color w:val="000000"/>
                <w:highlight w:val="none"/>
              </w:rPr>
              <w:t>按货物类标准计取</w:t>
            </w:r>
            <w:r>
              <w:rPr>
                <w:highlight w:val="none"/>
              </w:rPr>
              <w:t>。</w:t>
            </w:r>
          </w:p>
          <w:p w14:paraId="07C9B30D">
            <w:pPr>
              <w:spacing w:line="360" w:lineRule="auto"/>
              <w:rPr>
                <w:color w:val="000000"/>
                <w:highlight w:val="none"/>
              </w:rPr>
            </w:pPr>
            <w:r>
              <w:rPr>
                <w:rFonts w:ascii="宋体" w:hAnsi="宋体"/>
                <w:szCs w:val="21"/>
                <w:highlight w:val="none"/>
              </w:rPr>
              <w:t>3</w:t>
            </w:r>
            <w:r>
              <w:rPr>
                <w:rFonts w:hint="eastAsia" w:ascii="宋体" w:hAnsi="宋体"/>
                <w:szCs w:val="21"/>
                <w:highlight w:val="none"/>
              </w:rPr>
              <w:t>.本项目招标文件的最终解释权归招标人。</w:t>
            </w:r>
          </w:p>
        </w:tc>
      </w:tr>
    </w:tbl>
    <w:p w14:paraId="26CEDF86">
      <w:pPr>
        <w:jc w:val="center"/>
        <w:outlineLvl w:val="1"/>
        <w:rPr>
          <w:color w:val="000000"/>
          <w:highlight w:val="none"/>
        </w:rPr>
      </w:pPr>
      <w:bookmarkStart w:id="117" w:name="_Toc143421656"/>
      <w:r>
        <w:rPr>
          <w:color w:val="000000"/>
          <w:sz w:val="30"/>
          <w:szCs w:val="30"/>
          <w:highlight w:val="none"/>
        </w:rPr>
        <w:br w:type="page"/>
      </w:r>
      <w:bookmarkStart w:id="118" w:name="_Toc20883"/>
      <w:bookmarkStart w:id="119" w:name="_Toc3568"/>
      <w:bookmarkStart w:id="120" w:name="_Toc2290"/>
      <w:bookmarkStart w:id="121" w:name="_Toc16363"/>
      <w:bookmarkStart w:id="122" w:name="_Toc2970"/>
      <w:bookmarkStart w:id="123" w:name="_Toc27304"/>
      <w:bookmarkStart w:id="124" w:name="_Toc29786923"/>
      <w:bookmarkStart w:id="125" w:name="_Toc26915"/>
      <w:bookmarkStart w:id="126" w:name="_Toc5989"/>
      <w:bookmarkStart w:id="127" w:name="_Toc389065144"/>
      <w:bookmarkStart w:id="128" w:name="_Toc6370"/>
      <w:bookmarkStart w:id="129" w:name="_Toc20233"/>
      <w:bookmarkStart w:id="130" w:name="_Toc16600"/>
      <w:bookmarkStart w:id="131" w:name="_Toc10996"/>
      <w:bookmarkStart w:id="132" w:name="_Toc234121008"/>
      <w:bookmarkStart w:id="133" w:name="_Toc20357"/>
      <w:bookmarkStart w:id="134" w:name="_Toc530736529"/>
      <w:bookmarkStart w:id="135" w:name="_Toc7485"/>
      <w:bookmarkStart w:id="136" w:name="_Toc13547"/>
      <w:bookmarkStart w:id="137" w:name="_Toc12219"/>
      <w:r>
        <w:rPr>
          <w:rFonts w:hint="eastAsia" w:eastAsia="黑体"/>
          <w:color w:val="000000"/>
          <w:kern w:val="0"/>
          <w:sz w:val="28"/>
          <w:szCs w:val="28"/>
          <w:highlight w:val="none"/>
        </w:rPr>
        <w:t>投标人须知正文部分</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8" w:name="_Toc14006"/>
      <w:bookmarkStart w:id="139" w:name="_Toc389065145"/>
    </w:p>
    <w:p w14:paraId="34F64471">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1</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总则</w:t>
      </w:r>
      <w:bookmarkEnd w:id="138"/>
      <w:bookmarkEnd w:id="139"/>
    </w:p>
    <w:p w14:paraId="309F2824">
      <w:pPr>
        <w:keepNext/>
        <w:keepLines/>
        <w:spacing w:line="360" w:lineRule="auto"/>
        <w:outlineLvl w:val="3"/>
        <w:rPr>
          <w:rFonts w:ascii="宋体" w:hAnsi="宋体"/>
          <w:b/>
          <w:bCs/>
          <w:color w:val="000000"/>
          <w:szCs w:val="21"/>
          <w:highlight w:val="none"/>
        </w:rPr>
      </w:pPr>
      <w:bookmarkStart w:id="140" w:name="_Toc389065146"/>
      <w:bookmarkStart w:id="141" w:name="_Toc11792"/>
      <w:r>
        <w:rPr>
          <w:rFonts w:ascii="宋体" w:hAnsi="宋体"/>
          <w:b/>
          <w:bCs/>
          <w:color w:val="000000"/>
          <w:szCs w:val="21"/>
          <w:highlight w:val="none"/>
        </w:rPr>
        <w:t>1.1 项目概况</w:t>
      </w:r>
      <w:bookmarkEnd w:id="140"/>
      <w:bookmarkEnd w:id="141"/>
    </w:p>
    <w:p w14:paraId="318D1D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1.1.1根据《中华人民共和国招标投标法》等有关法律、法规和规章的规定，本招标项目已具备招标条件，现对本</w:t>
      </w:r>
      <w:r>
        <w:rPr>
          <w:rFonts w:hint="eastAsia" w:ascii="宋体" w:hAnsi="宋体"/>
          <w:color w:val="000000"/>
          <w:kern w:val="0"/>
          <w:szCs w:val="21"/>
          <w:highlight w:val="none"/>
        </w:rPr>
        <w:t>项目</w:t>
      </w:r>
      <w:r>
        <w:rPr>
          <w:rFonts w:ascii="宋体" w:hAnsi="宋体"/>
          <w:color w:val="000000"/>
          <w:kern w:val="0"/>
          <w:szCs w:val="21"/>
          <w:highlight w:val="none"/>
        </w:rPr>
        <w:t>进行招标。</w:t>
      </w:r>
    </w:p>
    <w:p w14:paraId="470669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1.1.2 本招标项目招标人：见“投标人须知前附表”。</w:t>
      </w:r>
    </w:p>
    <w:p w14:paraId="0FB4685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1.1.3 本</w:t>
      </w:r>
      <w:r>
        <w:rPr>
          <w:rFonts w:hint="eastAsia" w:ascii="宋体" w:hAnsi="宋体"/>
          <w:color w:val="000000"/>
          <w:kern w:val="0"/>
          <w:szCs w:val="21"/>
          <w:highlight w:val="none"/>
        </w:rPr>
        <w:t>项目</w:t>
      </w:r>
      <w:r>
        <w:rPr>
          <w:rFonts w:ascii="宋体" w:hAnsi="宋体"/>
          <w:color w:val="000000"/>
          <w:kern w:val="0"/>
          <w:szCs w:val="21"/>
          <w:highlight w:val="none"/>
        </w:rPr>
        <w:t>招标代理机构：见“投标人须知前附表”。</w:t>
      </w:r>
    </w:p>
    <w:p w14:paraId="4E9BDB1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1.1.4 本招标项目名称：见“投标人须知前附表”。</w:t>
      </w:r>
    </w:p>
    <w:p w14:paraId="5797FCA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1.1.5 本</w:t>
      </w:r>
      <w:r>
        <w:rPr>
          <w:rFonts w:hint="eastAsia" w:ascii="宋体" w:hAnsi="宋体"/>
          <w:color w:val="000000"/>
          <w:kern w:val="0"/>
          <w:szCs w:val="21"/>
          <w:highlight w:val="none"/>
        </w:rPr>
        <w:t>项目</w:t>
      </w:r>
      <w:r>
        <w:rPr>
          <w:rFonts w:ascii="宋体" w:hAnsi="宋体"/>
          <w:color w:val="000000"/>
          <w:kern w:val="0"/>
          <w:szCs w:val="21"/>
          <w:highlight w:val="none"/>
        </w:rPr>
        <w:t>地点：见“投标人须知前附表”。</w:t>
      </w:r>
    </w:p>
    <w:p w14:paraId="55EBEFAA">
      <w:pPr>
        <w:keepNext/>
        <w:keepLines/>
        <w:spacing w:line="360" w:lineRule="auto"/>
        <w:outlineLvl w:val="3"/>
        <w:rPr>
          <w:rFonts w:ascii="宋体" w:hAnsi="宋体"/>
          <w:b/>
          <w:bCs/>
          <w:color w:val="000000"/>
          <w:szCs w:val="21"/>
          <w:highlight w:val="none"/>
        </w:rPr>
      </w:pPr>
      <w:bookmarkStart w:id="142" w:name="_Toc389065147"/>
      <w:bookmarkStart w:id="143" w:name="_Toc31441"/>
      <w:r>
        <w:rPr>
          <w:rFonts w:ascii="宋体" w:hAnsi="宋体"/>
          <w:b/>
          <w:bCs/>
          <w:color w:val="000000"/>
          <w:szCs w:val="21"/>
          <w:highlight w:val="none"/>
        </w:rPr>
        <w:t>1.2 资金来源和落实情况</w:t>
      </w:r>
      <w:bookmarkEnd w:id="142"/>
      <w:bookmarkEnd w:id="143"/>
    </w:p>
    <w:p w14:paraId="72F7B3F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1.2.1 本招标项目的资金来源：见“投标人须知前附表”。</w:t>
      </w:r>
    </w:p>
    <w:p w14:paraId="6E3FB4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1.2.2 本招标项目的出资比例：见“投标人须知前附表”。</w:t>
      </w:r>
    </w:p>
    <w:p w14:paraId="4A53EEC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1.2.3 本招标项目的资金落实情况：见“投标人须知前附表”。</w:t>
      </w:r>
    </w:p>
    <w:p w14:paraId="04EC675B">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1.2.4 本招标项目的增值税计税方法：</w:t>
      </w:r>
      <w:r>
        <w:rPr>
          <w:rFonts w:ascii="宋体" w:hAnsi="宋体"/>
          <w:color w:val="000000"/>
          <w:kern w:val="0"/>
          <w:szCs w:val="21"/>
          <w:highlight w:val="none"/>
        </w:rPr>
        <w:t>见“投标人须知前附表”。</w:t>
      </w:r>
    </w:p>
    <w:p w14:paraId="66B12B4D">
      <w:pPr>
        <w:keepNext/>
        <w:keepLines/>
        <w:spacing w:line="360" w:lineRule="auto"/>
        <w:outlineLvl w:val="3"/>
        <w:rPr>
          <w:rFonts w:ascii="宋体" w:hAnsi="宋体"/>
          <w:b/>
          <w:bCs/>
          <w:color w:val="000000"/>
          <w:szCs w:val="21"/>
          <w:highlight w:val="none"/>
        </w:rPr>
      </w:pPr>
      <w:bookmarkStart w:id="144" w:name="_Toc13334"/>
      <w:bookmarkStart w:id="145" w:name="_Toc389065148"/>
      <w:r>
        <w:rPr>
          <w:rFonts w:ascii="宋体" w:hAnsi="宋体"/>
          <w:b/>
          <w:bCs/>
          <w:color w:val="000000"/>
          <w:szCs w:val="21"/>
          <w:highlight w:val="none"/>
        </w:rPr>
        <w:t>1.3 招标范围、</w:t>
      </w:r>
      <w:r>
        <w:rPr>
          <w:rFonts w:hint="eastAsia" w:ascii="宋体" w:hAnsi="宋体"/>
          <w:b/>
          <w:bCs/>
          <w:color w:val="000000"/>
          <w:szCs w:val="21"/>
          <w:highlight w:val="none"/>
          <w:lang w:eastAsia="zh-CN"/>
        </w:rPr>
        <w:t>服务</w:t>
      </w:r>
      <w:r>
        <w:rPr>
          <w:rFonts w:hint="eastAsia" w:ascii="宋体" w:hAnsi="宋体"/>
          <w:b/>
          <w:bCs/>
          <w:color w:val="000000"/>
          <w:szCs w:val="21"/>
          <w:highlight w:val="none"/>
        </w:rPr>
        <w:t>期</w:t>
      </w:r>
      <w:r>
        <w:rPr>
          <w:rFonts w:ascii="宋体" w:hAnsi="宋体"/>
          <w:b/>
          <w:bCs/>
          <w:color w:val="000000"/>
          <w:szCs w:val="21"/>
          <w:highlight w:val="none"/>
        </w:rPr>
        <w:t>和质量要求</w:t>
      </w:r>
      <w:bookmarkEnd w:id="144"/>
      <w:bookmarkEnd w:id="145"/>
    </w:p>
    <w:p w14:paraId="5D8FE1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1.3.1 本次招标范围：见“投标人须知前附表”。</w:t>
      </w:r>
    </w:p>
    <w:p w14:paraId="7D7D67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1.3.2 本</w:t>
      </w:r>
      <w:r>
        <w:rPr>
          <w:rFonts w:hint="eastAsia" w:ascii="宋体" w:hAnsi="宋体"/>
          <w:color w:val="000000"/>
          <w:kern w:val="0"/>
          <w:szCs w:val="21"/>
          <w:highlight w:val="none"/>
        </w:rPr>
        <w:t>项目</w:t>
      </w:r>
      <w:r>
        <w:rPr>
          <w:rFonts w:ascii="宋体" w:hAnsi="宋体"/>
          <w:color w:val="000000"/>
          <w:kern w:val="0"/>
          <w:szCs w:val="21"/>
          <w:highlight w:val="none"/>
        </w:rPr>
        <w:t>的</w:t>
      </w:r>
      <w:r>
        <w:rPr>
          <w:rFonts w:hint="eastAsia"/>
          <w:color w:val="000000"/>
          <w:highlight w:val="none"/>
          <w:lang w:val="en-US" w:eastAsia="zh-CN"/>
        </w:rPr>
        <w:t>服务</w:t>
      </w:r>
      <w:r>
        <w:rPr>
          <w:rFonts w:hint="eastAsia" w:ascii="宋体" w:hAnsi="宋体"/>
          <w:color w:val="000000"/>
          <w:kern w:val="0"/>
          <w:szCs w:val="21"/>
          <w:highlight w:val="none"/>
        </w:rPr>
        <w:t>期</w:t>
      </w:r>
      <w:r>
        <w:rPr>
          <w:rFonts w:ascii="宋体" w:hAnsi="宋体"/>
          <w:color w:val="000000"/>
          <w:kern w:val="0"/>
          <w:szCs w:val="21"/>
          <w:highlight w:val="none"/>
        </w:rPr>
        <w:t>：见“投标人须知前附表”。</w:t>
      </w:r>
    </w:p>
    <w:p w14:paraId="7A59D9F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1.3.3 本</w:t>
      </w:r>
      <w:r>
        <w:rPr>
          <w:rFonts w:hint="eastAsia" w:ascii="宋体" w:hAnsi="宋体"/>
          <w:color w:val="000000"/>
          <w:kern w:val="0"/>
          <w:szCs w:val="21"/>
          <w:highlight w:val="none"/>
        </w:rPr>
        <w:t>项目</w:t>
      </w:r>
      <w:r>
        <w:rPr>
          <w:rFonts w:ascii="宋体" w:hAnsi="宋体"/>
          <w:color w:val="000000"/>
          <w:kern w:val="0"/>
          <w:szCs w:val="21"/>
          <w:highlight w:val="none"/>
        </w:rPr>
        <w:t>的质量要求：见“投标人须知前附表”。</w:t>
      </w:r>
    </w:p>
    <w:p w14:paraId="55574F1C">
      <w:pPr>
        <w:keepNext/>
        <w:keepLines/>
        <w:spacing w:line="360" w:lineRule="auto"/>
        <w:outlineLvl w:val="3"/>
        <w:rPr>
          <w:rFonts w:ascii="宋体" w:hAnsi="宋体"/>
          <w:b/>
          <w:bCs/>
          <w:color w:val="000000"/>
          <w:szCs w:val="21"/>
          <w:highlight w:val="none"/>
        </w:rPr>
      </w:pPr>
      <w:bookmarkStart w:id="146" w:name="_Toc389065149"/>
      <w:bookmarkStart w:id="147" w:name="_Toc16860"/>
      <w:r>
        <w:rPr>
          <w:rFonts w:ascii="宋体" w:hAnsi="宋体"/>
          <w:b/>
          <w:bCs/>
          <w:color w:val="000000"/>
          <w:szCs w:val="21"/>
          <w:highlight w:val="none"/>
        </w:rPr>
        <w:t>1.4 投标人资格要求</w:t>
      </w:r>
      <w:bookmarkEnd w:id="146"/>
      <w:bookmarkEnd w:id="147"/>
    </w:p>
    <w:p w14:paraId="3F5F321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1.4.1 投标人应具备承担本项目的资质条件</w:t>
      </w:r>
      <w:r>
        <w:rPr>
          <w:rFonts w:hint="eastAsia" w:ascii="宋体" w:hAnsi="宋体"/>
          <w:color w:val="000000"/>
          <w:kern w:val="0"/>
          <w:szCs w:val="21"/>
          <w:highlight w:val="none"/>
        </w:rPr>
        <w:t>,</w:t>
      </w:r>
      <w:r>
        <w:rPr>
          <w:rFonts w:ascii="宋体" w:hAnsi="宋体"/>
          <w:color w:val="000000"/>
          <w:kern w:val="0"/>
          <w:szCs w:val="21"/>
          <w:highlight w:val="none"/>
        </w:rPr>
        <w:t>见“投标人须知前附表”。</w:t>
      </w:r>
    </w:p>
    <w:p w14:paraId="78DFE22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w:t>
      </w:r>
      <w:r>
        <w:rPr>
          <w:rFonts w:hint="eastAsia" w:ascii="宋体" w:hAnsi="宋体"/>
          <w:color w:val="000000"/>
          <w:kern w:val="0"/>
          <w:szCs w:val="21"/>
          <w:highlight w:val="none"/>
        </w:rPr>
        <w:t>2是否接受联合体投标：</w:t>
      </w:r>
      <w:r>
        <w:rPr>
          <w:rFonts w:ascii="宋体" w:hAnsi="宋体"/>
          <w:color w:val="000000"/>
          <w:kern w:val="0"/>
          <w:szCs w:val="21"/>
          <w:highlight w:val="none"/>
        </w:rPr>
        <w:t>见“投标人须知前附表”</w:t>
      </w:r>
      <w:r>
        <w:rPr>
          <w:rFonts w:hint="eastAsia" w:ascii="宋体" w:hAnsi="宋体"/>
          <w:color w:val="000000"/>
          <w:kern w:val="0"/>
          <w:szCs w:val="21"/>
          <w:highlight w:val="none"/>
        </w:rPr>
        <w:t>。</w:t>
      </w:r>
    </w:p>
    <w:p w14:paraId="72DEEB53">
      <w:pPr>
        <w:keepNext/>
        <w:keepLines/>
        <w:spacing w:line="360" w:lineRule="auto"/>
        <w:outlineLvl w:val="3"/>
        <w:rPr>
          <w:rFonts w:ascii="宋体" w:hAnsi="宋体"/>
          <w:b/>
          <w:bCs/>
          <w:color w:val="000000"/>
          <w:szCs w:val="21"/>
          <w:highlight w:val="none"/>
        </w:rPr>
      </w:pPr>
      <w:bookmarkStart w:id="148" w:name="_Toc25398"/>
      <w:bookmarkStart w:id="149" w:name="_Toc389065150"/>
      <w:r>
        <w:rPr>
          <w:rFonts w:ascii="宋体" w:hAnsi="宋体"/>
          <w:b/>
          <w:bCs/>
          <w:color w:val="000000"/>
          <w:szCs w:val="21"/>
          <w:highlight w:val="none"/>
        </w:rPr>
        <w:t>1.5 费用承担</w:t>
      </w:r>
      <w:bookmarkEnd w:id="148"/>
      <w:bookmarkEnd w:id="149"/>
    </w:p>
    <w:p w14:paraId="198F0FE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投标人准备和参加投标活动发生的费用自理。</w:t>
      </w:r>
    </w:p>
    <w:p w14:paraId="39A104FF">
      <w:pPr>
        <w:keepNext/>
        <w:keepLines/>
        <w:spacing w:line="360" w:lineRule="auto"/>
        <w:outlineLvl w:val="3"/>
        <w:rPr>
          <w:rFonts w:ascii="宋体" w:hAnsi="宋体"/>
          <w:b/>
          <w:bCs/>
          <w:color w:val="000000"/>
          <w:szCs w:val="21"/>
          <w:highlight w:val="none"/>
        </w:rPr>
      </w:pPr>
      <w:bookmarkStart w:id="150" w:name="_Toc30935"/>
      <w:bookmarkStart w:id="151" w:name="_Toc389065151"/>
      <w:r>
        <w:rPr>
          <w:rFonts w:ascii="宋体" w:hAnsi="宋体"/>
          <w:b/>
          <w:bCs/>
          <w:color w:val="000000"/>
          <w:szCs w:val="21"/>
          <w:highlight w:val="none"/>
        </w:rPr>
        <w:t>1.6 保密</w:t>
      </w:r>
      <w:bookmarkEnd w:id="150"/>
      <w:bookmarkEnd w:id="151"/>
    </w:p>
    <w:p w14:paraId="0675B3C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参与招标投标活动的各方应对招标文件和投标文件中的商业和技术等秘密保密，违者应对由此造成的后果承担法律责任。</w:t>
      </w:r>
    </w:p>
    <w:p w14:paraId="525CC521">
      <w:pPr>
        <w:keepNext/>
        <w:keepLines/>
        <w:spacing w:line="360" w:lineRule="auto"/>
        <w:outlineLvl w:val="3"/>
        <w:rPr>
          <w:rFonts w:ascii="宋体" w:hAnsi="宋体"/>
          <w:b/>
          <w:bCs/>
          <w:color w:val="000000"/>
          <w:szCs w:val="21"/>
          <w:highlight w:val="none"/>
        </w:rPr>
      </w:pPr>
      <w:bookmarkStart w:id="152" w:name="_Toc389065152"/>
      <w:bookmarkStart w:id="153" w:name="_Toc32212"/>
      <w:r>
        <w:rPr>
          <w:rFonts w:ascii="宋体" w:hAnsi="宋体"/>
          <w:b/>
          <w:bCs/>
          <w:color w:val="000000"/>
          <w:szCs w:val="21"/>
          <w:highlight w:val="none"/>
        </w:rPr>
        <w:t>1.7 语言文字</w:t>
      </w:r>
      <w:bookmarkEnd w:id="152"/>
      <w:bookmarkEnd w:id="153"/>
    </w:p>
    <w:p w14:paraId="4F4867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除专用术语外，与招标投标有关的语言均使用中文。必要时专用术语应附有中文注释。</w:t>
      </w:r>
    </w:p>
    <w:p w14:paraId="285E84E8">
      <w:pPr>
        <w:keepNext/>
        <w:keepLines/>
        <w:spacing w:line="360" w:lineRule="auto"/>
        <w:outlineLvl w:val="3"/>
        <w:rPr>
          <w:rFonts w:ascii="宋体" w:hAnsi="宋体"/>
          <w:b/>
          <w:bCs/>
          <w:color w:val="000000"/>
          <w:szCs w:val="21"/>
          <w:highlight w:val="none"/>
        </w:rPr>
      </w:pPr>
      <w:bookmarkStart w:id="154" w:name="_Toc389065153"/>
      <w:bookmarkStart w:id="155" w:name="_Toc17517"/>
      <w:r>
        <w:rPr>
          <w:rFonts w:ascii="宋体" w:hAnsi="宋体"/>
          <w:b/>
          <w:bCs/>
          <w:color w:val="000000"/>
          <w:szCs w:val="21"/>
          <w:highlight w:val="none"/>
        </w:rPr>
        <w:t>1.8 计量单位</w:t>
      </w:r>
      <w:bookmarkEnd w:id="154"/>
      <w:bookmarkEnd w:id="155"/>
    </w:p>
    <w:p w14:paraId="6967EA2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所有计量均采用中华人民共和国法定计量单位。</w:t>
      </w:r>
    </w:p>
    <w:p w14:paraId="61FE65FF">
      <w:pPr>
        <w:keepNext/>
        <w:keepLines/>
        <w:spacing w:line="360" w:lineRule="auto"/>
        <w:outlineLvl w:val="3"/>
        <w:rPr>
          <w:rFonts w:ascii="宋体" w:hAnsi="宋体"/>
          <w:b/>
          <w:bCs/>
          <w:color w:val="000000"/>
          <w:szCs w:val="21"/>
          <w:highlight w:val="none"/>
        </w:rPr>
      </w:pPr>
      <w:bookmarkStart w:id="156" w:name="_Toc389065154"/>
      <w:bookmarkStart w:id="157" w:name="_Toc14947"/>
      <w:r>
        <w:rPr>
          <w:rFonts w:ascii="宋体" w:hAnsi="宋体"/>
          <w:b/>
          <w:bCs/>
          <w:color w:val="000000"/>
          <w:szCs w:val="21"/>
          <w:highlight w:val="none"/>
        </w:rPr>
        <w:t>1.9 踏勘现场</w:t>
      </w:r>
      <w:bookmarkEnd w:id="156"/>
      <w:bookmarkEnd w:id="157"/>
    </w:p>
    <w:p w14:paraId="6331120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15326CCC">
      <w:pPr>
        <w:keepNext/>
        <w:keepLines/>
        <w:spacing w:line="360" w:lineRule="auto"/>
        <w:outlineLvl w:val="3"/>
        <w:rPr>
          <w:rFonts w:ascii="宋体" w:hAnsi="宋体"/>
          <w:b/>
          <w:bCs/>
          <w:color w:val="000000"/>
          <w:szCs w:val="21"/>
          <w:highlight w:val="none"/>
        </w:rPr>
      </w:pPr>
      <w:bookmarkStart w:id="158" w:name="_Toc23535"/>
      <w:bookmarkStart w:id="159" w:name="_Toc389065155"/>
      <w:r>
        <w:rPr>
          <w:rFonts w:ascii="宋体" w:hAnsi="宋体"/>
          <w:b/>
          <w:bCs/>
          <w:color w:val="000000"/>
          <w:szCs w:val="21"/>
          <w:highlight w:val="none"/>
        </w:rPr>
        <w:t>1.10 投标预备会</w:t>
      </w:r>
      <w:bookmarkEnd w:id="158"/>
      <w:bookmarkEnd w:id="159"/>
    </w:p>
    <w:p w14:paraId="3E10E5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4BAD9897">
      <w:pPr>
        <w:keepNext/>
        <w:keepLines/>
        <w:spacing w:line="360" w:lineRule="auto"/>
        <w:outlineLvl w:val="3"/>
        <w:rPr>
          <w:rFonts w:ascii="宋体" w:hAnsi="宋体"/>
          <w:b/>
          <w:bCs/>
          <w:color w:val="000000"/>
          <w:szCs w:val="21"/>
          <w:highlight w:val="none"/>
        </w:rPr>
      </w:pPr>
      <w:bookmarkStart w:id="160" w:name="_Toc2799"/>
      <w:bookmarkStart w:id="161" w:name="_Toc389065156"/>
      <w:r>
        <w:rPr>
          <w:rFonts w:ascii="宋体" w:hAnsi="宋体"/>
          <w:b/>
          <w:bCs/>
          <w:color w:val="000000"/>
          <w:szCs w:val="21"/>
          <w:highlight w:val="none"/>
        </w:rPr>
        <w:t>1.11 分包</w:t>
      </w:r>
      <w:bookmarkEnd w:id="160"/>
      <w:bookmarkEnd w:id="161"/>
    </w:p>
    <w:p w14:paraId="6346FD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48E9E30">
      <w:pPr>
        <w:keepNext/>
        <w:keepLines/>
        <w:spacing w:line="360" w:lineRule="auto"/>
        <w:outlineLvl w:val="3"/>
        <w:rPr>
          <w:rFonts w:ascii="宋体" w:hAnsi="宋体"/>
          <w:b/>
          <w:bCs/>
          <w:color w:val="000000"/>
          <w:szCs w:val="21"/>
          <w:highlight w:val="none"/>
        </w:rPr>
      </w:pPr>
      <w:bookmarkStart w:id="162" w:name="_Toc389065157"/>
      <w:bookmarkStart w:id="163" w:name="_Toc10549"/>
      <w:r>
        <w:rPr>
          <w:rFonts w:ascii="宋体" w:hAnsi="宋体"/>
          <w:b/>
          <w:bCs/>
          <w:color w:val="000000"/>
          <w:szCs w:val="21"/>
          <w:highlight w:val="none"/>
        </w:rPr>
        <w:t>1.12 偏离</w:t>
      </w:r>
      <w:bookmarkEnd w:id="162"/>
      <w:bookmarkEnd w:id="163"/>
    </w:p>
    <w:p w14:paraId="50ACDD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BE3C073">
      <w:pPr>
        <w:keepNext/>
        <w:keepLines/>
        <w:spacing w:before="240" w:beforeLines="100" w:line="360" w:lineRule="auto"/>
        <w:outlineLvl w:val="2"/>
        <w:rPr>
          <w:rFonts w:ascii="黑体" w:hAnsi="黑体" w:eastAsia="黑体"/>
          <w:b/>
          <w:bCs/>
          <w:color w:val="000000"/>
          <w:sz w:val="24"/>
          <w:szCs w:val="21"/>
          <w:highlight w:val="none"/>
        </w:rPr>
      </w:pPr>
      <w:bookmarkStart w:id="164" w:name="_Toc23044"/>
      <w:bookmarkStart w:id="165" w:name="_Toc389065158"/>
      <w:r>
        <w:rPr>
          <w:rFonts w:ascii="黑体" w:hAnsi="黑体" w:eastAsia="黑体"/>
          <w:b/>
          <w:bCs/>
          <w:color w:val="000000"/>
          <w:sz w:val="24"/>
          <w:szCs w:val="21"/>
          <w:highlight w:val="none"/>
        </w:rPr>
        <w:t>2</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招标文件</w:t>
      </w:r>
      <w:bookmarkEnd w:id="164"/>
      <w:bookmarkEnd w:id="165"/>
    </w:p>
    <w:p w14:paraId="4F9B965D">
      <w:pPr>
        <w:keepNext/>
        <w:keepLines/>
        <w:spacing w:line="360" w:lineRule="auto"/>
        <w:outlineLvl w:val="3"/>
        <w:rPr>
          <w:rFonts w:ascii="宋体" w:hAnsi="宋体"/>
          <w:b/>
          <w:bCs/>
          <w:color w:val="000000"/>
          <w:szCs w:val="21"/>
          <w:highlight w:val="none"/>
        </w:rPr>
      </w:pPr>
      <w:bookmarkStart w:id="166" w:name="_Toc389065159"/>
      <w:bookmarkStart w:id="167" w:name="_Toc15456"/>
      <w:r>
        <w:rPr>
          <w:rFonts w:ascii="宋体" w:hAnsi="宋体"/>
          <w:b/>
          <w:bCs/>
          <w:color w:val="000000"/>
          <w:szCs w:val="21"/>
          <w:highlight w:val="none"/>
        </w:rPr>
        <w:t>2.1 招标文件的组成</w:t>
      </w:r>
      <w:bookmarkEnd w:id="166"/>
      <w:bookmarkEnd w:id="167"/>
    </w:p>
    <w:p w14:paraId="5B80747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2.1.1本招标文件包括：</w:t>
      </w:r>
    </w:p>
    <w:p w14:paraId="32369AE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（1）招标公告；</w:t>
      </w:r>
    </w:p>
    <w:p w14:paraId="2D94D79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（2）投标人须知；</w:t>
      </w:r>
    </w:p>
    <w:p w14:paraId="1E90EB4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（3）评标办法</w:t>
      </w:r>
      <w:r>
        <w:rPr>
          <w:rFonts w:hint="eastAsia" w:ascii="宋体" w:hAnsi="宋体"/>
          <w:color w:val="000000"/>
          <w:kern w:val="0"/>
          <w:szCs w:val="21"/>
          <w:highlight w:val="none"/>
        </w:rPr>
        <w:t>及标准</w:t>
      </w:r>
      <w:r>
        <w:rPr>
          <w:rFonts w:ascii="宋体" w:hAnsi="宋体"/>
          <w:color w:val="000000"/>
          <w:kern w:val="0"/>
          <w:szCs w:val="21"/>
          <w:highlight w:val="none"/>
        </w:rPr>
        <w:t>；</w:t>
      </w:r>
    </w:p>
    <w:p w14:paraId="734A1BB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（4）合同条款及格式；</w:t>
      </w:r>
    </w:p>
    <w:p w14:paraId="1D0DA9B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w:t>
      </w:r>
    </w:p>
    <w:p w14:paraId="08458EE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6</w:t>
      </w:r>
      <w:r>
        <w:rPr>
          <w:rFonts w:ascii="宋体" w:hAnsi="宋体"/>
          <w:color w:val="000000"/>
          <w:kern w:val="0"/>
          <w:szCs w:val="21"/>
          <w:highlight w:val="none"/>
        </w:rPr>
        <w:t>）用户需求书；</w:t>
      </w:r>
    </w:p>
    <w:p w14:paraId="2C7E5BE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7</w:t>
      </w:r>
      <w:r>
        <w:rPr>
          <w:rFonts w:ascii="宋体" w:hAnsi="宋体"/>
          <w:color w:val="000000"/>
          <w:kern w:val="0"/>
          <w:szCs w:val="21"/>
          <w:highlight w:val="none"/>
        </w:rPr>
        <w:t>）投标文件格式；</w:t>
      </w:r>
    </w:p>
    <w:p w14:paraId="29B0A96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8</w:t>
      </w:r>
      <w:r>
        <w:rPr>
          <w:rFonts w:ascii="宋体" w:hAnsi="宋体"/>
          <w:color w:val="000000"/>
          <w:kern w:val="0"/>
          <w:szCs w:val="21"/>
          <w:highlight w:val="none"/>
        </w:rPr>
        <w:t>）“投标人须知前附表”规定的其他材料。</w:t>
      </w:r>
      <w:r>
        <w:rPr>
          <w:rFonts w:hint="eastAsia" w:ascii="宋体" w:hAnsi="宋体"/>
          <w:color w:val="000000"/>
          <w:kern w:val="0"/>
          <w:szCs w:val="21"/>
          <w:highlight w:val="none"/>
        </w:rPr>
        <w:t>根据本章第</w:t>
      </w:r>
      <w:r>
        <w:rPr>
          <w:rFonts w:ascii="宋体" w:hAnsi="宋体"/>
          <w:color w:val="000000"/>
          <w:kern w:val="0"/>
          <w:szCs w:val="21"/>
          <w:highlight w:val="none"/>
        </w:rPr>
        <w:t xml:space="preserve">1.10 </w:t>
      </w:r>
      <w:r>
        <w:rPr>
          <w:rFonts w:hint="eastAsia" w:ascii="宋体" w:hAnsi="宋体"/>
          <w:color w:val="000000"/>
          <w:kern w:val="0"/>
          <w:szCs w:val="21"/>
          <w:highlight w:val="none"/>
        </w:rPr>
        <w:t>款、第</w:t>
      </w:r>
      <w:r>
        <w:rPr>
          <w:rFonts w:ascii="宋体" w:hAnsi="宋体"/>
          <w:color w:val="000000"/>
          <w:kern w:val="0"/>
          <w:szCs w:val="21"/>
          <w:highlight w:val="none"/>
        </w:rPr>
        <w:t xml:space="preserve">2.2 </w:t>
      </w:r>
      <w:r>
        <w:rPr>
          <w:rFonts w:hint="eastAsia" w:ascii="宋体" w:hAnsi="宋体"/>
          <w:color w:val="000000"/>
          <w:kern w:val="0"/>
          <w:szCs w:val="21"/>
          <w:highlight w:val="none"/>
        </w:rPr>
        <w:t>款和第</w:t>
      </w:r>
      <w:r>
        <w:rPr>
          <w:rFonts w:ascii="宋体" w:hAnsi="宋体"/>
          <w:color w:val="000000"/>
          <w:kern w:val="0"/>
          <w:szCs w:val="21"/>
          <w:highlight w:val="none"/>
        </w:rPr>
        <w:t xml:space="preserve">2.3 </w:t>
      </w:r>
      <w:r>
        <w:rPr>
          <w:rFonts w:hint="eastAsia" w:ascii="宋体" w:hAnsi="宋体"/>
          <w:color w:val="000000"/>
          <w:kern w:val="0"/>
          <w:szCs w:val="21"/>
          <w:highlight w:val="none"/>
        </w:rPr>
        <w:t>款对招标文件所作的澄清、修改，构成招标文件的组成部分。</w:t>
      </w:r>
    </w:p>
    <w:p w14:paraId="6E9F1D4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2.1.2</w:t>
      </w:r>
      <w:r>
        <w:rPr>
          <w:rFonts w:ascii="宋体" w:hAnsi="宋体"/>
          <w:color w:val="000000"/>
          <w:kern w:val="0"/>
          <w:szCs w:val="21"/>
          <w:highlight w:val="none"/>
        </w:rPr>
        <w:t>根据本章第2.2款和第2.3款对招标文件所作的澄清、修改，构成招标文件的组成部分。当招标文件及其澄清、修改或补充文件对</w:t>
      </w:r>
      <w:r>
        <w:rPr>
          <w:rFonts w:hint="eastAsia" w:ascii="宋体" w:hAnsi="宋体"/>
          <w:color w:val="000000"/>
          <w:kern w:val="0"/>
          <w:szCs w:val="21"/>
          <w:highlight w:val="none"/>
        </w:rPr>
        <w:t>于</w:t>
      </w:r>
      <w:r>
        <w:rPr>
          <w:rFonts w:ascii="宋体" w:hAnsi="宋体"/>
          <w:color w:val="000000"/>
          <w:kern w:val="0"/>
          <w:szCs w:val="21"/>
          <w:highlight w:val="none"/>
        </w:rPr>
        <w:t>同一内容表述不一致时，以最后发出的书面文件为准。</w:t>
      </w:r>
    </w:p>
    <w:p w14:paraId="6E3713E5">
      <w:pPr>
        <w:keepNext/>
        <w:keepLines/>
        <w:spacing w:line="360" w:lineRule="auto"/>
        <w:outlineLvl w:val="3"/>
        <w:rPr>
          <w:rFonts w:ascii="宋体" w:hAnsi="宋体"/>
          <w:b/>
          <w:bCs/>
          <w:color w:val="000000"/>
          <w:szCs w:val="21"/>
          <w:highlight w:val="none"/>
        </w:rPr>
      </w:pPr>
      <w:bookmarkStart w:id="168" w:name="_Toc389065160"/>
      <w:bookmarkStart w:id="169" w:name="_Toc12257"/>
      <w:r>
        <w:rPr>
          <w:rFonts w:ascii="宋体" w:hAnsi="宋体"/>
          <w:b/>
          <w:bCs/>
          <w:color w:val="000000"/>
          <w:szCs w:val="21"/>
          <w:highlight w:val="none"/>
        </w:rPr>
        <w:t>2.2 招标文件的澄清</w:t>
      </w:r>
      <w:bookmarkEnd w:id="168"/>
      <w:bookmarkEnd w:id="169"/>
    </w:p>
    <w:p w14:paraId="5000658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2.2.1投标人应仔细阅读和检查招标文件的全部内容。如发现缺页或附件不全，应及时向招标人提出，以便补齐。任何要求对招标文件进行澄清的投标人，应在投标须知前附表所规定的时间之前，以书面形式通知招标代理机构，同时以发电子邮件的形式提供电子版本文件。</w:t>
      </w:r>
      <w:r>
        <w:rPr>
          <w:rFonts w:hint="eastAsia" w:ascii="宋体" w:hAnsi="宋体"/>
          <w:color w:val="000000"/>
          <w:kern w:val="0"/>
          <w:szCs w:val="21"/>
          <w:highlight w:val="none"/>
        </w:rPr>
        <w:t>否则</w:t>
      </w:r>
      <w:r>
        <w:rPr>
          <w:rFonts w:ascii="宋体" w:hAnsi="宋体"/>
          <w:color w:val="000000"/>
          <w:kern w:val="0"/>
          <w:szCs w:val="21"/>
          <w:highlight w:val="none"/>
        </w:rPr>
        <w:t>，招标人有权不予答复，或答复后投标截止时间由招标人确定是否顺延</w:t>
      </w:r>
      <w:r>
        <w:rPr>
          <w:rFonts w:hint="eastAsia" w:ascii="宋体" w:hAnsi="宋体"/>
          <w:color w:val="000000"/>
          <w:kern w:val="0"/>
          <w:szCs w:val="21"/>
          <w:highlight w:val="none"/>
        </w:rPr>
        <w:t>。</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将根据投标人的</w:t>
      </w:r>
      <w:r>
        <w:rPr>
          <w:rFonts w:hint="eastAsia" w:ascii="宋体" w:hAnsi="宋体"/>
          <w:color w:val="000000"/>
          <w:kern w:val="0"/>
          <w:szCs w:val="21"/>
          <w:highlight w:val="none"/>
        </w:rPr>
        <w:t>书面</w:t>
      </w:r>
      <w:r>
        <w:rPr>
          <w:rFonts w:ascii="宋体" w:hAnsi="宋体"/>
          <w:color w:val="000000"/>
          <w:kern w:val="0"/>
          <w:szCs w:val="21"/>
          <w:highlight w:val="none"/>
        </w:rPr>
        <w:t>澄清要求</w:t>
      </w:r>
      <w:r>
        <w:rPr>
          <w:rFonts w:hint="eastAsia" w:ascii="宋体" w:hAnsi="宋体"/>
          <w:color w:val="000000"/>
          <w:kern w:val="0"/>
          <w:szCs w:val="21"/>
          <w:highlight w:val="none"/>
        </w:rPr>
        <w:t>进行澄清答复，</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只答复与招标文件内容有关的问题，并有权对任何与招标文件无关的问题不作回答</w:t>
      </w:r>
      <w:r>
        <w:rPr>
          <w:rFonts w:hint="eastAsia" w:ascii="宋体" w:hAnsi="宋体"/>
          <w:color w:val="000000"/>
          <w:kern w:val="0"/>
          <w:szCs w:val="21"/>
          <w:highlight w:val="none"/>
        </w:rPr>
        <w:t>。</w:t>
      </w:r>
    </w:p>
    <w:p w14:paraId="392E8B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2.2.2招标</w:t>
      </w:r>
      <w:r>
        <w:rPr>
          <w:rFonts w:hint="eastAsia" w:ascii="宋体" w:hAnsi="宋体"/>
          <w:color w:val="000000"/>
          <w:kern w:val="0"/>
          <w:szCs w:val="21"/>
          <w:highlight w:val="none"/>
        </w:rPr>
        <w:t>人</w:t>
      </w:r>
      <w:r>
        <w:rPr>
          <w:rFonts w:ascii="宋体" w:hAnsi="宋体"/>
          <w:color w:val="000000"/>
          <w:kern w:val="0"/>
          <w:szCs w:val="21"/>
          <w:highlight w:val="none"/>
        </w:rPr>
        <w:t>将澄清的答复内容（答复中包括问题但不包括问题的来源）进行整理，</w:t>
      </w:r>
      <w:r>
        <w:rPr>
          <w:rFonts w:hint="eastAsia" w:ascii="宋体" w:hAnsi="宋体"/>
          <w:color w:val="000000"/>
          <w:kern w:val="0"/>
          <w:szCs w:val="21"/>
          <w:highlight w:val="none"/>
        </w:rPr>
        <w:t>并</w:t>
      </w:r>
      <w:r>
        <w:rPr>
          <w:rFonts w:ascii="宋体" w:hAnsi="宋体"/>
          <w:color w:val="000000"/>
          <w:kern w:val="0"/>
          <w:szCs w:val="21"/>
          <w:highlight w:val="none"/>
        </w:rPr>
        <w:t>以澄清文件的形式在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发布之日起，视为投标人已收到该澄清</w:t>
      </w:r>
      <w:r>
        <w:rPr>
          <w:rFonts w:hint="eastAsia" w:ascii="宋体" w:hAnsi="宋体"/>
          <w:color w:val="000000"/>
          <w:kern w:val="0"/>
          <w:szCs w:val="21"/>
          <w:highlight w:val="none"/>
          <w:lang w:val="en-US" w:eastAsia="zh-CN"/>
        </w:rPr>
        <w:t>文件</w:t>
      </w:r>
      <w:r>
        <w:rPr>
          <w:rFonts w:ascii="宋体" w:hAnsi="宋体"/>
          <w:color w:val="000000"/>
          <w:kern w:val="0"/>
          <w:szCs w:val="21"/>
          <w:highlight w:val="none"/>
        </w:rPr>
        <w:t>；投标人未及时关注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上发布的澄清文件造成的损失，由投标人自行负责。该答复的内容为招标文件的组成部分</w:t>
      </w:r>
      <w:r>
        <w:rPr>
          <w:rFonts w:hint="eastAsia" w:ascii="宋体" w:hAnsi="宋体"/>
          <w:color w:val="000000"/>
          <w:kern w:val="0"/>
          <w:szCs w:val="21"/>
          <w:highlight w:val="none"/>
        </w:rPr>
        <w:t>。</w:t>
      </w:r>
    </w:p>
    <w:p w14:paraId="4E7827C7">
      <w:pPr>
        <w:keepNext/>
        <w:keepLines/>
        <w:spacing w:line="360" w:lineRule="auto"/>
        <w:outlineLvl w:val="3"/>
        <w:rPr>
          <w:rFonts w:ascii="宋体" w:hAnsi="宋体"/>
          <w:b/>
          <w:bCs/>
          <w:color w:val="000000"/>
          <w:szCs w:val="21"/>
          <w:highlight w:val="none"/>
        </w:rPr>
      </w:pPr>
      <w:bookmarkStart w:id="170" w:name="_Toc389065161"/>
      <w:bookmarkStart w:id="171" w:name="_Toc23252"/>
      <w:r>
        <w:rPr>
          <w:rFonts w:ascii="宋体" w:hAnsi="宋体"/>
          <w:b/>
          <w:bCs/>
          <w:color w:val="000000"/>
          <w:szCs w:val="21"/>
          <w:highlight w:val="none"/>
        </w:rPr>
        <w:t>2.3 招标文件的修改</w:t>
      </w:r>
      <w:bookmarkEnd w:id="170"/>
      <w:bookmarkEnd w:id="171"/>
    </w:p>
    <w:p w14:paraId="3DC394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2.3.1在投标截止时间前，无论出于何种原因，招标</w:t>
      </w:r>
      <w:r>
        <w:rPr>
          <w:rFonts w:hint="eastAsia" w:ascii="宋体" w:hAnsi="宋体"/>
          <w:color w:val="000000"/>
          <w:kern w:val="0"/>
          <w:szCs w:val="21"/>
          <w:highlight w:val="none"/>
        </w:rPr>
        <w:t>人</w:t>
      </w:r>
      <w:r>
        <w:rPr>
          <w:rFonts w:ascii="宋体" w:hAnsi="宋体"/>
          <w:color w:val="000000"/>
          <w:kern w:val="0"/>
          <w:szCs w:val="21"/>
          <w:highlight w:val="none"/>
        </w:rPr>
        <w:t>可以主动或应投标人澄清要求对招标文件进行必要的补遗或修改。</w:t>
      </w:r>
    </w:p>
    <w:p w14:paraId="2EDB975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2.3.2招标文件的补遗或修改通知是招标文件的组成部分，将以补充招标文件的形式在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发布之日起，视为投标人已收到该补充招标文件</w:t>
      </w:r>
      <w:r>
        <w:rPr>
          <w:rFonts w:hint="eastAsia" w:ascii="宋体" w:hAnsi="宋体"/>
          <w:color w:val="000000"/>
          <w:kern w:val="0"/>
          <w:szCs w:val="21"/>
          <w:highlight w:val="none"/>
        </w:rPr>
        <w:t>，并</w:t>
      </w:r>
      <w:r>
        <w:rPr>
          <w:rFonts w:ascii="宋体" w:hAnsi="宋体"/>
          <w:color w:val="000000"/>
          <w:kern w:val="0"/>
          <w:szCs w:val="21"/>
          <w:highlight w:val="none"/>
        </w:rPr>
        <w:t>对投标人具有约束力；投标人未及时关注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上发布的补充招标文件造成的损失，由投标人自行负责。</w:t>
      </w:r>
    </w:p>
    <w:p w14:paraId="7D3AD35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3</w:t>
      </w:r>
      <w:r>
        <w:rPr>
          <w:rFonts w:ascii="宋体" w:hAnsi="宋体"/>
          <w:color w:val="000000"/>
          <w:kern w:val="0"/>
          <w:szCs w:val="21"/>
          <w:highlight w:val="none"/>
        </w:rPr>
        <w:t>当后发的补遗或修改通知与原招标文件或此前发出的补遗或修改通知之间存有不一致时，应以后发的补遗或修改通知为准。</w:t>
      </w:r>
    </w:p>
    <w:p w14:paraId="79AD58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4</w:t>
      </w:r>
      <w:r>
        <w:rPr>
          <w:rFonts w:ascii="宋体" w:hAnsi="宋体"/>
          <w:color w:val="000000"/>
          <w:kern w:val="0"/>
          <w:szCs w:val="21"/>
          <w:highlight w:val="none"/>
        </w:rPr>
        <w:t>为使投标人准备投标时有充分时间对招标文件的补遗或修改部分进行研究，招标</w:t>
      </w:r>
      <w:r>
        <w:rPr>
          <w:rFonts w:hint="eastAsia" w:ascii="宋体" w:hAnsi="宋体"/>
          <w:color w:val="000000"/>
          <w:kern w:val="0"/>
          <w:szCs w:val="21"/>
          <w:highlight w:val="none"/>
        </w:rPr>
        <w:t>人</w:t>
      </w:r>
      <w:r>
        <w:rPr>
          <w:rFonts w:ascii="宋体" w:hAnsi="宋体"/>
          <w:color w:val="000000"/>
          <w:kern w:val="0"/>
          <w:szCs w:val="21"/>
          <w:highlight w:val="none"/>
        </w:rPr>
        <w:t>可适当推迟投标截止时间。</w:t>
      </w:r>
      <w:r>
        <w:rPr>
          <w:rFonts w:hint="eastAsia" w:ascii="宋体" w:hAnsi="宋体"/>
          <w:color w:val="000000"/>
          <w:kern w:val="0"/>
          <w:szCs w:val="21"/>
          <w:highlight w:val="none"/>
        </w:rPr>
        <w:t>招标澄清或修改的内容影响投标文件编制的，招标人应当在投标截止时间1</w:t>
      </w:r>
      <w:r>
        <w:rPr>
          <w:rFonts w:ascii="宋体" w:hAnsi="宋体"/>
          <w:color w:val="000000"/>
          <w:kern w:val="0"/>
          <w:szCs w:val="21"/>
          <w:highlight w:val="none"/>
        </w:rPr>
        <w:t>5</w:t>
      </w:r>
      <w:r>
        <w:rPr>
          <w:rFonts w:hint="eastAsia" w:ascii="宋体" w:hAnsi="宋体"/>
          <w:color w:val="000000"/>
          <w:kern w:val="0"/>
          <w:szCs w:val="21"/>
          <w:highlight w:val="none"/>
        </w:rPr>
        <w:t>日前以</w:t>
      </w:r>
      <w:r>
        <w:rPr>
          <w:rFonts w:ascii="宋体" w:hAnsi="宋体"/>
          <w:color w:val="000000"/>
          <w:kern w:val="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上发布的形式通知所有</w:t>
      </w:r>
      <w:r>
        <w:rPr>
          <w:rFonts w:hint="eastAsia" w:ascii="宋体" w:hAnsi="宋体"/>
          <w:color w:val="000000"/>
          <w:kern w:val="0"/>
          <w:szCs w:val="21"/>
          <w:highlight w:val="none"/>
        </w:rPr>
        <w:t>潜在</w:t>
      </w:r>
      <w:r>
        <w:rPr>
          <w:rFonts w:ascii="宋体" w:hAnsi="宋体"/>
          <w:color w:val="000000"/>
          <w:kern w:val="0"/>
          <w:szCs w:val="21"/>
          <w:highlight w:val="none"/>
        </w:rPr>
        <w:t xml:space="preserve">投标人。 </w:t>
      </w:r>
    </w:p>
    <w:p w14:paraId="29976753">
      <w:pPr>
        <w:keepNext/>
        <w:keepLines/>
        <w:spacing w:before="240" w:beforeLines="100" w:line="360" w:lineRule="auto"/>
        <w:outlineLvl w:val="2"/>
        <w:rPr>
          <w:rFonts w:ascii="黑体" w:hAnsi="黑体" w:eastAsia="黑体"/>
          <w:b/>
          <w:bCs/>
          <w:color w:val="000000"/>
          <w:sz w:val="24"/>
          <w:szCs w:val="21"/>
          <w:highlight w:val="none"/>
        </w:rPr>
      </w:pPr>
      <w:bookmarkStart w:id="172" w:name="_Toc389065162"/>
      <w:bookmarkStart w:id="173" w:name="_Toc2571"/>
      <w:r>
        <w:rPr>
          <w:rFonts w:ascii="黑体" w:hAnsi="黑体" w:eastAsia="黑体"/>
          <w:b/>
          <w:bCs/>
          <w:color w:val="000000"/>
          <w:sz w:val="24"/>
          <w:szCs w:val="21"/>
          <w:highlight w:val="none"/>
        </w:rPr>
        <w:t>3</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投标文件</w:t>
      </w:r>
      <w:bookmarkEnd w:id="172"/>
      <w:bookmarkEnd w:id="173"/>
    </w:p>
    <w:p w14:paraId="59C21A55">
      <w:pPr>
        <w:keepNext/>
        <w:keepLines/>
        <w:spacing w:line="360" w:lineRule="auto"/>
        <w:outlineLvl w:val="3"/>
        <w:rPr>
          <w:rFonts w:ascii="宋体" w:hAnsi="宋体"/>
          <w:b/>
          <w:bCs/>
          <w:color w:val="000000"/>
          <w:szCs w:val="21"/>
          <w:highlight w:val="none"/>
        </w:rPr>
      </w:pPr>
      <w:bookmarkStart w:id="174" w:name="_Toc389065163"/>
      <w:bookmarkStart w:id="175" w:name="_Toc27366"/>
      <w:r>
        <w:rPr>
          <w:rFonts w:ascii="宋体" w:hAnsi="宋体"/>
          <w:b/>
          <w:bCs/>
          <w:color w:val="000000"/>
          <w:szCs w:val="21"/>
          <w:highlight w:val="none"/>
        </w:rPr>
        <w:t>3.1 投标文件的组成</w:t>
      </w:r>
      <w:bookmarkEnd w:id="174"/>
      <w:bookmarkEnd w:id="175"/>
    </w:p>
    <w:p w14:paraId="5F972A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3.1.1 投标文件应包括下列内容：</w:t>
      </w:r>
    </w:p>
    <w:p w14:paraId="138C1C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（1）资格审查</w:t>
      </w:r>
      <w:r>
        <w:rPr>
          <w:rFonts w:hint="eastAsia" w:ascii="宋体" w:hAnsi="宋体"/>
          <w:color w:val="000000"/>
          <w:kern w:val="0"/>
          <w:szCs w:val="21"/>
          <w:highlight w:val="none"/>
        </w:rPr>
        <w:t>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668499C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lang w:eastAsia="zh-CN"/>
        </w:rPr>
        <w:t>商务文件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2E456B17">
      <w:pPr>
        <w:spacing w:line="360" w:lineRule="auto"/>
        <w:ind w:firstLine="420" w:firstLineChars="200"/>
        <w:rPr>
          <w:rFonts w:ascii="宋体" w:hAnsi="宋体"/>
          <w:color w:val="000000"/>
          <w:kern w:val="0"/>
          <w:szCs w:val="21"/>
          <w:highlight w:val="none"/>
        </w:rPr>
      </w:pPr>
      <w:r>
        <w:rPr>
          <w:rFonts w:hint="default" w:ascii="宋体" w:hAnsi="宋体" w:eastAsia="宋体"/>
          <w:color w:val="000000"/>
          <w:kern w:val="0"/>
          <w:szCs w:val="21"/>
          <w:highlight w:val="none"/>
          <w:lang w:eastAsia="zh-CN"/>
        </w:rPr>
        <w:t>（</w:t>
      </w:r>
      <w:r>
        <w:rPr>
          <w:rFonts w:hint="eastAsia" w:ascii="宋体" w:hAnsi="宋体"/>
          <w:color w:val="000000"/>
          <w:kern w:val="0"/>
          <w:szCs w:val="21"/>
          <w:highlight w:val="none"/>
          <w:lang w:val="en-US" w:eastAsia="zh-CN"/>
        </w:rPr>
        <w:t>3</w:t>
      </w:r>
      <w:r>
        <w:rPr>
          <w:rFonts w:hint="default" w:ascii="宋体" w:hAnsi="宋体" w:eastAsia="宋体"/>
          <w:color w:val="000000"/>
          <w:kern w:val="0"/>
          <w:szCs w:val="21"/>
          <w:highlight w:val="none"/>
          <w:lang w:eastAsia="zh-CN"/>
        </w:rPr>
        <w:t>）</w:t>
      </w:r>
      <w:r>
        <w:rPr>
          <w:rFonts w:hint="default" w:ascii="宋体" w:hAnsi="宋体" w:eastAsia="宋体"/>
          <w:color w:val="000000"/>
          <w:kern w:val="0"/>
          <w:szCs w:val="21"/>
          <w:highlight w:val="none"/>
          <w:lang w:val="en-US" w:eastAsia="zh-CN"/>
        </w:rPr>
        <w:t>技术文件：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28D509C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3.1.2招标文件“第</w:t>
      </w:r>
      <w:r>
        <w:rPr>
          <w:rFonts w:hint="eastAsia" w:ascii="宋体" w:hAnsi="宋体"/>
          <w:color w:val="000000"/>
          <w:kern w:val="0"/>
          <w:szCs w:val="21"/>
          <w:highlight w:val="none"/>
        </w:rPr>
        <w:t>六</w:t>
      </w:r>
      <w:r>
        <w:rPr>
          <w:rFonts w:ascii="宋体" w:hAnsi="宋体"/>
          <w:color w:val="000000"/>
          <w:kern w:val="0"/>
          <w:szCs w:val="21"/>
          <w:highlight w:val="none"/>
        </w:rPr>
        <w:t>章投标文件格式”有规定格式要求的，投标人应按规定的格式填写并按要求提交相关的证明材料。</w:t>
      </w:r>
    </w:p>
    <w:p w14:paraId="6486A2C6">
      <w:pPr>
        <w:keepNext/>
        <w:keepLines/>
        <w:spacing w:line="360" w:lineRule="auto"/>
        <w:outlineLvl w:val="3"/>
        <w:rPr>
          <w:rFonts w:ascii="宋体" w:hAnsi="宋体"/>
          <w:b/>
          <w:bCs/>
          <w:color w:val="000000"/>
          <w:szCs w:val="21"/>
          <w:highlight w:val="none"/>
        </w:rPr>
      </w:pPr>
      <w:bookmarkStart w:id="176" w:name="_Toc389065164"/>
      <w:bookmarkStart w:id="177" w:name="_Toc16578"/>
      <w:r>
        <w:rPr>
          <w:rFonts w:ascii="宋体" w:hAnsi="宋体"/>
          <w:b/>
          <w:bCs/>
          <w:color w:val="000000"/>
          <w:szCs w:val="21"/>
          <w:highlight w:val="none"/>
        </w:rPr>
        <w:t>3.2 投标报价</w:t>
      </w:r>
      <w:bookmarkEnd w:id="176"/>
      <w:bookmarkEnd w:id="177"/>
    </w:p>
    <w:p w14:paraId="42A8B69B">
      <w:pPr>
        <w:spacing w:line="360" w:lineRule="auto"/>
        <w:ind w:firstLine="420" w:firstLineChars="200"/>
        <w:rPr>
          <w:rFonts w:ascii="宋体" w:hAnsi="宋体"/>
          <w:color w:val="000000"/>
          <w:szCs w:val="21"/>
          <w:highlight w:val="none"/>
        </w:rPr>
      </w:pPr>
      <w:r>
        <w:rPr>
          <w:rFonts w:ascii="宋体" w:hAnsi="宋体"/>
          <w:color w:val="000000"/>
          <w:kern w:val="0"/>
          <w:szCs w:val="21"/>
          <w:highlight w:val="none"/>
        </w:rPr>
        <w:t>3.</w:t>
      </w:r>
      <w:r>
        <w:rPr>
          <w:rFonts w:hint="eastAsia" w:ascii="宋体" w:hAnsi="宋体"/>
          <w:color w:val="000000"/>
          <w:kern w:val="0"/>
          <w:szCs w:val="21"/>
          <w:highlight w:val="none"/>
        </w:rPr>
        <w:t>2.1</w:t>
      </w:r>
      <w:r>
        <w:rPr>
          <w:rFonts w:hint="eastAsia" w:ascii="宋体" w:hAnsi="宋体"/>
          <w:color w:val="000000"/>
          <w:szCs w:val="21"/>
          <w:highlight w:val="none"/>
        </w:rPr>
        <w:t>投标报价是指由投标人根据本项目招标要求进行自主报价，本项目投标报价内容和要求</w:t>
      </w:r>
      <w:r>
        <w:rPr>
          <w:rFonts w:hint="eastAsia" w:ascii="宋体" w:hAnsi="宋体"/>
          <w:color w:val="000000"/>
          <w:kern w:val="0"/>
          <w:szCs w:val="21"/>
          <w:highlight w:val="none"/>
        </w:rPr>
        <w:t>详见</w:t>
      </w:r>
      <w:r>
        <w:rPr>
          <w:rFonts w:ascii="宋体" w:hAnsi="宋体"/>
          <w:color w:val="000000"/>
          <w:kern w:val="0"/>
          <w:szCs w:val="21"/>
          <w:highlight w:val="none"/>
        </w:rPr>
        <w:t>投标人须知前附表</w:t>
      </w:r>
      <w:r>
        <w:rPr>
          <w:rFonts w:hint="eastAsia" w:ascii="宋体" w:hAnsi="宋体"/>
          <w:color w:val="000000"/>
          <w:szCs w:val="21"/>
          <w:highlight w:val="none"/>
        </w:rPr>
        <w:t>。</w:t>
      </w:r>
    </w:p>
    <w:p w14:paraId="66793D3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3.2.2</w:t>
      </w:r>
      <w:r>
        <w:rPr>
          <w:rFonts w:ascii="宋体" w:hAnsi="宋体"/>
          <w:color w:val="000000"/>
          <w:kern w:val="0"/>
          <w:szCs w:val="21"/>
          <w:highlight w:val="none"/>
        </w:rPr>
        <w:t xml:space="preserve"> </w:t>
      </w:r>
      <w:r>
        <w:rPr>
          <w:rFonts w:hint="eastAsia" w:ascii="宋体" w:hAnsi="宋体"/>
          <w:color w:val="000000"/>
          <w:kern w:val="0"/>
          <w:szCs w:val="21"/>
          <w:highlight w:val="none"/>
        </w:rPr>
        <w:t>投标人应按招标文件要求填写相应表格。</w:t>
      </w:r>
    </w:p>
    <w:p w14:paraId="17562C76">
      <w:pPr>
        <w:keepNext/>
        <w:keepLines/>
        <w:spacing w:line="360" w:lineRule="auto"/>
        <w:outlineLvl w:val="3"/>
        <w:rPr>
          <w:rFonts w:ascii="宋体" w:hAnsi="宋体"/>
          <w:b/>
          <w:bCs/>
          <w:color w:val="000000"/>
          <w:szCs w:val="21"/>
          <w:highlight w:val="none"/>
        </w:rPr>
      </w:pPr>
      <w:bookmarkStart w:id="178" w:name="_Toc389065165"/>
      <w:bookmarkStart w:id="179" w:name="_Toc18961"/>
      <w:r>
        <w:rPr>
          <w:rFonts w:ascii="宋体" w:hAnsi="宋体"/>
          <w:b/>
          <w:bCs/>
          <w:color w:val="000000"/>
          <w:szCs w:val="21"/>
          <w:highlight w:val="none"/>
        </w:rPr>
        <w:t>3.3 投标有效期</w:t>
      </w:r>
      <w:bookmarkEnd w:id="178"/>
      <w:bookmarkEnd w:id="179"/>
    </w:p>
    <w:p w14:paraId="76295F6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3.3.1在“投标人须知前附表”规定的投标有效期内，投标人不得要求撤销或修改其投标文件。</w:t>
      </w:r>
    </w:p>
    <w:p w14:paraId="59EEA8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3.3.2出现特殊情况需要延长投标有效期的，招标人以书面形式通知所有投标人延长投标有效期。投标人同意延长的，不得要求或被允许修改或撤销其投标文件；投标人拒绝延长的，其投标失效。</w:t>
      </w:r>
    </w:p>
    <w:p w14:paraId="451D2A7A">
      <w:pPr>
        <w:keepNext/>
        <w:keepLines/>
        <w:spacing w:line="360" w:lineRule="auto"/>
        <w:outlineLvl w:val="3"/>
        <w:rPr>
          <w:rFonts w:ascii="宋体" w:hAnsi="宋体"/>
          <w:b/>
          <w:bCs/>
          <w:color w:val="000000"/>
          <w:szCs w:val="21"/>
          <w:highlight w:val="none"/>
        </w:rPr>
      </w:pPr>
      <w:bookmarkStart w:id="180" w:name="_Toc28910"/>
      <w:bookmarkStart w:id="181" w:name="_Toc389065166"/>
      <w:r>
        <w:rPr>
          <w:rFonts w:ascii="宋体" w:hAnsi="宋体"/>
          <w:b/>
          <w:bCs/>
          <w:color w:val="000000"/>
          <w:szCs w:val="21"/>
          <w:highlight w:val="none"/>
        </w:rPr>
        <w:t>3.4 投标保证金</w:t>
      </w:r>
      <w:bookmarkEnd w:id="180"/>
      <w:bookmarkEnd w:id="181"/>
    </w:p>
    <w:p w14:paraId="1A2A1B0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p w14:paraId="3A4F3A4E">
      <w:pPr>
        <w:keepNext/>
        <w:keepLines/>
        <w:spacing w:line="360" w:lineRule="auto"/>
        <w:outlineLvl w:val="3"/>
        <w:rPr>
          <w:rFonts w:ascii="宋体" w:hAnsi="宋体"/>
          <w:b/>
          <w:bCs/>
          <w:color w:val="000000"/>
          <w:szCs w:val="21"/>
          <w:highlight w:val="none"/>
        </w:rPr>
      </w:pPr>
      <w:bookmarkStart w:id="182" w:name="_Toc389065167"/>
      <w:r>
        <w:rPr>
          <w:rFonts w:ascii="宋体" w:hAnsi="宋体"/>
          <w:b/>
          <w:bCs/>
          <w:color w:val="000000"/>
          <w:szCs w:val="21"/>
          <w:highlight w:val="none"/>
        </w:rPr>
        <w:t>3.5 备选投标方案</w:t>
      </w:r>
      <w:bookmarkEnd w:id="182"/>
    </w:p>
    <w:p w14:paraId="0FE59E3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另有规定外，投标人不得递交备选投标方案。</w:t>
      </w:r>
    </w:p>
    <w:p w14:paraId="745097B4">
      <w:pPr>
        <w:keepNext/>
        <w:keepLines/>
        <w:spacing w:line="360" w:lineRule="auto"/>
        <w:outlineLvl w:val="3"/>
        <w:rPr>
          <w:rFonts w:ascii="宋体" w:hAnsi="宋体"/>
          <w:b/>
          <w:bCs/>
          <w:color w:val="000000"/>
          <w:szCs w:val="21"/>
          <w:highlight w:val="none"/>
        </w:rPr>
      </w:pPr>
      <w:bookmarkStart w:id="183" w:name="_Toc22124"/>
      <w:bookmarkStart w:id="184" w:name="_Toc389065168"/>
      <w:r>
        <w:rPr>
          <w:rFonts w:ascii="宋体" w:hAnsi="宋体"/>
          <w:b/>
          <w:bCs/>
          <w:color w:val="000000"/>
          <w:szCs w:val="21"/>
          <w:highlight w:val="none"/>
        </w:rPr>
        <w:t>3.6 投标文件的编制</w:t>
      </w:r>
      <w:bookmarkEnd w:id="183"/>
      <w:bookmarkEnd w:id="184"/>
    </w:p>
    <w:p w14:paraId="46D6DB5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3.6.1投标文件应按第</w:t>
      </w:r>
      <w:r>
        <w:rPr>
          <w:rFonts w:hint="eastAsia" w:ascii="宋体" w:hAnsi="宋体"/>
          <w:color w:val="000000"/>
          <w:kern w:val="0"/>
          <w:szCs w:val="21"/>
          <w:highlight w:val="none"/>
        </w:rPr>
        <w:t>六</w:t>
      </w:r>
      <w:r>
        <w:rPr>
          <w:rFonts w:ascii="宋体" w:hAnsi="宋体"/>
          <w:color w:val="000000"/>
          <w:kern w:val="0"/>
          <w:szCs w:val="21"/>
          <w:highlight w:val="none"/>
        </w:rPr>
        <w:t>章“投标文件格式”进行编写，如有必要，可以增加附页，作为投标文件的组成部分。</w:t>
      </w:r>
    </w:p>
    <w:p w14:paraId="6566937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3.6.2投标文件</w:t>
      </w:r>
      <w:r>
        <w:rPr>
          <w:rFonts w:hint="eastAsia" w:ascii="宋体" w:hAnsi="宋体"/>
          <w:color w:val="000000"/>
          <w:kern w:val="0"/>
          <w:szCs w:val="21"/>
          <w:highlight w:val="none"/>
        </w:rPr>
        <w:t>必须</w:t>
      </w:r>
      <w:r>
        <w:rPr>
          <w:rFonts w:ascii="宋体" w:hAnsi="宋体"/>
          <w:color w:val="000000"/>
          <w:kern w:val="0"/>
          <w:szCs w:val="21"/>
          <w:highlight w:val="none"/>
        </w:rPr>
        <w:t>对招标文件有关</w:t>
      </w:r>
      <w:r>
        <w:rPr>
          <w:rFonts w:hint="eastAsia" w:ascii="宋体" w:hAnsi="宋体"/>
          <w:color w:val="000000"/>
          <w:kern w:val="0"/>
          <w:szCs w:val="21"/>
          <w:highlight w:val="none"/>
        </w:rPr>
        <w:t>服务期</w:t>
      </w:r>
      <w:r>
        <w:rPr>
          <w:rFonts w:ascii="宋体" w:hAnsi="宋体"/>
          <w:color w:val="000000"/>
          <w:kern w:val="0"/>
          <w:szCs w:val="21"/>
          <w:highlight w:val="none"/>
        </w:rPr>
        <w:t xml:space="preserve">、投标有效期、质量要求、用户需求书、招标范围等实质性内容作出响应。 </w:t>
      </w:r>
    </w:p>
    <w:p w14:paraId="6E407E8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3.6.3投标文件应用不褪色的材料书写或打印，</w:t>
      </w:r>
      <w:r>
        <w:rPr>
          <w:rFonts w:hint="eastAsia" w:ascii="宋体" w:hAnsi="宋体"/>
          <w:color w:val="000000"/>
          <w:kern w:val="0"/>
          <w:szCs w:val="21"/>
          <w:highlight w:val="none"/>
        </w:rPr>
        <w:t>投标文件副本也可使用正本的复印件。投标文件正本与副本均</w:t>
      </w:r>
      <w:r>
        <w:rPr>
          <w:rFonts w:ascii="宋体" w:hAnsi="宋体"/>
          <w:color w:val="000000"/>
          <w:kern w:val="0"/>
          <w:szCs w:val="21"/>
          <w:highlight w:val="none"/>
        </w:rPr>
        <w:t>由投标人的法定代表人或其委托代理人在规定的相关位置签字</w:t>
      </w:r>
      <w:r>
        <w:rPr>
          <w:rFonts w:hint="eastAsia" w:ascii="宋体" w:hAnsi="宋体"/>
          <w:color w:val="000000"/>
          <w:kern w:val="0"/>
          <w:szCs w:val="21"/>
          <w:highlight w:val="none"/>
        </w:rPr>
        <w:t>（或盖章）</w:t>
      </w:r>
      <w:r>
        <w:rPr>
          <w:rFonts w:ascii="宋体" w:hAnsi="宋体"/>
          <w:color w:val="000000"/>
          <w:kern w:val="0"/>
          <w:szCs w:val="21"/>
          <w:highlight w:val="none"/>
        </w:rPr>
        <w:t>并加盖投标人单位公章。</w:t>
      </w:r>
      <w:r>
        <w:rPr>
          <w:rFonts w:hint="eastAsia" w:ascii="宋体" w:hAnsi="宋体"/>
          <w:color w:val="000000"/>
          <w:kern w:val="0"/>
          <w:szCs w:val="21"/>
          <w:highlight w:val="none"/>
        </w:rPr>
        <w:t>由</w:t>
      </w:r>
      <w:r>
        <w:rPr>
          <w:rFonts w:ascii="宋体" w:hAnsi="宋体"/>
          <w:color w:val="000000"/>
          <w:kern w:val="0"/>
          <w:szCs w:val="21"/>
          <w:highlight w:val="none"/>
        </w:rPr>
        <w:t>委托代理人签字的，投标文件应附法定代表人签署的授权委托书。投标文件应尽量避免涂改、行间插字或删除。如果出现上述情况，改动之处应加盖</w:t>
      </w:r>
      <w:r>
        <w:rPr>
          <w:rFonts w:hint="eastAsia" w:ascii="宋体" w:hAnsi="宋体"/>
          <w:color w:val="000000"/>
          <w:kern w:val="0"/>
          <w:szCs w:val="21"/>
          <w:highlight w:val="none"/>
        </w:rPr>
        <w:t>投标人</w:t>
      </w:r>
      <w:r>
        <w:rPr>
          <w:rFonts w:ascii="宋体" w:hAnsi="宋体"/>
          <w:color w:val="000000"/>
          <w:kern w:val="0"/>
          <w:szCs w:val="21"/>
          <w:highlight w:val="none"/>
        </w:rPr>
        <w:t>单位</w:t>
      </w:r>
      <w:r>
        <w:rPr>
          <w:rFonts w:hint="eastAsia" w:ascii="宋体" w:hAnsi="宋体"/>
          <w:color w:val="000000"/>
          <w:kern w:val="0"/>
          <w:szCs w:val="21"/>
          <w:highlight w:val="none"/>
        </w:rPr>
        <w:t>公</w:t>
      </w:r>
      <w:r>
        <w:rPr>
          <w:rFonts w:ascii="宋体" w:hAnsi="宋体"/>
          <w:color w:val="000000"/>
          <w:kern w:val="0"/>
          <w:szCs w:val="21"/>
          <w:highlight w:val="none"/>
        </w:rPr>
        <w:t>章或由投标人的法定代表人或其</w:t>
      </w:r>
      <w:r>
        <w:rPr>
          <w:rFonts w:hint="eastAsia" w:ascii="宋体" w:hAnsi="宋体"/>
          <w:color w:val="000000"/>
          <w:kern w:val="0"/>
          <w:szCs w:val="21"/>
          <w:highlight w:val="none"/>
        </w:rPr>
        <w:t>委托</w:t>
      </w:r>
      <w:r>
        <w:rPr>
          <w:rFonts w:ascii="宋体" w:hAnsi="宋体"/>
          <w:color w:val="000000"/>
          <w:kern w:val="0"/>
          <w:szCs w:val="21"/>
          <w:highlight w:val="none"/>
        </w:rPr>
        <w:t>代理人签字确认。签字或盖章的具体要求见“投标人须知前附表”。</w:t>
      </w:r>
    </w:p>
    <w:p w14:paraId="611BC6A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3.6.4投标文件正本一份，副本份数见“投标人须知前附表”。正本和副本的封面上应清楚地标记“正本”或“副本”的字样。当副本和正本不一致时，以正本为准。</w:t>
      </w:r>
    </w:p>
    <w:p w14:paraId="6951A4C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3.6.5 投标文件</w:t>
      </w:r>
      <w:r>
        <w:rPr>
          <w:rFonts w:hint="eastAsia" w:ascii="宋体" w:hAnsi="宋体"/>
          <w:color w:val="000000"/>
          <w:kern w:val="0"/>
          <w:szCs w:val="21"/>
          <w:highlight w:val="none"/>
        </w:rPr>
        <w:t>应</w:t>
      </w:r>
      <w:r>
        <w:rPr>
          <w:rFonts w:ascii="宋体" w:hAnsi="宋体"/>
          <w:color w:val="000000"/>
          <w:kern w:val="0"/>
          <w:szCs w:val="21"/>
          <w:highlight w:val="none"/>
        </w:rPr>
        <w:t>编制目录，具体装订要求见“投标人须知前附表”规定。</w:t>
      </w:r>
    </w:p>
    <w:p w14:paraId="166B06BD">
      <w:pPr>
        <w:keepNext/>
        <w:keepLines/>
        <w:spacing w:before="240" w:beforeLines="100" w:line="360" w:lineRule="auto"/>
        <w:outlineLvl w:val="2"/>
        <w:rPr>
          <w:rFonts w:ascii="黑体" w:hAnsi="黑体" w:eastAsia="黑体"/>
          <w:b/>
          <w:bCs/>
          <w:color w:val="000000"/>
          <w:sz w:val="24"/>
          <w:szCs w:val="21"/>
          <w:highlight w:val="none"/>
        </w:rPr>
      </w:pPr>
      <w:bookmarkStart w:id="185" w:name="_Toc11889"/>
      <w:bookmarkStart w:id="186" w:name="_Toc389065169"/>
      <w:r>
        <w:rPr>
          <w:rFonts w:ascii="黑体" w:hAnsi="黑体" w:eastAsia="黑体"/>
          <w:b/>
          <w:bCs/>
          <w:color w:val="000000"/>
          <w:sz w:val="24"/>
          <w:szCs w:val="21"/>
          <w:highlight w:val="none"/>
        </w:rPr>
        <w:t>4</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w:t>
      </w:r>
      <w:bookmarkEnd w:id="185"/>
      <w:bookmarkEnd w:id="186"/>
    </w:p>
    <w:p w14:paraId="796DC599">
      <w:pPr>
        <w:keepNext/>
        <w:keepLines/>
        <w:spacing w:line="360" w:lineRule="auto"/>
        <w:outlineLvl w:val="3"/>
        <w:rPr>
          <w:rFonts w:ascii="宋体" w:hAnsi="宋体"/>
          <w:b/>
          <w:bCs/>
          <w:color w:val="000000"/>
          <w:szCs w:val="21"/>
          <w:highlight w:val="none"/>
        </w:rPr>
      </w:pPr>
      <w:bookmarkStart w:id="187" w:name="_Toc389065170"/>
      <w:bookmarkStart w:id="188" w:name="_Toc8690"/>
      <w:r>
        <w:rPr>
          <w:rFonts w:ascii="宋体" w:hAnsi="宋体"/>
          <w:b/>
          <w:bCs/>
          <w:color w:val="000000"/>
          <w:szCs w:val="21"/>
          <w:highlight w:val="none"/>
        </w:rPr>
        <w:t>4.1 投标文件的密封和标</w:t>
      </w:r>
      <w:r>
        <w:rPr>
          <w:rFonts w:hint="eastAsia" w:ascii="宋体" w:hAnsi="宋体"/>
          <w:b/>
          <w:bCs/>
          <w:color w:val="000000"/>
          <w:szCs w:val="21"/>
          <w:highlight w:val="none"/>
        </w:rPr>
        <w:t>记</w:t>
      </w:r>
      <w:bookmarkEnd w:id="187"/>
      <w:bookmarkEnd w:id="188"/>
    </w:p>
    <w:p w14:paraId="6B5B9F8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4.1.1投标文件应按“投标人须知前附表”的要求进行包装</w:t>
      </w:r>
      <w:r>
        <w:rPr>
          <w:rFonts w:hint="eastAsia" w:ascii="宋体" w:hAnsi="宋体"/>
          <w:color w:val="000000"/>
          <w:kern w:val="0"/>
          <w:szCs w:val="21"/>
          <w:highlight w:val="none"/>
        </w:rPr>
        <w:t>、密封</w:t>
      </w:r>
      <w:r>
        <w:rPr>
          <w:rFonts w:ascii="宋体" w:hAnsi="宋体"/>
          <w:color w:val="000000"/>
          <w:kern w:val="0"/>
          <w:szCs w:val="21"/>
          <w:highlight w:val="none"/>
        </w:rPr>
        <w:t>，并在封套的封口处加盖投标人单位公章。</w:t>
      </w:r>
    </w:p>
    <w:p w14:paraId="3E1ECB6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4.1.2 投标文件封套上应写明的其他内容见“投标人须知前附表”。</w:t>
      </w:r>
    </w:p>
    <w:p w14:paraId="4FF99997">
      <w:pPr>
        <w:keepNext/>
        <w:keepLines/>
        <w:spacing w:line="360" w:lineRule="auto"/>
        <w:outlineLvl w:val="3"/>
        <w:rPr>
          <w:rFonts w:ascii="宋体" w:hAnsi="宋体"/>
          <w:b/>
          <w:bCs/>
          <w:color w:val="000000"/>
          <w:szCs w:val="21"/>
          <w:highlight w:val="none"/>
        </w:rPr>
      </w:pPr>
      <w:bookmarkStart w:id="189" w:name="_Toc389065171"/>
      <w:bookmarkStart w:id="190" w:name="_Toc12657"/>
      <w:r>
        <w:rPr>
          <w:rFonts w:ascii="宋体" w:hAnsi="宋体"/>
          <w:b/>
          <w:bCs/>
          <w:color w:val="000000"/>
          <w:szCs w:val="21"/>
          <w:highlight w:val="none"/>
        </w:rPr>
        <w:t>4.2 投标文件的递交</w:t>
      </w:r>
      <w:bookmarkEnd w:id="189"/>
      <w:bookmarkEnd w:id="190"/>
    </w:p>
    <w:p w14:paraId="40E454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4.2.1 投标人应在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规定的投标截止时间前递交投标文件。</w:t>
      </w:r>
    </w:p>
    <w:p w14:paraId="0A82F2B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4.2.2 投标人递交投标文件的地点：见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D8CCD8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4.2.3 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另有规定外，投标人所递交的投标文件不予退还。</w:t>
      </w:r>
    </w:p>
    <w:p w14:paraId="561DA0C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w:t>
      </w:r>
      <w:r>
        <w:rPr>
          <w:rFonts w:hint="eastAsia" w:ascii="宋体" w:hAnsi="宋体"/>
          <w:color w:val="000000"/>
          <w:kern w:val="0"/>
          <w:szCs w:val="21"/>
          <w:highlight w:val="none"/>
        </w:rPr>
        <w:t>4</w:t>
      </w:r>
      <w:r>
        <w:rPr>
          <w:rFonts w:ascii="宋体" w:hAnsi="宋体"/>
          <w:color w:val="000000"/>
          <w:kern w:val="0"/>
          <w:szCs w:val="21"/>
          <w:highlight w:val="none"/>
        </w:rPr>
        <w:t xml:space="preserve"> 逾期送达的或者未送达指定地点的投标文件，招标人不予受理。</w:t>
      </w:r>
    </w:p>
    <w:p w14:paraId="608D7C5F">
      <w:pPr>
        <w:tabs>
          <w:tab w:val="left" w:pos="7676"/>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4.2.5 现场递交投标文件的投标人，需携带法定代表人证明书原件，若为其授权人来递交文件的，还需提供授权委托书原件，否则其递交的投标文件不予接收。</w:t>
      </w:r>
    </w:p>
    <w:p w14:paraId="4AA166E8">
      <w:pPr>
        <w:keepNext/>
        <w:keepLines/>
        <w:spacing w:line="360" w:lineRule="auto"/>
        <w:outlineLvl w:val="3"/>
        <w:rPr>
          <w:rFonts w:ascii="宋体" w:hAnsi="宋体"/>
          <w:b/>
          <w:bCs/>
          <w:color w:val="000000"/>
          <w:szCs w:val="21"/>
          <w:highlight w:val="none"/>
        </w:rPr>
      </w:pPr>
      <w:bookmarkStart w:id="191" w:name="_Toc389065172"/>
      <w:bookmarkStart w:id="192" w:name="_Toc28382"/>
      <w:r>
        <w:rPr>
          <w:rFonts w:ascii="宋体" w:hAnsi="宋体"/>
          <w:b/>
          <w:bCs/>
          <w:color w:val="000000"/>
          <w:szCs w:val="21"/>
          <w:highlight w:val="none"/>
        </w:rPr>
        <w:t>4.3 投标文件的修改与撤回</w:t>
      </w:r>
      <w:bookmarkEnd w:id="191"/>
      <w:bookmarkEnd w:id="192"/>
    </w:p>
    <w:p w14:paraId="436F1B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4.3.1在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规定的投标截止时间前，投标人可以修改或撤回已递交的投标文件，但应以书面形式通知招标人。</w:t>
      </w:r>
    </w:p>
    <w:p w14:paraId="0CAC37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4.3.2投标人修改或撤回已递交投标文件的书面通知，应按照本章第3.6.3款的要求签字和盖章。招标人收到书面通知后，向投标人出具签收凭证。</w:t>
      </w:r>
    </w:p>
    <w:p w14:paraId="10923CB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4.3.3修改的内容为投标文件的组成部分。修改的投标文件应按照本章第3.6款和第4</w:t>
      </w:r>
      <w:r>
        <w:rPr>
          <w:rFonts w:hint="eastAsia" w:ascii="宋体" w:hAnsi="宋体"/>
          <w:color w:val="000000"/>
          <w:kern w:val="0"/>
          <w:szCs w:val="21"/>
          <w:highlight w:val="none"/>
        </w:rPr>
        <w:t>款</w:t>
      </w:r>
      <w:r>
        <w:rPr>
          <w:rFonts w:ascii="宋体" w:hAnsi="宋体"/>
          <w:color w:val="000000"/>
          <w:kern w:val="0"/>
          <w:szCs w:val="21"/>
          <w:highlight w:val="none"/>
        </w:rPr>
        <w:t>规定进行编制、密封、标记和递交，并标明“修改”字样。</w:t>
      </w:r>
    </w:p>
    <w:p w14:paraId="72BA8DC4">
      <w:pPr>
        <w:keepNext/>
        <w:keepLines/>
        <w:spacing w:before="240" w:beforeLines="100" w:line="360" w:lineRule="auto"/>
        <w:outlineLvl w:val="2"/>
        <w:rPr>
          <w:rFonts w:ascii="黑体" w:hAnsi="黑体" w:eastAsia="黑体"/>
          <w:b/>
          <w:bCs/>
          <w:color w:val="000000"/>
          <w:sz w:val="24"/>
          <w:szCs w:val="21"/>
          <w:highlight w:val="none"/>
        </w:rPr>
      </w:pPr>
      <w:bookmarkStart w:id="193" w:name="_Toc13577"/>
      <w:bookmarkStart w:id="194" w:name="_Toc389065173"/>
      <w:r>
        <w:rPr>
          <w:rFonts w:ascii="黑体" w:hAnsi="黑体" w:eastAsia="黑体"/>
          <w:b/>
          <w:bCs/>
          <w:color w:val="000000"/>
          <w:sz w:val="24"/>
          <w:szCs w:val="21"/>
          <w:highlight w:val="none"/>
        </w:rPr>
        <w:t>5</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开标</w:t>
      </w:r>
      <w:bookmarkEnd w:id="193"/>
      <w:bookmarkEnd w:id="194"/>
    </w:p>
    <w:p w14:paraId="0B4F05E4">
      <w:pPr>
        <w:keepNext/>
        <w:keepLines/>
        <w:spacing w:line="360" w:lineRule="auto"/>
        <w:outlineLvl w:val="3"/>
        <w:rPr>
          <w:rFonts w:ascii="宋体" w:hAnsi="宋体"/>
          <w:b/>
          <w:bCs/>
          <w:color w:val="000000"/>
          <w:szCs w:val="21"/>
          <w:highlight w:val="none"/>
        </w:rPr>
      </w:pPr>
      <w:bookmarkStart w:id="195" w:name="_Toc24745"/>
      <w:bookmarkStart w:id="196" w:name="_Toc389065174"/>
      <w:r>
        <w:rPr>
          <w:rFonts w:ascii="宋体" w:hAnsi="宋体"/>
          <w:b/>
          <w:bCs/>
          <w:color w:val="000000"/>
          <w:szCs w:val="21"/>
          <w:highlight w:val="none"/>
        </w:rPr>
        <w:t>5.1 开标时间和地点</w:t>
      </w:r>
      <w:bookmarkEnd w:id="195"/>
      <w:bookmarkEnd w:id="196"/>
    </w:p>
    <w:p w14:paraId="5C230A9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招标人在“投标人须知前附表”规定的投标截止时间（开标时间）、地点公开开标，并邀请所有投标人的法定代表人或委托代理人参加。</w:t>
      </w:r>
    </w:p>
    <w:p w14:paraId="78A294AD">
      <w:pPr>
        <w:keepNext/>
        <w:keepLines/>
        <w:spacing w:line="360" w:lineRule="auto"/>
        <w:outlineLvl w:val="3"/>
        <w:rPr>
          <w:rFonts w:ascii="宋体" w:hAnsi="宋体"/>
          <w:b/>
          <w:bCs/>
          <w:color w:val="000000"/>
          <w:szCs w:val="21"/>
          <w:highlight w:val="none"/>
        </w:rPr>
      </w:pPr>
      <w:bookmarkStart w:id="197" w:name="_Toc14100"/>
      <w:bookmarkStart w:id="198" w:name="_Toc389065175"/>
      <w:r>
        <w:rPr>
          <w:rFonts w:ascii="宋体" w:hAnsi="宋体"/>
          <w:b/>
          <w:bCs/>
          <w:color w:val="000000"/>
          <w:szCs w:val="21"/>
          <w:highlight w:val="none"/>
        </w:rPr>
        <w:t>5.2 开标程序</w:t>
      </w:r>
      <w:bookmarkEnd w:id="197"/>
      <w:bookmarkEnd w:id="198"/>
    </w:p>
    <w:p w14:paraId="20C2AD70">
      <w:pPr>
        <w:spacing w:line="360" w:lineRule="auto"/>
        <w:ind w:firstLine="420" w:firstLineChars="200"/>
        <w:rPr>
          <w:rFonts w:ascii="宋体" w:hAnsi="宋体"/>
          <w:color w:val="000000"/>
          <w:kern w:val="0"/>
          <w:szCs w:val="21"/>
          <w:highlight w:val="none"/>
        </w:rPr>
      </w:pPr>
      <w:bookmarkStart w:id="199" w:name="_Toc27870"/>
      <w:r>
        <w:rPr>
          <w:rFonts w:hint="eastAsia" w:ascii="宋体" w:hAnsi="宋体"/>
          <w:color w:val="000000"/>
          <w:kern w:val="0"/>
          <w:szCs w:val="21"/>
          <w:highlight w:val="none"/>
        </w:rPr>
        <w:t>5.2.1参加现场开标会的投标人法定代表人或其</w:t>
      </w:r>
      <w:r>
        <w:rPr>
          <w:rFonts w:hint="eastAsia" w:ascii="宋体" w:hAnsi="宋体"/>
          <w:color w:val="000000"/>
          <w:kern w:val="0"/>
          <w:szCs w:val="21"/>
          <w:highlight w:val="none"/>
          <w:lang w:eastAsia="zh-CN"/>
        </w:rPr>
        <w:t>委托代理人</w:t>
      </w:r>
      <w:r>
        <w:rPr>
          <w:rFonts w:hint="eastAsia" w:ascii="宋体" w:hAnsi="宋体"/>
          <w:color w:val="000000"/>
          <w:kern w:val="0"/>
          <w:szCs w:val="21"/>
          <w:highlight w:val="none"/>
        </w:rPr>
        <w:t>（以下统称“投标人代表”）必须在投标截止前到开标地点出示本人有效身份证（限中国公民居民身份证、外籍有效护照，下同）、法定代表人证明书、法人代表授权委托书（若为授权人时），并由招标人或其委托的公证机构代表验证确认。否则招标人有权拒收其投标文件。</w:t>
      </w:r>
    </w:p>
    <w:p w14:paraId="19C143B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5.2.2</w:t>
      </w:r>
      <w:r>
        <w:rPr>
          <w:color w:val="000000"/>
          <w:kern w:val="0"/>
          <w:szCs w:val="21"/>
          <w:highlight w:val="none"/>
        </w:rPr>
        <w:t>招标代理机构对开标过程制作记录。</w:t>
      </w:r>
    </w:p>
    <w:p w14:paraId="4CAED27C">
      <w:pPr>
        <w:tabs>
          <w:tab w:val="left" w:pos="397"/>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w:t>
      </w:r>
      <w:r>
        <w:rPr>
          <w:rFonts w:ascii="宋体" w:hAnsi="宋体"/>
          <w:color w:val="000000"/>
          <w:kern w:val="0"/>
          <w:szCs w:val="21"/>
          <w:highlight w:val="none"/>
        </w:rPr>
        <w:t>.2.</w:t>
      </w:r>
      <w:r>
        <w:rPr>
          <w:rFonts w:hint="eastAsia" w:ascii="宋体" w:hAnsi="宋体"/>
          <w:color w:val="000000"/>
          <w:kern w:val="0"/>
          <w:szCs w:val="21"/>
          <w:highlight w:val="none"/>
        </w:rPr>
        <w:t>3</w:t>
      </w:r>
      <w:r>
        <w:rPr>
          <w:rFonts w:ascii="宋体" w:hAnsi="宋体"/>
          <w:color w:val="000000"/>
          <w:kern w:val="0"/>
          <w:szCs w:val="21"/>
          <w:highlight w:val="none"/>
        </w:rPr>
        <w:t>开标会由</w:t>
      </w:r>
      <w:r>
        <w:rPr>
          <w:rFonts w:hint="eastAsia" w:ascii="宋体" w:hAnsi="宋体"/>
          <w:color w:val="000000"/>
          <w:kern w:val="0"/>
          <w:szCs w:val="21"/>
          <w:highlight w:val="none"/>
        </w:rPr>
        <w:t>招标人或其委托的招标代理机构</w:t>
      </w:r>
      <w:r>
        <w:rPr>
          <w:rFonts w:ascii="宋体" w:hAnsi="宋体"/>
          <w:color w:val="000000"/>
          <w:kern w:val="0"/>
          <w:szCs w:val="21"/>
          <w:highlight w:val="none"/>
        </w:rPr>
        <w:t>主持。</w:t>
      </w:r>
    </w:p>
    <w:p w14:paraId="4B62268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4</w:t>
      </w:r>
      <w:r>
        <w:rPr>
          <w:rFonts w:ascii="宋体" w:hAnsi="宋体"/>
          <w:color w:val="000000"/>
          <w:kern w:val="0"/>
          <w:szCs w:val="21"/>
          <w:highlight w:val="none"/>
        </w:rPr>
        <w:t>主持人按以下程序进行开标：</w:t>
      </w:r>
    </w:p>
    <w:p w14:paraId="6B80D1D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（1）宣布开标纪律；</w:t>
      </w:r>
    </w:p>
    <w:p w14:paraId="62E2DB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介绍参加开标会议的单位和人员</w:t>
      </w:r>
      <w:r>
        <w:rPr>
          <w:rFonts w:ascii="宋体" w:hAnsi="宋体"/>
          <w:color w:val="000000"/>
          <w:kern w:val="0"/>
          <w:szCs w:val="21"/>
          <w:highlight w:val="none"/>
        </w:rPr>
        <w:t>；</w:t>
      </w:r>
    </w:p>
    <w:p w14:paraId="40A9DB7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（3）公布在投标截止时间前递交投标文件的投标人名称，点名确认投标人是否派人到场；</w:t>
      </w:r>
    </w:p>
    <w:p w14:paraId="27BABB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（4）投标人代表检查投标文件的密封情况；</w:t>
      </w:r>
    </w:p>
    <w:p w14:paraId="674DB6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（5）投标人代表、招标人代表等有关人员对</w:t>
      </w:r>
      <w:r>
        <w:rPr>
          <w:rFonts w:hint="eastAsia" w:ascii="宋体" w:hAnsi="宋体"/>
          <w:color w:val="000000"/>
          <w:kern w:val="0"/>
          <w:szCs w:val="21"/>
          <w:highlight w:val="none"/>
        </w:rPr>
        <w:t>以上内容相关</w:t>
      </w:r>
      <w:r>
        <w:rPr>
          <w:rFonts w:ascii="宋体" w:hAnsi="宋体"/>
          <w:color w:val="000000"/>
          <w:kern w:val="0"/>
          <w:szCs w:val="21"/>
          <w:highlight w:val="none"/>
        </w:rPr>
        <w:t>表格进行签字确认</w:t>
      </w:r>
      <w:r>
        <w:rPr>
          <w:rFonts w:hint="eastAsia" w:ascii="宋体" w:hAnsi="宋体"/>
          <w:color w:val="000000"/>
          <w:kern w:val="0"/>
          <w:szCs w:val="21"/>
          <w:highlight w:val="none"/>
        </w:rPr>
        <w:t>；</w:t>
      </w:r>
    </w:p>
    <w:p w14:paraId="579960D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（6）</w:t>
      </w:r>
      <w:r>
        <w:rPr>
          <w:rFonts w:ascii="宋体" w:hAnsi="宋体"/>
          <w:color w:val="000000"/>
          <w:kern w:val="0"/>
          <w:szCs w:val="21"/>
          <w:highlight w:val="none"/>
        </w:rPr>
        <w:t>按照“投标人须知前附表”的规定</w:t>
      </w:r>
      <w:r>
        <w:rPr>
          <w:rFonts w:hint="eastAsia" w:ascii="宋体" w:hAnsi="宋体"/>
          <w:color w:val="000000"/>
          <w:kern w:val="0"/>
          <w:szCs w:val="21"/>
          <w:highlight w:val="none"/>
        </w:rPr>
        <w:t>的</w:t>
      </w:r>
      <w:r>
        <w:rPr>
          <w:rFonts w:ascii="宋体" w:hAnsi="宋体"/>
          <w:color w:val="000000"/>
          <w:kern w:val="0"/>
          <w:szCs w:val="21"/>
          <w:highlight w:val="none"/>
        </w:rPr>
        <w:t>开标顺序</w:t>
      </w:r>
      <w:r>
        <w:rPr>
          <w:rFonts w:hint="eastAsia" w:ascii="宋体" w:hAnsi="宋体"/>
          <w:color w:val="000000"/>
          <w:kern w:val="0"/>
          <w:szCs w:val="21"/>
          <w:highlight w:val="none"/>
        </w:rPr>
        <w:t>开标；</w:t>
      </w:r>
    </w:p>
    <w:p w14:paraId="74A90A60">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7</w:t>
      </w:r>
      <w:r>
        <w:rPr>
          <w:rFonts w:hint="eastAsia" w:ascii="宋体" w:hAnsi="宋体"/>
          <w:color w:val="000000"/>
          <w:kern w:val="0"/>
          <w:szCs w:val="21"/>
          <w:highlight w:val="none"/>
        </w:rPr>
        <w:t>）唱标：对投标人的投标报价、质量要求、服务期及其他内容进行唱标，并记录在案；</w:t>
      </w:r>
    </w:p>
    <w:p w14:paraId="236F37E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（8）公布</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及相关内容；</w:t>
      </w:r>
    </w:p>
    <w:p w14:paraId="14500D2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（9）投标人代表、招标人代表等有关人员</w:t>
      </w:r>
      <w:r>
        <w:rPr>
          <w:rFonts w:hint="eastAsia" w:ascii="宋体" w:hAnsi="宋体"/>
          <w:color w:val="000000"/>
          <w:kern w:val="0"/>
          <w:szCs w:val="21"/>
          <w:highlight w:val="none"/>
        </w:rPr>
        <w:t>对开标过程相关表格进行</w:t>
      </w:r>
      <w:r>
        <w:rPr>
          <w:rFonts w:ascii="宋体" w:hAnsi="宋体"/>
          <w:color w:val="000000"/>
          <w:kern w:val="0"/>
          <w:szCs w:val="21"/>
          <w:highlight w:val="none"/>
        </w:rPr>
        <w:t>签字确认；</w:t>
      </w:r>
    </w:p>
    <w:p w14:paraId="1C7DE0D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w:t>
      </w:r>
      <w:r>
        <w:rPr>
          <w:rFonts w:hint="eastAsia" w:ascii="宋体" w:hAnsi="宋体"/>
          <w:color w:val="000000"/>
          <w:kern w:val="0"/>
          <w:szCs w:val="21"/>
          <w:highlight w:val="none"/>
        </w:rPr>
        <w:t>主持人宣布相关事宜。</w:t>
      </w:r>
    </w:p>
    <w:p w14:paraId="2ACA1F6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1</w:t>
      </w:r>
      <w:r>
        <w:rPr>
          <w:rFonts w:hint="eastAsia" w:ascii="宋体" w:hAnsi="宋体"/>
          <w:color w:val="000000"/>
          <w:kern w:val="0"/>
          <w:szCs w:val="21"/>
          <w:highlight w:val="none"/>
        </w:rPr>
        <w:t>）</w:t>
      </w:r>
      <w:r>
        <w:rPr>
          <w:rFonts w:ascii="宋体" w:hAnsi="宋体"/>
          <w:color w:val="000000"/>
          <w:kern w:val="0"/>
          <w:szCs w:val="21"/>
          <w:highlight w:val="none"/>
        </w:rPr>
        <w:t>开标结束。</w:t>
      </w:r>
    </w:p>
    <w:p w14:paraId="0A63C0E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5.3不予开标</w:t>
      </w:r>
      <w:bookmarkEnd w:id="199"/>
    </w:p>
    <w:p w14:paraId="50122B5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符合下列情况之一的投标，招标人拒绝受理或在开标时当场</w:t>
      </w:r>
      <w:r>
        <w:rPr>
          <w:rFonts w:hint="eastAsia" w:ascii="宋体" w:hAnsi="宋体"/>
          <w:color w:val="000000"/>
          <w:kern w:val="0"/>
          <w:szCs w:val="21"/>
          <w:highlight w:val="none"/>
        </w:rPr>
        <w:t>否决其投标</w:t>
      </w:r>
      <w:r>
        <w:rPr>
          <w:rFonts w:ascii="宋体" w:hAnsi="宋体"/>
          <w:color w:val="000000"/>
          <w:kern w:val="0"/>
          <w:szCs w:val="21"/>
          <w:highlight w:val="none"/>
        </w:rPr>
        <w:t>，不得进入评标：</w:t>
      </w:r>
    </w:p>
    <w:p w14:paraId="4529EB9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（1）投标文件逾期送达的或者未送达指定地点的；</w:t>
      </w:r>
    </w:p>
    <w:p w14:paraId="556BE4B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）投标文件未按招标文件要求密封的；</w:t>
      </w:r>
    </w:p>
    <w:p w14:paraId="3609311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3</w:t>
      </w:r>
      <w:r>
        <w:rPr>
          <w:rFonts w:ascii="宋体" w:hAnsi="宋体"/>
          <w:color w:val="000000"/>
          <w:kern w:val="0"/>
          <w:szCs w:val="21"/>
          <w:highlight w:val="none"/>
        </w:rPr>
        <w:t>）</w:t>
      </w:r>
      <w:r>
        <w:rPr>
          <w:rFonts w:hint="eastAsia" w:ascii="宋体" w:hAnsi="宋体"/>
          <w:color w:val="000000"/>
          <w:kern w:val="0"/>
          <w:szCs w:val="21"/>
          <w:highlight w:val="none"/>
        </w:rPr>
        <w:t>无疫情特殊政策的情况下，</w:t>
      </w:r>
      <w:r>
        <w:rPr>
          <w:rFonts w:ascii="宋体" w:hAnsi="宋体"/>
          <w:color w:val="000000"/>
          <w:kern w:val="0"/>
          <w:szCs w:val="21"/>
          <w:highlight w:val="none"/>
        </w:rPr>
        <w:t>投标人授权</w:t>
      </w:r>
      <w:r>
        <w:rPr>
          <w:rFonts w:hint="eastAsia" w:ascii="宋体" w:hAnsi="宋体"/>
          <w:color w:val="000000"/>
          <w:kern w:val="0"/>
          <w:szCs w:val="21"/>
          <w:highlight w:val="none"/>
        </w:rPr>
        <w:t>的代理人</w:t>
      </w:r>
      <w:r>
        <w:rPr>
          <w:rFonts w:ascii="宋体" w:hAnsi="宋体"/>
          <w:color w:val="000000"/>
          <w:kern w:val="0"/>
          <w:szCs w:val="21"/>
          <w:highlight w:val="none"/>
        </w:rPr>
        <w:t>未按时出席开标会</w:t>
      </w:r>
      <w:r>
        <w:rPr>
          <w:rFonts w:hint="eastAsia" w:ascii="宋体" w:hAnsi="宋体"/>
          <w:color w:val="000000"/>
          <w:kern w:val="0"/>
          <w:szCs w:val="21"/>
          <w:highlight w:val="none"/>
        </w:rPr>
        <w:t>；</w:t>
      </w:r>
    </w:p>
    <w:p w14:paraId="301A0CB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（4）授权出席开标会、授权签署投标文件的委托代理人非投标人授权委托人。</w:t>
      </w:r>
    </w:p>
    <w:p w14:paraId="09C88183">
      <w:pPr>
        <w:keepNext/>
        <w:keepLines/>
        <w:spacing w:line="360" w:lineRule="auto"/>
        <w:outlineLvl w:val="3"/>
        <w:rPr>
          <w:rFonts w:ascii="宋体" w:hAnsi="宋体"/>
          <w:b/>
          <w:bCs/>
          <w:color w:val="000000"/>
          <w:szCs w:val="21"/>
          <w:highlight w:val="none"/>
        </w:rPr>
      </w:pPr>
      <w:bookmarkStart w:id="200" w:name="_Toc4496"/>
      <w:r>
        <w:rPr>
          <w:rFonts w:ascii="宋体" w:hAnsi="宋体"/>
          <w:b/>
          <w:bCs/>
          <w:color w:val="000000"/>
          <w:szCs w:val="21"/>
          <w:highlight w:val="none"/>
        </w:rPr>
        <w:t>5.</w:t>
      </w:r>
      <w:r>
        <w:rPr>
          <w:rFonts w:hint="eastAsia" w:ascii="宋体" w:hAnsi="宋体"/>
          <w:b/>
          <w:bCs/>
          <w:color w:val="000000"/>
          <w:szCs w:val="21"/>
          <w:highlight w:val="none"/>
        </w:rPr>
        <w:t>4开标异议</w:t>
      </w:r>
      <w:bookmarkEnd w:id="200"/>
    </w:p>
    <w:p w14:paraId="499DD200">
      <w:pPr>
        <w:spacing w:line="360" w:lineRule="auto"/>
        <w:ind w:firstLine="420" w:firstLineChars="200"/>
        <w:rPr>
          <w:rFonts w:ascii="宋体" w:hAnsi="宋体"/>
          <w:color w:val="000000"/>
          <w:kern w:val="0"/>
          <w:szCs w:val="21"/>
          <w:highlight w:val="none"/>
        </w:rPr>
      </w:pPr>
      <w:bookmarkStart w:id="201" w:name="_Toc389065177"/>
      <w:bookmarkStart w:id="202" w:name="_Toc15801"/>
      <w:r>
        <w:rPr>
          <w:rFonts w:hint="eastAsia" w:ascii="宋体" w:hAnsi="宋体"/>
          <w:color w:val="000000"/>
          <w:kern w:val="0"/>
          <w:szCs w:val="21"/>
          <w:highlight w:val="none"/>
        </w:rPr>
        <w:t>（1）投标人对开标有异议的，应当在开标现场提出，招标人应当当场作出答复，并制作记录。</w:t>
      </w:r>
    </w:p>
    <w:p w14:paraId="68334AA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（2）投标人不得就招标人已答复的同一事项再次异议。</w:t>
      </w:r>
    </w:p>
    <w:p w14:paraId="6C3C82D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（3）投标人如在开标</w:t>
      </w:r>
      <w:r>
        <w:rPr>
          <w:rFonts w:ascii="宋体" w:hAnsi="宋体"/>
          <w:color w:val="000000"/>
          <w:kern w:val="0"/>
          <w:szCs w:val="21"/>
          <w:highlight w:val="none"/>
        </w:rPr>
        <w:t>现场</w:t>
      </w:r>
      <w:r>
        <w:rPr>
          <w:rFonts w:hint="eastAsia" w:ascii="宋体" w:hAnsi="宋体"/>
          <w:color w:val="000000"/>
          <w:kern w:val="0"/>
          <w:szCs w:val="21"/>
          <w:highlight w:val="none"/>
        </w:rPr>
        <w:t>没有</w:t>
      </w:r>
      <w:r>
        <w:rPr>
          <w:rFonts w:ascii="宋体" w:hAnsi="宋体"/>
          <w:color w:val="000000"/>
          <w:kern w:val="0"/>
          <w:szCs w:val="21"/>
          <w:highlight w:val="none"/>
        </w:rPr>
        <w:t>提出异议，</w:t>
      </w:r>
      <w:r>
        <w:rPr>
          <w:rFonts w:hint="eastAsia" w:ascii="宋体" w:hAnsi="宋体"/>
          <w:color w:val="000000"/>
          <w:kern w:val="0"/>
          <w:szCs w:val="21"/>
          <w:highlight w:val="none"/>
        </w:rPr>
        <w:t>视为主动放弃异议资格，不得在其他情况下再次提出开标异议。</w:t>
      </w:r>
    </w:p>
    <w:p w14:paraId="38AE00D8">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6</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评标</w:t>
      </w:r>
      <w:bookmarkEnd w:id="201"/>
      <w:bookmarkEnd w:id="202"/>
    </w:p>
    <w:p w14:paraId="164B8160">
      <w:pPr>
        <w:keepNext/>
        <w:keepLines/>
        <w:spacing w:line="360" w:lineRule="auto"/>
        <w:outlineLvl w:val="3"/>
        <w:rPr>
          <w:rFonts w:ascii="宋体" w:hAnsi="宋体"/>
          <w:b/>
          <w:bCs/>
          <w:color w:val="000000"/>
          <w:szCs w:val="21"/>
          <w:highlight w:val="none"/>
        </w:rPr>
      </w:pPr>
      <w:bookmarkStart w:id="203" w:name="_Toc389065178"/>
      <w:bookmarkStart w:id="204" w:name="_Toc25904"/>
      <w:r>
        <w:rPr>
          <w:rFonts w:ascii="宋体" w:hAnsi="宋体"/>
          <w:b/>
          <w:bCs/>
          <w:color w:val="000000"/>
          <w:szCs w:val="21"/>
          <w:highlight w:val="none"/>
        </w:rPr>
        <w:t>6.1 评标委员会</w:t>
      </w:r>
      <w:bookmarkEnd w:id="203"/>
      <w:bookmarkEnd w:id="204"/>
    </w:p>
    <w:p w14:paraId="1DC99CF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6.1.1评标由招标人依法组建的评标委员会负责。评标委员会由招标人熟悉相关业务的代表，以及有关技术、经济等方面的专家组成。评标委员会成员人数以及技术、经济等方面专家的确定方式见投标人须知前附表</w:t>
      </w:r>
      <w:r>
        <w:rPr>
          <w:rFonts w:hint="eastAsia" w:ascii="宋体" w:hAnsi="宋体"/>
          <w:color w:val="000000"/>
          <w:kern w:val="0"/>
          <w:szCs w:val="21"/>
          <w:highlight w:val="none"/>
        </w:rPr>
        <w:t>。</w:t>
      </w:r>
    </w:p>
    <w:p w14:paraId="2A5A7F6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6.1.2 评标委员会成员有下列情形之一的，应当回避：</w:t>
      </w:r>
    </w:p>
    <w:p w14:paraId="4ABDAD2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（1）投标人或投标人的主要负责人的近亲属；</w:t>
      </w:r>
    </w:p>
    <w:p w14:paraId="6615695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（2）项目主管部门或者行政监督部门的人员；</w:t>
      </w:r>
    </w:p>
    <w:p w14:paraId="6D57A97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（3）与投标人有经济利益关系，可能影响对投标公正评审的</w:t>
      </w:r>
      <w:r>
        <w:rPr>
          <w:rFonts w:hint="eastAsia" w:ascii="宋体" w:hAnsi="宋体"/>
          <w:color w:val="000000"/>
          <w:kern w:val="0"/>
          <w:szCs w:val="21"/>
          <w:highlight w:val="none"/>
        </w:rPr>
        <w:t>；</w:t>
      </w:r>
    </w:p>
    <w:p w14:paraId="737C610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4</w:t>
      </w:r>
      <w:r>
        <w:rPr>
          <w:rFonts w:hint="eastAsia" w:ascii="宋体" w:hAnsi="宋体"/>
          <w:color w:val="000000"/>
          <w:kern w:val="0"/>
          <w:szCs w:val="21"/>
          <w:highlight w:val="none"/>
        </w:rPr>
        <w:t>）曾因在招标、评标以及其他与招标投标有关活动中从事违法行为而受过行政处罚或刑事处罚的；</w:t>
      </w:r>
    </w:p>
    <w:p w14:paraId="7E6C893B">
      <w:pPr>
        <w:spacing w:line="360" w:lineRule="auto"/>
        <w:ind w:firstLine="420" w:firstLineChars="200"/>
        <w:rPr>
          <w:rFonts w:ascii="宋体" w:hAnsi="宋体"/>
          <w:kern w:val="0"/>
          <w:szCs w:val="21"/>
          <w:highlight w:val="none"/>
        </w:rPr>
      </w:pPr>
      <w:bookmarkStart w:id="205" w:name="_Toc389065179"/>
      <w:bookmarkStart w:id="206" w:name="_Toc15075"/>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）为该</w:t>
      </w:r>
      <w:r>
        <w:rPr>
          <w:rFonts w:hint="eastAsia" w:ascii="宋体" w:hAnsi="宋体"/>
          <w:kern w:val="0"/>
          <w:szCs w:val="21"/>
          <w:highlight w:val="none"/>
          <w:lang w:val="en-US" w:eastAsia="zh-CN"/>
        </w:rPr>
        <w:t>项目</w:t>
      </w:r>
      <w:r>
        <w:rPr>
          <w:rFonts w:hint="eastAsia" w:ascii="宋体" w:hAnsi="宋体"/>
          <w:kern w:val="0"/>
          <w:szCs w:val="21"/>
          <w:highlight w:val="none"/>
        </w:rPr>
        <w:t>招标代理、造价咨询机构的人员；</w:t>
      </w:r>
    </w:p>
    <w:p w14:paraId="50D47856">
      <w:pPr>
        <w:spacing w:line="360" w:lineRule="auto"/>
        <w:ind w:firstLine="420" w:firstLineChars="200"/>
        <w:rPr>
          <w:rFonts w:ascii="宋体" w:hAns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）与投标人有其他利害关系。</w:t>
      </w:r>
    </w:p>
    <w:p w14:paraId="2B32F58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6.2 评标原则</w:t>
      </w:r>
      <w:bookmarkEnd w:id="205"/>
      <w:bookmarkEnd w:id="206"/>
    </w:p>
    <w:p w14:paraId="113687D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评标活动遵循公平、公正、科学和择优的原则。</w:t>
      </w:r>
    </w:p>
    <w:p w14:paraId="4EAB5D3C">
      <w:pPr>
        <w:keepNext/>
        <w:keepLines/>
        <w:spacing w:line="360" w:lineRule="auto"/>
        <w:outlineLvl w:val="3"/>
        <w:rPr>
          <w:rFonts w:ascii="宋体" w:hAnsi="宋体"/>
          <w:b/>
          <w:bCs/>
          <w:color w:val="000000"/>
          <w:szCs w:val="21"/>
          <w:highlight w:val="none"/>
        </w:rPr>
      </w:pPr>
      <w:bookmarkStart w:id="207" w:name="_Toc9656"/>
      <w:bookmarkStart w:id="208" w:name="_Toc389065180"/>
      <w:r>
        <w:rPr>
          <w:rFonts w:ascii="宋体" w:hAnsi="宋体"/>
          <w:b/>
          <w:bCs/>
          <w:color w:val="000000"/>
          <w:szCs w:val="21"/>
          <w:highlight w:val="none"/>
        </w:rPr>
        <w:t>6.3 评标</w:t>
      </w:r>
      <w:bookmarkEnd w:id="207"/>
      <w:bookmarkEnd w:id="208"/>
      <w:r>
        <w:rPr>
          <w:rFonts w:hint="eastAsia" w:ascii="宋体" w:hAnsi="宋体"/>
          <w:b/>
          <w:bCs/>
          <w:color w:val="000000"/>
          <w:szCs w:val="21"/>
          <w:highlight w:val="none"/>
        </w:rPr>
        <w:t>办法</w:t>
      </w:r>
    </w:p>
    <w:p w14:paraId="225C03F6">
      <w:pPr>
        <w:spacing w:line="360" w:lineRule="auto"/>
        <w:ind w:firstLine="420" w:firstLineChars="200"/>
        <w:rPr>
          <w:rFonts w:ascii="宋体" w:hAnsi="宋体"/>
          <w:color w:val="000000"/>
          <w:kern w:val="0"/>
          <w:sz w:val="24"/>
          <w:szCs w:val="21"/>
          <w:highlight w:val="none"/>
        </w:rPr>
      </w:pPr>
      <w:r>
        <w:rPr>
          <w:rFonts w:hint="eastAsia" w:ascii="宋体" w:hAnsi="宋体"/>
          <w:color w:val="000000"/>
          <w:kern w:val="0"/>
          <w:szCs w:val="21"/>
          <w:highlight w:val="none"/>
        </w:rPr>
        <w:t>详见第三章《评标办法及标准》。</w:t>
      </w:r>
    </w:p>
    <w:p w14:paraId="6907C320">
      <w:pPr>
        <w:keepNext/>
        <w:keepLines/>
        <w:spacing w:before="240" w:beforeLines="100" w:line="360" w:lineRule="auto"/>
        <w:outlineLvl w:val="2"/>
        <w:rPr>
          <w:rFonts w:ascii="黑体" w:hAnsi="黑体" w:eastAsia="黑体"/>
          <w:b/>
          <w:bCs/>
          <w:color w:val="000000"/>
          <w:sz w:val="24"/>
          <w:szCs w:val="21"/>
          <w:highlight w:val="none"/>
        </w:rPr>
      </w:pPr>
      <w:bookmarkStart w:id="209" w:name="_Toc389065184"/>
      <w:bookmarkStart w:id="210" w:name="_Toc12990"/>
      <w:r>
        <w:rPr>
          <w:rFonts w:ascii="黑体" w:hAnsi="黑体" w:eastAsia="黑体"/>
          <w:b/>
          <w:bCs/>
          <w:color w:val="000000"/>
          <w:sz w:val="24"/>
          <w:szCs w:val="21"/>
          <w:highlight w:val="none"/>
        </w:rPr>
        <w:t>7</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合同授予</w:t>
      </w:r>
      <w:bookmarkEnd w:id="209"/>
      <w:bookmarkEnd w:id="210"/>
    </w:p>
    <w:p w14:paraId="438B810A">
      <w:pPr>
        <w:keepNext/>
        <w:keepLines/>
        <w:spacing w:line="360" w:lineRule="auto"/>
        <w:outlineLvl w:val="3"/>
        <w:rPr>
          <w:rFonts w:ascii="宋体" w:hAnsi="宋体"/>
          <w:b/>
          <w:bCs/>
          <w:color w:val="000000"/>
          <w:szCs w:val="21"/>
          <w:highlight w:val="none"/>
        </w:rPr>
      </w:pPr>
      <w:bookmarkStart w:id="211" w:name="_Toc5173"/>
      <w:bookmarkStart w:id="212" w:name="_Toc389065185"/>
      <w:r>
        <w:rPr>
          <w:rFonts w:ascii="宋体" w:hAnsi="宋体"/>
          <w:b/>
          <w:bCs/>
          <w:color w:val="000000"/>
          <w:szCs w:val="21"/>
          <w:highlight w:val="none"/>
        </w:rPr>
        <w:t>7.1 定标</w:t>
      </w:r>
      <w:bookmarkEnd w:id="211"/>
      <w:bookmarkEnd w:id="212"/>
    </w:p>
    <w:p w14:paraId="3E698B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.1.1除“投标人须知前附表”规定评标委员会直接确定中标人外，招标人依据评标委员会推荐的中标候选人确定中标人，评标委员会推荐中标候选人的人数见“投标人须知前附表”。</w:t>
      </w:r>
    </w:p>
    <w:p w14:paraId="60152A4F">
      <w:pPr>
        <w:spacing w:line="360" w:lineRule="auto"/>
        <w:ind w:right="0" w:firstLine="420" w:firstLineChars="200"/>
        <w:jc w:val="left"/>
        <w:rPr>
          <w:rFonts w:hint="eastAsia" w:ascii="宋体" w:hAnsi="宋体"/>
          <w:color w:val="000000"/>
          <w:kern w:val="0"/>
          <w:szCs w:val="21"/>
          <w:highlight w:val="none"/>
        </w:rPr>
      </w:pPr>
      <w:r>
        <w:rPr>
          <w:rFonts w:ascii="宋体" w:hAnsi="宋体"/>
          <w:color w:val="000000"/>
          <w:kern w:val="0"/>
          <w:szCs w:val="21"/>
          <w:highlight w:val="none"/>
        </w:rPr>
        <w:t>7.1.2</w:t>
      </w:r>
      <w:r>
        <w:rPr>
          <w:rFonts w:hint="eastAsia" w:ascii="宋体" w:hAnsi="宋体"/>
          <w:color w:val="000000"/>
          <w:kern w:val="0"/>
          <w:szCs w:val="21"/>
          <w:highlight w:val="none"/>
        </w:rPr>
        <w:t>招标人应当确定</w:t>
      </w:r>
      <w:r>
        <w:rPr>
          <w:rFonts w:hint="eastAsia" w:ascii="宋体" w:hAnsi="宋体"/>
          <w:b w:val="0"/>
          <w:bCs w:val="0"/>
          <w:color w:val="000000"/>
          <w:highlight w:val="none"/>
          <w:shd w:val="clear"/>
        </w:rPr>
        <w:t>综合得分</w:t>
      </w:r>
      <w:r>
        <w:rPr>
          <w:rFonts w:hint="eastAsia"/>
          <w:highlight w:val="none"/>
          <w:shd w:val="clear" w:color="auto" w:fill="FFFFFF"/>
        </w:rPr>
        <w:t>排名第一和第二的</w:t>
      </w:r>
      <w:r>
        <w:rPr>
          <w:rFonts w:hint="eastAsia"/>
          <w:highlight w:val="none"/>
          <w:shd w:val="clear" w:color="auto" w:fill="FFFFFF"/>
          <w:lang w:val="en-US" w:eastAsia="zh-CN"/>
        </w:rPr>
        <w:t>中标候选</w:t>
      </w:r>
      <w:r>
        <w:rPr>
          <w:rFonts w:hint="eastAsia"/>
          <w:highlight w:val="none"/>
          <w:shd w:val="clear" w:color="auto" w:fill="FFFFFF"/>
        </w:rPr>
        <w:t>人</w:t>
      </w:r>
      <w:r>
        <w:rPr>
          <w:rFonts w:hint="eastAsia"/>
          <w:highlight w:val="none"/>
          <w:shd w:val="clear" w:color="auto" w:fill="FFFFFF"/>
          <w:lang w:val="en-US" w:eastAsia="zh-CN"/>
        </w:rPr>
        <w:t>为</w:t>
      </w:r>
      <w:r>
        <w:rPr>
          <w:rFonts w:hint="eastAsia" w:ascii="宋体" w:hAnsi="宋体"/>
          <w:color w:val="000000"/>
          <w:kern w:val="0"/>
          <w:szCs w:val="21"/>
          <w:highlight w:val="none"/>
          <w:lang w:val="en-US" w:eastAsia="zh-CN"/>
        </w:rPr>
        <w:t>中标人，</w:t>
      </w:r>
      <w:r>
        <w:rPr>
          <w:rFonts w:hint="eastAsia" w:ascii="宋体" w:hAnsi="宋体"/>
          <w:b w:val="0"/>
          <w:bCs w:val="0"/>
          <w:color w:val="000000"/>
          <w:kern w:val="2"/>
          <w:szCs w:val="24"/>
          <w:highlight w:val="none"/>
          <w:lang w:val="en-US" w:eastAsia="zh-CN"/>
        </w:rPr>
        <w:t>前两名中标候选人中，含税投标总报价高的一名中标候选人必须承诺接受另一名含税投标总报价低的中标候选人的含税投标单价</w:t>
      </w:r>
      <w:r>
        <w:rPr>
          <w:rFonts w:hint="eastAsia" w:ascii="宋体" w:hAnsi="宋体"/>
          <w:b w:val="0"/>
          <w:bCs w:val="0"/>
          <w:color w:val="000000"/>
          <w:highlight w:val="none"/>
          <w:lang w:val="en-US" w:eastAsia="zh-CN"/>
        </w:rPr>
        <w:t>为中标单价</w:t>
      </w:r>
      <w:r>
        <w:rPr>
          <w:rFonts w:hint="eastAsia" w:ascii="宋体" w:hAnsi="宋体"/>
          <w:color w:val="000000"/>
          <w:kern w:val="2"/>
          <w:szCs w:val="24"/>
          <w:highlight w:val="none"/>
          <w:lang w:val="en-US" w:eastAsia="zh-CN"/>
        </w:rPr>
        <w:t>，</w:t>
      </w:r>
      <w:r>
        <w:rPr>
          <w:rFonts w:hint="eastAsia" w:ascii="宋体" w:hAnsi="宋体"/>
          <w:b w:val="0"/>
          <w:bCs w:val="0"/>
          <w:color w:val="000000"/>
          <w:highlight w:val="none"/>
          <w:lang w:val="en-US" w:eastAsia="zh-CN"/>
        </w:rPr>
        <w:t>如</w:t>
      </w:r>
      <w:r>
        <w:rPr>
          <w:rFonts w:hint="eastAsia" w:ascii="宋体" w:hAnsi="宋体"/>
          <w:b w:val="0"/>
          <w:bCs w:val="0"/>
          <w:color w:val="000000"/>
          <w:kern w:val="2"/>
          <w:szCs w:val="24"/>
          <w:highlight w:val="none"/>
          <w:lang w:val="en-US" w:eastAsia="zh-CN"/>
        </w:rPr>
        <w:t>含税投标总报价</w:t>
      </w:r>
      <w:r>
        <w:rPr>
          <w:rFonts w:hint="eastAsia" w:ascii="宋体" w:hAnsi="宋体"/>
          <w:b w:val="0"/>
          <w:bCs w:val="0"/>
          <w:color w:val="000000"/>
          <w:highlight w:val="none"/>
          <w:lang w:val="en-US" w:eastAsia="zh-CN"/>
        </w:rPr>
        <w:t>高的中标候选人不接受</w:t>
      </w:r>
      <w:r>
        <w:rPr>
          <w:rFonts w:hint="eastAsia" w:ascii="宋体" w:hAnsi="宋体"/>
          <w:b w:val="0"/>
          <w:bCs w:val="0"/>
          <w:color w:val="000000"/>
          <w:kern w:val="2"/>
          <w:szCs w:val="24"/>
          <w:highlight w:val="none"/>
          <w:lang w:val="en-US" w:eastAsia="zh-CN"/>
        </w:rPr>
        <w:t>含税投标总报价</w:t>
      </w:r>
      <w:r>
        <w:rPr>
          <w:rFonts w:hint="eastAsia" w:ascii="宋体" w:hAnsi="宋体"/>
          <w:b w:val="0"/>
          <w:bCs w:val="0"/>
          <w:color w:val="000000"/>
          <w:highlight w:val="none"/>
          <w:lang w:val="en-US" w:eastAsia="zh-CN"/>
        </w:rPr>
        <w:t>低的中标候选人的</w:t>
      </w:r>
      <w:r>
        <w:rPr>
          <w:rFonts w:hint="eastAsia" w:ascii="宋体" w:hAnsi="宋体"/>
          <w:b w:val="0"/>
          <w:bCs w:val="0"/>
          <w:color w:val="000000"/>
          <w:kern w:val="2"/>
          <w:szCs w:val="24"/>
          <w:highlight w:val="none"/>
          <w:lang w:val="en-US" w:eastAsia="zh-CN"/>
        </w:rPr>
        <w:t>含税投标单价</w:t>
      </w:r>
      <w:r>
        <w:rPr>
          <w:rFonts w:hint="eastAsia" w:ascii="宋体" w:hAnsi="宋体"/>
          <w:b w:val="0"/>
          <w:bCs w:val="0"/>
          <w:color w:val="000000"/>
          <w:highlight w:val="none"/>
          <w:lang w:val="en-US" w:eastAsia="zh-CN"/>
        </w:rPr>
        <w:t>为中标单价的，</w:t>
      </w:r>
      <w:r>
        <w:rPr>
          <w:rFonts w:hint="eastAsia" w:ascii="宋体" w:hAnsi="宋体"/>
          <w:b w:val="0"/>
          <w:bCs w:val="0"/>
          <w:color w:val="000000"/>
          <w:kern w:val="2"/>
          <w:szCs w:val="24"/>
          <w:highlight w:val="none"/>
          <w:lang w:val="en-US" w:eastAsia="zh-CN"/>
        </w:rPr>
        <w:t>招标人有权按中标候选人排序确定其他投标人为中标候选人，也可以重新招标</w:t>
      </w:r>
      <w:r>
        <w:rPr>
          <w:rFonts w:hint="eastAsia" w:ascii="宋体" w:hAnsi="宋体"/>
          <w:color w:val="000000"/>
          <w:kern w:val="2"/>
          <w:szCs w:val="24"/>
          <w:highlight w:val="none"/>
        </w:rPr>
        <w:t>。</w:t>
      </w:r>
    </w:p>
    <w:p w14:paraId="78133394">
      <w:pPr>
        <w:spacing w:line="360" w:lineRule="auto"/>
        <w:ind w:firstLine="420" w:firstLineChars="200"/>
        <w:rPr>
          <w:rFonts w:hint="eastAsia" w:ascii="宋体" w:hAnsi="宋体"/>
          <w:color w:val="000000"/>
          <w:kern w:val="2"/>
          <w:szCs w:val="24"/>
          <w:highlight w:val="none"/>
        </w:rPr>
      </w:pPr>
      <w:r>
        <w:rPr>
          <w:rFonts w:hint="eastAsia" w:ascii="宋体" w:hAnsi="宋体"/>
          <w:color w:val="000000"/>
          <w:highlight w:val="none"/>
          <w:shd w:val="clear"/>
        </w:rPr>
        <w:t>综合得分排名第一</w:t>
      </w:r>
      <w:r>
        <w:rPr>
          <w:rFonts w:hint="eastAsia" w:ascii="宋体" w:hAnsi="宋体"/>
          <w:color w:val="000000"/>
          <w:highlight w:val="none"/>
          <w:shd w:val="clear"/>
          <w:lang w:val="en-US" w:eastAsia="zh-CN"/>
        </w:rPr>
        <w:t>的</w:t>
      </w:r>
      <w:r>
        <w:rPr>
          <w:rFonts w:hint="eastAsia" w:ascii="宋体" w:hAnsi="宋体"/>
          <w:color w:val="000000"/>
          <w:kern w:val="2"/>
          <w:szCs w:val="24"/>
          <w:highlight w:val="none"/>
          <w:lang w:val="en-US" w:eastAsia="zh-CN"/>
        </w:rPr>
        <w:t>中标</w:t>
      </w:r>
      <w:r>
        <w:rPr>
          <w:rFonts w:hint="eastAsia" w:ascii="宋体" w:hAnsi="宋体"/>
          <w:b w:val="0"/>
          <w:bCs w:val="0"/>
          <w:color w:val="000000"/>
          <w:kern w:val="2"/>
          <w:szCs w:val="24"/>
          <w:highlight w:val="none"/>
          <w:lang w:val="en-US" w:eastAsia="zh-CN"/>
        </w:rPr>
        <w:t>候选</w:t>
      </w:r>
      <w:r>
        <w:rPr>
          <w:rFonts w:hint="eastAsia" w:ascii="宋体" w:hAnsi="宋体"/>
          <w:color w:val="000000"/>
          <w:kern w:val="2"/>
          <w:szCs w:val="24"/>
          <w:highlight w:val="none"/>
          <w:lang w:val="en-US" w:eastAsia="zh-CN"/>
        </w:rPr>
        <w:t>人</w:t>
      </w:r>
      <w:r>
        <w:rPr>
          <w:rFonts w:hint="eastAsia" w:ascii="宋体" w:hAnsi="宋体"/>
          <w:color w:val="000000"/>
          <w:kern w:val="2"/>
          <w:szCs w:val="24"/>
          <w:highlight w:val="none"/>
        </w:rPr>
        <w:t>负责青秀区、良庆区、邕宁区范围内的项目供货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highlight w:val="none"/>
          <w:shd w:val="clear"/>
        </w:rPr>
        <w:t>综合得分排名第</w:t>
      </w:r>
      <w:r>
        <w:rPr>
          <w:rFonts w:hint="eastAsia" w:ascii="宋体" w:hAnsi="宋体"/>
          <w:color w:val="000000"/>
          <w:highlight w:val="none"/>
          <w:shd w:val="clear"/>
          <w:lang w:val="en-US" w:eastAsia="zh-CN"/>
        </w:rPr>
        <w:t>二的</w:t>
      </w:r>
      <w:r>
        <w:rPr>
          <w:rFonts w:hint="eastAsia" w:ascii="宋体" w:hAnsi="宋体"/>
          <w:color w:val="000000"/>
          <w:kern w:val="2"/>
          <w:szCs w:val="24"/>
          <w:highlight w:val="none"/>
          <w:lang w:val="en-US" w:eastAsia="zh-CN"/>
        </w:rPr>
        <w:t>中标</w:t>
      </w:r>
      <w:r>
        <w:rPr>
          <w:rFonts w:hint="eastAsia" w:ascii="宋体" w:hAnsi="宋体"/>
          <w:b w:val="0"/>
          <w:bCs w:val="0"/>
          <w:color w:val="000000"/>
          <w:kern w:val="2"/>
          <w:szCs w:val="24"/>
          <w:highlight w:val="none"/>
          <w:lang w:val="en-US" w:eastAsia="zh-CN"/>
        </w:rPr>
        <w:t>候选</w:t>
      </w:r>
      <w:r>
        <w:rPr>
          <w:rFonts w:hint="eastAsia" w:ascii="宋体" w:hAnsi="宋体"/>
          <w:color w:val="000000"/>
          <w:kern w:val="2"/>
          <w:szCs w:val="24"/>
          <w:highlight w:val="none"/>
          <w:lang w:val="en-US" w:eastAsia="zh-CN"/>
        </w:rPr>
        <w:t>人负责</w:t>
      </w:r>
      <w:r>
        <w:rPr>
          <w:rFonts w:hint="eastAsia" w:ascii="宋体" w:hAnsi="宋体"/>
          <w:color w:val="000000"/>
          <w:kern w:val="2"/>
          <w:szCs w:val="24"/>
          <w:highlight w:val="none"/>
        </w:rPr>
        <w:t>兴宁区、江南区、西乡塘区、武鸣区范围内的项目供货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kern w:val="2"/>
          <w:szCs w:val="24"/>
          <w:highlight w:val="none"/>
        </w:rPr>
        <w:t>。</w:t>
      </w:r>
    </w:p>
    <w:p w14:paraId="5A51C634">
      <w:pPr>
        <w:spacing w:line="360" w:lineRule="auto"/>
        <w:ind w:right="0" w:firstLine="420" w:firstLineChars="200"/>
        <w:jc w:val="left"/>
        <w:rPr>
          <w:rFonts w:hint="eastAsia" w:ascii="宋体" w:hAnsi="宋体" w:eastAsia="宋体"/>
          <w:color w:val="000000"/>
          <w:kern w:val="2"/>
          <w:szCs w:val="24"/>
          <w:highlight w:val="none"/>
          <w:lang w:eastAsia="zh-CN"/>
        </w:rPr>
      </w:pPr>
      <w:r>
        <w:rPr>
          <w:rFonts w:hint="eastAsia" w:ascii="宋体" w:hAnsi="宋体"/>
          <w:color w:val="000000"/>
          <w:kern w:val="0"/>
          <w:szCs w:val="21"/>
          <w:highlight w:val="none"/>
          <w:lang w:val="en-US" w:eastAsia="zh-CN"/>
        </w:rPr>
        <w:t>如</w:t>
      </w:r>
      <w:r>
        <w:rPr>
          <w:rFonts w:hint="eastAsia" w:ascii="宋体" w:hAnsi="宋体"/>
          <w:color w:val="000000"/>
          <w:kern w:val="0"/>
          <w:szCs w:val="21"/>
          <w:highlight w:val="none"/>
        </w:rPr>
        <w:t>排名第一</w:t>
      </w:r>
      <w:r>
        <w:rPr>
          <w:rFonts w:hint="eastAsia"/>
          <w:highlight w:val="none"/>
          <w:shd w:val="clear" w:color="auto" w:fill="FFFFFF"/>
        </w:rPr>
        <w:t>和第二</w:t>
      </w:r>
      <w:r>
        <w:rPr>
          <w:rFonts w:hint="eastAsia" w:ascii="宋体" w:hAnsi="宋体"/>
          <w:color w:val="000000"/>
          <w:kern w:val="0"/>
          <w:szCs w:val="21"/>
          <w:highlight w:val="none"/>
        </w:rPr>
        <w:t>的中标候选人放弃中标</w:t>
      </w:r>
      <w:r>
        <w:rPr>
          <w:rFonts w:hint="eastAsia" w:ascii="宋体" w:hAnsi="宋体"/>
          <w:color w:val="000000"/>
          <w:kern w:val="0"/>
          <w:szCs w:val="21"/>
          <w:highlight w:val="none"/>
          <w:lang w:eastAsia="zh-CN"/>
        </w:rPr>
        <w:t>，</w:t>
      </w:r>
      <w:r>
        <w:rPr>
          <w:rFonts w:hint="eastAsia" w:ascii="宋体" w:hAnsi="宋体"/>
          <w:strike w:val="0"/>
          <w:color w:val="000000"/>
          <w:kern w:val="0"/>
          <w:szCs w:val="21"/>
          <w:highlight w:val="none"/>
        </w:rPr>
        <w:t>中标人因不可抗力或者自身原因不能</w:t>
      </w:r>
      <w:r>
        <w:rPr>
          <w:rFonts w:hint="eastAsia" w:ascii="宋体" w:hAnsi="宋体"/>
          <w:strike w:val="0"/>
          <w:color w:val="000000"/>
          <w:kern w:val="0"/>
          <w:szCs w:val="21"/>
          <w:highlight w:val="none"/>
          <w:lang w:val="en-US" w:eastAsia="zh-CN"/>
        </w:rPr>
        <w:t>签订或</w:t>
      </w:r>
      <w:r>
        <w:rPr>
          <w:rFonts w:hint="eastAsia" w:ascii="宋体" w:hAnsi="宋体"/>
          <w:strike w:val="0"/>
          <w:color w:val="000000"/>
          <w:kern w:val="0"/>
          <w:szCs w:val="21"/>
          <w:highlight w:val="none"/>
        </w:rPr>
        <w:t>履行合同</w:t>
      </w:r>
      <w:r>
        <w:rPr>
          <w:rFonts w:hint="eastAsia" w:ascii="宋体" w:hAnsi="宋体"/>
          <w:strike w:val="0"/>
          <w:color w:val="000000"/>
          <w:kern w:val="0"/>
          <w:szCs w:val="21"/>
          <w:highlight w:val="none"/>
          <w:lang w:eastAsia="zh-CN"/>
        </w:rPr>
        <w:t>、</w:t>
      </w:r>
      <w:r>
        <w:rPr>
          <w:rFonts w:hint="eastAsia" w:ascii="宋体" w:hAnsi="宋体"/>
          <w:color w:val="000000"/>
          <w:kern w:val="0"/>
          <w:szCs w:val="21"/>
          <w:highlight w:val="none"/>
        </w:rPr>
        <w:t>或者被查实存在影响中标结果的违法行为等情形，不符合中标条件的，招标人可以按照评标委员会提出的中标候选人名单排序依次确定其他中标候选人为中标人，也可以重新招标。</w:t>
      </w:r>
    </w:p>
    <w:p w14:paraId="243664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7.1.3</w:t>
      </w:r>
      <w:r>
        <w:rPr>
          <w:rFonts w:hint="eastAsia" w:ascii="宋体" w:hAnsi="宋体"/>
          <w:color w:val="000000"/>
          <w:kern w:val="0"/>
          <w:szCs w:val="21"/>
          <w:highlight w:val="none"/>
        </w:rPr>
        <w:t>投标人应确保提供的资料真实无误，如有弄虚作假的情况，一经查实，取消投标资格，已经中标的取消中标资格。</w:t>
      </w:r>
    </w:p>
    <w:p w14:paraId="4AE5F66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7.1.4</w:t>
      </w:r>
      <w:r>
        <w:rPr>
          <w:rFonts w:hint="eastAsia" w:ascii="宋体" w:hAnsi="宋体"/>
          <w:color w:val="000000"/>
          <w:kern w:val="0"/>
          <w:szCs w:val="21"/>
          <w:highlight w:val="none"/>
        </w:rPr>
        <w:t>评标委员会评审结束后，招标人经审查发现评标过程中有明显错误，可以组织原评标委员会进行复评。</w:t>
      </w:r>
    </w:p>
    <w:p w14:paraId="3BF7A836">
      <w:pPr>
        <w:keepNext/>
        <w:keepLines/>
        <w:spacing w:line="360" w:lineRule="auto"/>
        <w:outlineLvl w:val="3"/>
        <w:rPr>
          <w:rFonts w:ascii="宋体" w:hAnsi="宋体"/>
          <w:b/>
          <w:bCs/>
          <w:color w:val="000000"/>
          <w:szCs w:val="21"/>
          <w:highlight w:val="none"/>
        </w:rPr>
      </w:pPr>
      <w:bookmarkStart w:id="213" w:name="_Toc389065186"/>
      <w:bookmarkStart w:id="214" w:name="_Toc6694"/>
      <w:r>
        <w:rPr>
          <w:rFonts w:ascii="宋体" w:hAnsi="宋体"/>
          <w:b/>
          <w:bCs/>
          <w:color w:val="000000"/>
          <w:szCs w:val="21"/>
          <w:highlight w:val="none"/>
        </w:rPr>
        <w:t>7.2 中标通知</w:t>
      </w:r>
      <w:bookmarkEnd w:id="213"/>
      <w:r>
        <w:rPr>
          <w:rFonts w:hint="eastAsia" w:ascii="宋体" w:hAnsi="宋体"/>
          <w:b/>
          <w:bCs/>
          <w:color w:val="000000"/>
          <w:szCs w:val="21"/>
          <w:highlight w:val="none"/>
        </w:rPr>
        <w:t>及中标公告</w:t>
      </w:r>
      <w:bookmarkEnd w:id="214"/>
    </w:p>
    <w:p w14:paraId="7DE6763A">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.2.1</w:t>
      </w:r>
      <w:r>
        <w:rPr>
          <w:rFonts w:hint="eastAsia" w:ascii="宋体" w:hAnsi="宋体"/>
          <w:color w:val="000000"/>
          <w:kern w:val="0"/>
          <w:szCs w:val="21"/>
          <w:highlight w:val="none"/>
        </w:rPr>
        <w:t>招标人按规定在网站上发布中标候选人公示和中标公告，</w:t>
      </w:r>
      <w:r>
        <w:rPr>
          <w:rFonts w:ascii="宋体" w:hAnsi="宋体"/>
          <w:color w:val="000000"/>
          <w:kern w:val="0"/>
          <w:szCs w:val="21"/>
          <w:highlight w:val="none"/>
        </w:rPr>
        <w:t>发布之日起，视为</w:t>
      </w:r>
      <w:r>
        <w:rPr>
          <w:rFonts w:hint="eastAsia" w:ascii="宋体" w:hAnsi="宋体"/>
          <w:color w:val="000000"/>
          <w:kern w:val="0"/>
          <w:szCs w:val="21"/>
          <w:highlight w:val="none"/>
        </w:rPr>
        <w:t>所有</w:t>
      </w:r>
      <w:r>
        <w:rPr>
          <w:rFonts w:ascii="宋体" w:hAnsi="宋体"/>
          <w:color w:val="000000"/>
          <w:kern w:val="0"/>
          <w:szCs w:val="21"/>
          <w:highlight w:val="none"/>
        </w:rPr>
        <w:t>投标人已收到该</w:t>
      </w:r>
      <w:r>
        <w:rPr>
          <w:rFonts w:hint="eastAsia" w:ascii="宋体" w:hAnsi="宋体"/>
          <w:color w:val="000000"/>
          <w:kern w:val="0"/>
          <w:szCs w:val="21"/>
          <w:highlight w:val="none"/>
        </w:rPr>
        <w:t>中标结果。</w:t>
      </w:r>
    </w:p>
    <w:p w14:paraId="5A40902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7.2.2</w:t>
      </w:r>
      <w:r>
        <w:rPr>
          <w:rFonts w:hint="eastAsia" w:ascii="宋体" w:hAnsi="宋体"/>
          <w:color w:val="000000"/>
          <w:kern w:val="0"/>
          <w:szCs w:val="21"/>
          <w:highlight w:val="none"/>
        </w:rPr>
        <w:t>对未中标者，招标人及招标代理机构不对未中标原因做出解释，同时亦不退还投标文件。</w:t>
      </w:r>
    </w:p>
    <w:p w14:paraId="3ABD6C82">
      <w:pPr>
        <w:keepNext/>
        <w:keepLines/>
        <w:spacing w:line="360" w:lineRule="auto"/>
        <w:outlineLvl w:val="3"/>
        <w:rPr>
          <w:rFonts w:ascii="宋体" w:hAnsi="宋体"/>
          <w:b/>
          <w:bCs/>
          <w:color w:val="000000"/>
          <w:szCs w:val="21"/>
          <w:highlight w:val="none"/>
        </w:rPr>
      </w:pPr>
      <w:bookmarkStart w:id="215" w:name="_Toc389065187"/>
      <w:bookmarkStart w:id="216" w:name="_Toc16198"/>
      <w:r>
        <w:rPr>
          <w:rFonts w:ascii="宋体" w:hAnsi="宋体"/>
          <w:b/>
          <w:bCs/>
          <w:color w:val="000000"/>
          <w:szCs w:val="21"/>
          <w:highlight w:val="none"/>
        </w:rPr>
        <w:t>7.3 履约</w:t>
      </w:r>
      <w:bookmarkEnd w:id="215"/>
      <w:r>
        <w:rPr>
          <w:rFonts w:hint="eastAsia" w:ascii="宋体" w:hAnsi="宋体"/>
          <w:b/>
          <w:bCs/>
          <w:color w:val="000000"/>
          <w:szCs w:val="21"/>
          <w:highlight w:val="none"/>
        </w:rPr>
        <w:t>保证金</w:t>
      </w:r>
      <w:bookmarkEnd w:id="216"/>
    </w:p>
    <w:p w14:paraId="60B7812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7.3.1</w:t>
      </w:r>
      <w:r>
        <w:rPr>
          <w:rFonts w:hint="eastAsia" w:ascii="宋体" w:hAnsi="宋体"/>
          <w:color w:val="000000"/>
          <w:kern w:val="0"/>
          <w:szCs w:val="21"/>
          <w:highlight w:val="none"/>
          <w:lang w:val="en-US" w:eastAsia="zh-CN"/>
        </w:rPr>
        <w:t>本项目无需递交</w:t>
      </w:r>
      <w:r>
        <w:rPr>
          <w:rFonts w:ascii="宋体" w:hAnsi="宋体"/>
          <w:color w:val="000000"/>
          <w:kern w:val="0"/>
          <w:szCs w:val="21"/>
          <w:highlight w:val="none"/>
        </w:rPr>
        <w:t>履约</w:t>
      </w:r>
      <w:r>
        <w:rPr>
          <w:rFonts w:hint="eastAsia" w:ascii="宋体" w:hAnsi="宋体"/>
          <w:color w:val="000000"/>
          <w:kern w:val="0"/>
          <w:szCs w:val="21"/>
          <w:highlight w:val="none"/>
        </w:rPr>
        <w:t>保证金</w:t>
      </w:r>
      <w:r>
        <w:rPr>
          <w:rFonts w:ascii="宋体" w:hAnsi="宋体"/>
          <w:color w:val="000000"/>
          <w:kern w:val="0"/>
          <w:szCs w:val="21"/>
          <w:highlight w:val="none"/>
        </w:rPr>
        <w:t>。</w:t>
      </w:r>
    </w:p>
    <w:p w14:paraId="173CB432">
      <w:pPr>
        <w:keepNext/>
        <w:keepLines/>
        <w:spacing w:line="360" w:lineRule="auto"/>
        <w:outlineLvl w:val="3"/>
        <w:rPr>
          <w:rFonts w:ascii="宋体" w:hAnsi="宋体"/>
          <w:b/>
          <w:bCs/>
          <w:color w:val="000000"/>
          <w:szCs w:val="21"/>
          <w:highlight w:val="none"/>
        </w:rPr>
      </w:pPr>
      <w:bookmarkStart w:id="217" w:name="_Toc18752"/>
      <w:bookmarkStart w:id="218" w:name="_Toc389065188"/>
      <w:r>
        <w:rPr>
          <w:rFonts w:ascii="宋体" w:hAnsi="宋体"/>
          <w:b/>
          <w:bCs/>
          <w:color w:val="000000"/>
          <w:szCs w:val="21"/>
          <w:highlight w:val="none"/>
        </w:rPr>
        <w:t>7.4 签订合同</w:t>
      </w:r>
      <w:bookmarkEnd w:id="217"/>
      <w:bookmarkEnd w:id="218"/>
    </w:p>
    <w:p w14:paraId="5C3DDC8B">
      <w:pPr>
        <w:spacing w:line="360" w:lineRule="auto"/>
        <w:ind w:firstLine="420" w:firstLineChars="200"/>
        <w:rPr>
          <w:rFonts w:hint="eastAsia"/>
          <w:highlight w:val="none"/>
          <w:shd w:val="clear" w:color="auto" w:fill="FFFFFF"/>
          <w:lang w:eastAsia="zh-CN"/>
        </w:rPr>
      </w:pPr>
      <w:bookmarkStart w:id="219" w:name="_Toc9393"/>
      <w:bookmarkStart w:id="220" w:name="_Toc389065189"/>
      <w:r>
        <w:rPr>
          <w:rFonts w:hint="eastAsia" w:ascii="宋体" w:hAnsi="宋体"/>
          <w:color w:val="000000"/>
          <w:kern w:val="0"/>
          <w:szCs w:val="21"/>
          <w:highlight w:val="none"/>
          <w:lang w:val="en-US" w:eastAsia="zh-CN"/>
        </w:rPr>
        <w:t>中标</w:t>
      </w:r>
      <w:r>
        <w:rPr>
          <w:rFonts w:hint="eastAsia"/>
          <w:highlight w:val="none"/>
          <w:shd w:val="clear" w:color="auto" w:fill="FFFFFF"/>
        </w:rPr>
        <w:t>合同将授予被确定实质上</w:t>
      </w:r>
      <w:r>
        <w:rPr>
          <w:rFonts w:hint="eastAsia"/>
          <w:highlight w:val="none"/>
          <w:shd w:val="clear" w:color="auto" w:fill="FFFFFF"/>
          <w:lang w:val="en-US" w:eastAsia="zh-CN"/>
        </w:rPr>
        <w:t>响应</w:t>
      </w:r>
      <w:r>
        <w:rPr>
          <w:rFonts w:hint="eastAsia"/>
          <w:highlight w:val="none"/>
          <w:shd w:val="clear" w:color="auto" w:fill="FFFFFF"/>
        </w:rPr>
        <w:t>招标文件要求，具备履行合同能力，综合得分排名第一和第二的投标人。</w:t>
      </w:r>
      <w:r>
        <w:rPr>
          <w:rFonts w:hint="eastAsia"/>
          <w:highlight w:val="none"/>
          <w:shd w:val="clear" w:color="auto" w:fill="FFFFFF"/>
          <w:lang w:eastAsia="zh-CN"/>
        </w:rPr>
        <w:t>（</w:t>
      </w:r>
      <w:r>
        <w:rPr>
          <w:rFonts w:hint="eastAsia"/>
          <w:highlight w:val="none"/>
          <w:shd w:val="clear" w:color="auto" w:fill="FFFFFF"/>
          <w:lang w:val="en-US" w:eastAsia="zh-CN"/>
        </w:rPr>
        <w:t>详见投标人须知正文部分7.1定标条款</w:t>
      </w:r>
      <w:r>
        <w:rPr>
          <w:rFonts w:hint="eastAsia"/>
          <w:highlight w:val="none"/>
          <w:shd w:val="clear" w:color="auto" w:fill="FFFFFF"/>
          <w:lang w:eastAsia="zh-CN"/>
        </w:rPr>
        <w:t>）</w:t>
      </w:r>
    </w:p>
    <w:p w14:paraId="61A2574B">
      <w:pPr>
        <w:spacing w:line="360" w:lineRule="auto"/>
        <w:ind w:firstLine="420" w:firstLineChars="200"/>
        <w:rPr>
          <w:rFonts w:ascii="宋体" w:hAnsi="宋体"/>
          <w:color w:val="000000"/>
          <w:kern w:val="0"/>
          <w:szCs w:val="21"/>
          <w:highlight w:val="none"/>
        </w:rPr>
      </w:pPr>
      <w:r>
        <w:rPr>
          <w:rFonts w:hint="eastAsia" w:ascii="宋体" w:hAnsi="宋体"/>
          <w:color w:val="000000"/>
          <w:kern w:val="2"/>
          <w:szCs w:val="24"/>
          <w:highlight w:val="none"/>
        </w:rPr>
        <w:t>招标人将从2名中标人中选择</w:t>
      </w:r>
      <w:r>
        <w:rPr>
          <w:rFonts w:hint="eastAsia" w:ascii="宋体" w:hAnsi="宋体"/>
          <w:b w:val="0"/>
          <w:bCs w:val="0"/>
          <w:color w:val="000000"/>
          <w:kern w:val="2"/>
          <w:szCs w:val="24"/>
          <w:highlight w:val="none"/>
          <w:lang w:eastAsia="zh-CN"/>
        </w:rPr>
        <w:t>含税</w:t>
      </w:r>
      <w:r>
        <w:rPr>
          <w:rFonts w:hint="eastAsia" w:ascii="宋体" w:hAnsi="宋体"/>
          <w:b w:val="0"/>
          <w:bCs w:val="0"/>
          <w:color w:val="000000"/>
          <w:kern w:val="2"/>
          <w:szCs w:val="24"/>
          <w:highlight w:val="none"/>
        </w:rPr>
        <w:t>投标</w:t>
      </w:r>
      <w:r>
        <w:rPr>
          <w:rFonts w:hint="eastAsia" w:ascii="宋体" w:hAnsi="宋体"/>
          <w:b w:val="0"/>
          <w:bCs w:val="0"/>
          <w:color w:val="000000"/>
          <w:kern w:val="2"/>
          <w:szCs w:val="24"/>
          <w:highlight w:val="none"/>
          <w:lang w:eastAsia="zh-CN"/>
        </w:rPr>
        <w:t>总</w:t>
      </w:r>
      <w:r>
        <w:rPr>
          <w:rFonts w:hint="eastAsia" w:ascii="宋体" w:hAnsi="宋体"/>
          <w:b w:val="0"/>
          <w:bCs w:val="0"/>
          <w:color w:val="000000"/>
          <w:kern w:val="2"/>
          <w:szCs w:val="24"/>
          <w:highlight w:val="none"/>
        </w:rPr>
        <w:t>报价较低的</w:t>
      </w:r>
      <w:r>
        <w:rPr>
          <w:rFonts w:hint="eastAsia" w:ascii="宋体" w:hAnsi="宋体"/>
          <w:b w:val="0"/>
          <w:bCs w:val="0"/>
          <w:color w:val="000000"/>
          <w:kern w:val="2"/>
          <w:szCs w:val="24"/>
          <w:highlight w:val="none"/>
          <w:lang w:eastAsia="zh-CN"/>
        </w:rPr>
        <w:t>中标人的</w:t>
      </w:r>
      <w:r>
        <w:rPr>
          <w:rFonts w:hint="eastAsia" w:ascii="宋体" w:hAnsi="宋体"/>
          <w:b w:val="0"/>
          <w:bCs w:val="0"/>
          <w:color w:val="000000"/>
          <w:kern w:val="2"/>
          <w:szCs w:val="24"/>
          <w:highlight w:val="none"/>
          <w:lang w:val="en-US" w:eastAsia="zh-CN"/>
        </w:rPr>
        <w:t>含税</w:t>
      </w:r>
      <w:r>
        <w:rPr>
          <w:rFonts w:hint="eastAsia" w:ascii="宋体" w:hAnsi="宋体"/>
          <w:b w:val="0"/>
          <w:bCs w:val="0"/>
          <w:color w:val="000000"/>
          <w:kern w:val="2"/>
          <w:szCs w:val="24"/>
          <w:highlight w:val="none"/>
          <w:lang w:eastAsia="zh-CN"/>
        </w:rPr>
        <w:t>单价作为合同签订单价，</w:t>
      </w:r>
      <w:r>
        <w:rPr>
          <w:rFonts w:hint="eastAsia" w:ascii="宋体" w:hAnsi="宋体"/>
          <w:b w:val="0"/>
          <w:bCs w:val="0"/>
          <w:color w:val="000000"/>
          <w:kern w:val="2"/>
          <w:szCs w:val="24"/>
          <w:highlight w:val="none"/>
        </w:rPr>
        <w:t>每个中标人的合同签订金额应为</w:t>
      </w:r>
      <w:r>
        <w:rPr>
          <w:rFonts w:hint="eastAsia" w:ascii="宋体" w:hAnsi="宋体"/>
          <w:b w:val="0"/>
          <w:bCs w:val="0"/>
          <w:color w:val="000000"/>
          <w:kern w:val="2"/>
          <w:szCs w:val="24"/>
          <w:highlight w:val="none"/>
          <w:lang w:eastAsia="zh-CN"/>
        </w:rPr>
        <w:t>合同</w:t>
      </w:r>
      <w:r>
        <w:rPr>
          <w:rFonts w:hint="eastAsia" w:ascii="宋体" w:hAnsi="宋体"/>
          <w:b w:val="0"/>
          <w:bCs w:val="0"/>
          <w:color w:val="000000"/>
          <w:kern w:val="2"/>
          <w:szCs w:val="24"/>
          <w:highlight w:val="none"/>
          <w:lang w:val="en-US" w:eastAsia="zh-CN"/>
        </w:rPr>
        <w:t>签订</w:t>
      </w:r>
      <w:r>
        <w:rPr>
          <w:rFonts w:hint="eastAsia" w:ascii="宋体" w:hAnsi="宋体"/>
          <w:b w:val="0"/>
          <w:bCs w:val="0"/>
          <w:color w:val="000000"/>
          <w:kern w:val="2"/>
          <w:szCs w:val="24"/>
          <w:highlight w:val="none"/>
        </w:rPr>
        <w:t>单价乘以所负责区域的项目供货对应的工程量（即为本项目招标总工程量的50%）</w:t>
      </w:r>
      <w:r>
        <w:rPr>
          <w:rFonts w:hint="eastAsia" w:ascii="宋体" w:hAnsi="宋体"/>
          <w:b w:val="0"/>
          <w:bCs w:val="0"/>
          <w:color w:val="000000"/>
          <w:kern w:val="2"/>
          <w:szCs w:val="24"/>
          <w:highlight w:val="none"/>
          <w:lang w:val="en-US" w:eastAsia="zh-CN"/>
        </w:rPr>
        <w:t>。</w:t>
      </w:r>
    </w:p>
    <w:p w14:paraId="6543B950">
      <w:pPr>
        <w:spacing w:line="360" w:lineRule="auto"/>
        <w:ind w:right="0" w:firstLine="420" w:firstLineChars="200"/>
        <w:jc w:val="left"/>
        <w:rPr>
          <w:rFonts w:hint="eastAsia" w:ascii="宋体" w:hAnsi="宋体"/>
          <w:color w:val="000000"/>
          <w:highlight w:val="none"/>
          <w:shd w:val="clear"/>
          <w:lang w:eastAsia="zh-CN"/>
        </w:rPr>
      </w:pPr>
      <w:r>
        <w:rPr>
          <w:rFonts w:ascii="宋体" w:hAnsi="宋体"/>
          <w:color w:val="000000"/>
          <w:kern w:val="0"/>
          <w:szCs w:val="21"/>
          <w:highlight w:val="none"/>
        </w:rPr>
        <w:t>招标人和中标人应当在投标有效期内以及中标通知书发出之日起30天内，根据招标文件和中标人的投标文件订立书面合同。中标人无正当理由拒签合同的，招标人取消其中标资格；给招标人造成损失的，中标人还应当予以赔偿。中标人因不可抗力或者自身原因不能履行招标采购合同的，招标人可以按照评标委员会提出的中标候选人名单排序依次确定其他中标候选人为中标人，也可以重新招标。</w:t>
      </w:r>
    </w:p>
    <w:p w14:paraId="2E3B9DC5">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8</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重新招标和不再招标</w:t>
      </w:r>
      <w:bookmarkEnd w:id="219"/>
      <w:bookmarkEnd w:id="220"/>
    </w:p>
    <w:p w14:paraId="3BEFB8A4">
      <w:pPr>
        <w:keepNext/>
        <w:keepLines/>
        <w:spacing w:line="360" w:lineRule="auto"/>
        <w:outlineLvl w:val="3"/>
        <w:rPr>
          <w:rFonts w:ascii="宋体" w:hAnsi="宋体"/>
          <w:b/>
          <w:bCs/>
          <w:color w:val="000000"/>
          <w:szCs w:val="21"/>
          <w:highlight w:val="none"/>
        </w:rPr>
      </w:pPr>
      <w:bookmarkStart w:id="221" w:name="_Toc389065190"/>
      <w:bookmarkStart w:id="222" w:name="_Toc13807"/>
      <w:r>
        <w:rPr>
          <w:rFonts w:ascii="宋体" w:hAnsi="宋体"/>
          <w:b/>
          <w:bCs/>
          <w:color w:val="000000"/>
          <w:szCs w:val="21"/>
          <w:highlight w:val="none"/>
        </w:rPr>
        <w:t>8.1 重新招标</w:t>
      </w:r>
      <w:bookmarkEnd w:id="221"/>
      <w:bookmarkEnd w:id="222"/>
    </w:p>
    <w:p w14:paraId="6B5156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有下列情形之一的，招标人将重新招标：</w:t>
      </w:r>
    </w:p>
    <w:p w14:paraId="41D5106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（1）投标截止时，投标人少于3个的；</w:t>
      </w:r>
    </w:p>
    <w:p w14:paraId="632056C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（2）经评标委员会评审后否决所有投标的；</w:t>
      </w:r>
    </w:p>
    <w:p w14:paraId="70F0AE84">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hint="eastAsia" w:ascii="宋体" w:hAnsi="宋体"/>
          <w:color w:val="000000"/>
          <w:kern w:val="0"/>
          <w:szCs w:val="21"/>
          <w:highlight w:val="none"/>
          <w:lang w:val="en-US" w:eastAsia="zh-CN"/>
        </w:rPr>
        <w:t>3</w:t>
      </w:r>
      <w:r>
        <w:rPr>
          <w:rFonts w:hint="eastAsia" w:ascii="宋体" w:hAnsi="宋体"/>
          <w:color w:val="000000"/>
          <w:kern w:val="0"/>
          <w:szCs w:val="21"/>
          <w:highlight w:val="none"/>
        </w:rPr>
        <w:t>）评标委员会否决不合格投标或者界定为无效后，因有效投标不足三个使得投标明显缺乏竞争性的（当有效投标不足三个，但仍有两个有效时，评标委员会认为剩余的投标文件仍具有竞争性的，应继续评审）；</w:t>
      </w:r>
    </w:p>
    <w:p w14:paraId="72244A65">
      <w:pPr>
        <w:spacing w:line="360" w:lineRule="auto"/>
        <w:ind w:firstLine="420" w:firstLineChars="200"/>
        <w:rPr>
          <w:rFonts w:hint="eastAsia" w:ascii="宋体" w:hAnsi="宋体"/>
          <w:color w:val="000000"/>
          <w:kern w:val="0"/>
          <w:szCs w:val="21"/>
          <w:highlight w:val="none"/>
          <w:lang w:eastAsia="zh-CN"/>
        </w:rPr>
      </w:pPr>
      <w:r>
        <w:rPr>
          <w:rFonts w:ascii="宋体" w:hAnsi="宋体"/>
          <w:color w:val="000000"/>
          <w:kern w:val="0"/>
          <w:szCs w:val="21"/>
          <w:highlight w:val="none"/>
        </w:rPr>
        <w:t>（</w:t>
      </w:r>
      <w:r>
        <w:rPr>
          <w:rFonts w:hint="eastAsia" w:ascii="宋体" w:hAnsi="宋体"/>
          <w:color w:val="000000"/>
          <w:kern w:val="0"/>
          <w:szCs w:val="21"/>
          <w:highlight w:val="none"/>
          <w:lang w:val="en-US" w:eastAsia="zh-CN"/>
        </w:rPr>
        <w:t>4）</w:t>
      </w:r>
      <w:r>
        <w:rPr>
          <w:rFonts w:hint="eastAsia" w:ascii="宋体" w:hAnsi="宋体"/>
          <w:b w:val="0"/>
          <w:bCs w:val="0"/>
          <w:color w:val="000000"/>
          <w:kern w:val="2"/>
          <w:szCs w:val="24"/>
          <w:highlight w:val="none"/>
          <w:lang w:val="en-US" w:eastAsia="zh-CN"/>
        </w:rPr>
        <w:t>前两名中标候选人中，含税投标总报价高的一名中标候选人必须承诺接受另一名含税投标总报价低的中标候选人的含税投标单价</w:t>
      </w:r>
      <w:r>
        <w:rPr>
          <w:rFonts w:hint="eastAsia" w:ascii="宋体" w:hAnsi="宋体"/>
          <w:b w:val="0"/>
          <w:bCs w:val="0"/>
          <w:color w:val="000000"/>
          <w:highlight w:val="none"/>
          <w:lang w:val="en-US" w:eastAsia="zh-CN"/>
        </w:rPr>
        <w:t>为中标单价</w:t>
      </w:r>
      <w:r>
        <w:rPr>
          <w:rFonts w:hint="eastAsia" w:ascii="宋体" w:hAnsi="宋体"/>
          <w:color w:val="000000"/>
          <w:kern w:val="2"/>
          <w:szCs w:val="24"/>
          <w:highlight w:val="none"/>
          <w:lang w:val="en-US" w:eastAsia="zh-CN"/>
        </w:rPr>
        <w:t>，</w:t>
      </w:r>
      <w:r>
        <w:rPr>
          <w:rFonts w:hint="eastAsia" w:ascii="宋体" w:hAnsi="宋体"/>
          <w:b w:val="0"/>
          <w:bCs w:val="0"/>
          <w:color w:val="000000"/>
          <w:kern w:val="2"/>
          <w:szCs w:val="24"/>
          <w:highlight w:val="none"/>
          <w:lang w:val="en-US" w:eastAsia="zh-CN"/>
        </w:rPr>
        <w:t>含税投标总报价</w:t>
      </w:r>
      <w:r>
        <w:rPr>
          <w:rFonts w:hint="eastAsia" w:ascii="宋体" w:hAnsi="宋体"/>
          <w:b w:val="0"/>
          <w:bCs w:val="0"/>
          <w:color w:val="000000"/>
          <w:highlight w:val="none"/>
          <w:lang w:val="en-US" w:eastAsia="zh-CN"/>
        </w:rPr>
        <w:t>高的中标候选人不接受</w:t>
      </w:r>
      <w:r>
        <w:rPr>
          <w:rFonts w:hint="eastAsia" w:ascii="宋体" w:hAnsi="宋体"/>
          <w:b w:val="0"/>
          <w:bCs w:val="0"/>
          <w:color w:val="000000"/>
          <w:kern w:val="2"/>
          <w:szCs w:val="24"/>
          <w:highlight w:val="none"/>
          <w:lang w:val="en-US" w:eastAsia="zh-CN"/>
        </w:rPr>
        <w:t>含税投标总报价</w:t>
      </w:r>
      <w:r>
        <w:rPr>
          <w:rFonts w:hint="eastAsia" w:ascii="宋体" w:hAnsi="宋体"/>
          <w:b w:val="0"/>
          <w:bCs w:val="0"/>
          <w:color w:val="000000"/>
          <w:highlight w:val="none"/>
          <w:lang w:val="en-US" w:eastAsia="zh-CN"/>
        </w:rPr>
        <w:t>低的中标候选人的</w:t>
      </w:r>
      <w:r>
        <w:rPr>
          <w:rFonts w:hint="eastAsia" w:ascii="宋体" w:hAnsi="宋体"/>
          <w:b w:val="0"/>
          <w:bCs w:val="0"/>
          <w:color w:val="000000"/>
          <w:kern w:val="2"/>
          <w:szCs w:val="24"/>
          <w:highlight w:val="none"/>
          <w:lang w:val="en-US" w:eastAsia="zh-CN"/>
        </w:rPr>
        <w:t>含税投标单价</w:t>
      </w:r>
      <w:r>
        <w:rPr>
          <w:rFonts w:hint="eastAsia" w:ascii="宋体" w:hAnsi="宋体"/>
          <w:b w:val="0"/>
          <w:bCs w:val="0"/>
          <w:color w:val="000000"/>
          <w:highlight w:val="none"/>
          <w:lang w:val="en-US" w:eastAsia="zh-CN"/>
        </w:rPr>
        <w:t>为中标单价的；</w:t>
      </w:r>
    </w:p>
    <w:p w14:paraId="144D8B7C">
      <w:pPr>
        <w:spacing w:line="360" w:lineRule="auto"/>
        <w:ind w:firstLine="420" w:firstLineChars="200"/>
        <w:rPr>
          <w:rFonts w:hint="eastAsia" w:ascii="宋体" w:hAnsi="宋体"/>
          <w:color w:val="000000"/>
          <w:kern w:val="0"/>
          <w:szCs w:val="21"/>
          <w:highlight w:val="none"/>
          <w:lang w:eastAsia="zh-CN"/>
        </w:rPr>
      </w:pPr>
      <w:r>
        <w:rPr>
          <w:rFonts w:hint="eastAsia" w:ascii="宋体" w:hAnsi="宋体"/>
          <w:color w:val="000000"/>
          <w:kern w:val="0"/>
          <w:szCs w:val="21"/>
          <w:highlight w:val="none"/>
          <w:lang w:eastAsia="zh-CN"/>
        </w:rPr>
        <w:t>（</w:t>
      </w:r>
      <w:r>
        <w:rPr>
          <w:rFonts w:hint="eastAsia" w:ascii="宋体" w:hAnsi="宋体"/>
          <w:color w:val="000000"/>
          <w:kern w:val="0"/>
          <w:szCs w:val="21"/>
          <w:highlight w:val="none"/>
          <w:lang w:val="en-US" w:eastAsia="zh-CN"/>
        </w:rPr>
        <w:t>5）</w:t>
      </w:r>
      <w:r>
        <w:rPr>
          <w:rFonts w:ascii="宋体" w:hAnsi="宋体"/>
          <w:color w:val="000000"/>
          <w:kern w:val="0"/>
          <w:szCs w:val="21"/>
          <w:highlight w:val="none"/>
        </w:rPr>
        <w:t>中标人因不可抗力或者自身原因不能履行招标采购合同的</w:t>
      </w:r>
      <w:r>
        <w:rPr>
          <w:rFonts w:hint="eastAsia" w:ascii="宋体" w:hAnsi="宋体"/>
          <w:color w:val="000000"/>
          <w:kern w:val="0"/>
          <w:szCs w:val="21"/>
          <w:highlight w:val="none"/>
          <w:lang w:eastAsia="zh-CN"/>
        </w:rPr>
        <w:t>；</w:t>
      </w:r>
    </w:p>
    <w:p w14:paraId="1FF26CAC">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hint="eastAsia" w:ascii="宋体" w:hAnsi="宋体"/>
          <w:color w:val="000000"/>
          <w:kern w:val="0"/>
          <w:szCs w:val="21"/>
          <w:highlight w:val="none"/>
          <w:lang w:val="en-US" w:eastAsia="zh-CN"/>
        </w:rPr>
        <w:t>6</w:t>
      </w:r>
      <w:r>
        <w:rPr>
          <w:rFonts w:hint="eastAsia" w:ascii="宋体" w:hAnsi="宋体"/>
          <w:color w:val="000000"/>
          <w:kern w:val="0"/>
          <w:szCs w:val="21"/>
          <w:highlight w:val="none"/>
        </w:rPr>
        <w:t>）根据本须知第3</w:t>
      </w:r>
      <w:r>
        <w:rPr>
          <w:rFonts w:ascii="宋体" w:hAnsi="宋体"/>
          <w:color w:val="000000"/>
          <w:kern w:val="0"/>
          <w:szCs w:val="21"/>
          <w:highlight w:val="none"/>
        </w:rPr>
        <w:t>.3.2</w:t>
      </w:r>
      <w:r>
        <w:rPr>
          <w:rFonts w:hint="eastAsia" w:ascii="宋体" w:hAnsi="宋体"/>
          <w:color w:val="000000"/>
          <w:kern w:val="0"/>
          <w:szCs w:val="21"/>
          <w:highlight w:val="none"/>
        </w:rPr>
        <w:t>款规定，所有中标候选人均不同意在投标有效期内延长投标有效期的。</w:t>
      </w:r>
    </w:p>
    <w:p w14:paraId="0E6A50F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hint="eastAsia" w:ascii="宋体" w:hAnsi="宋体"/>
          <w:color w:val="000000"/>
          <w:kern w:val="0"/>
          <w:szCs w:val="21"/>
          <w:highlight w:val="none"/>
          <w:lang w:val="en-US" w:eastAsia="zh-CN"/>
        </w:rPr>
        <w:t>7</w:t>
      </w:r>
      <w:r>
        <w:rPr>
          <w:rFonts w:hint="eastAsia" w:ascii="宋体" w:hAnsi="宋体"/>
          <w:color w:val="000000"/>
          <w:kern w:val="0"/>
          <w:szCs w:val="21"/>
          <w:highlight w:val="none"/>
        </w:rPr>
        <w:t>）招标文件、</w:t>
      </w:r>
      <w:r>
        <w:rPr>
          <w:rFonts w:ascii="宋体" w:hAnsi="宋体"/>
          <w:color w:val="000000"/>
          <w:kern w:val="0"/>
          <w:szCs w:val="21"/>
          <w:highlight w:val="none"/>
        </w:rPr>
        <w:t>有关法规和文件规定的重新招标的情形。</w:t>
      </w:r>
    </w:p>
    <w:p w14:paraId="3B82A674">
      <w:pPr>
        <w:keepNext/>
        <w:keepLines/>
        <w:spacing w:line="360" w:lineRule="auto"/>
        <w:outlineLvl w:val="3"/>
        <w:rPr>
          <w:rFonts w:ascii="宋体" w:hAnsi="宋体"/>
          <w:b/>
          <w:bCs/>
          <w:color w:val="000000"/>
          <w:szCs w:val="21"/>
          <w:highlight w:val="none"/>
        </w:rPr>
      </w:pPr>
      <w:bookmarkStart w:id="223" w:name="_Toc10357"/>
      <w:bookmarkStart w:id="224" w:name="_Toc389065191"/>
      <w:r>
        <w:rPr>
          <w:rFonts w:ascii="宋体" w:hAnsi="宋体"/>
          <w:b/>
          <w:bCs/>
          <w:color w:val="000000"/>
          <w:szCs w:val="21"/>
          <w:highlight w:val="none"/>
        </w:rPr>
        <w:t>8.2 不再招标</w:t>
      </w:r>
      <w:bookmarkEnd w:id="223"/>
      <w:bookmarkEnd w:id="224"/>
    </w:p>
    <w:p w14:paraId="77D0115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项目招标经两次发布信息后，仍出现本章8.1（1）或（2）或（3）情况的，招标人可不再进行招标</w:t>
      </w:r>
      <w:r>
        <w:rPr>
          <w:rFonts w:ascii="宋体" w:hAnsi="宋体"/>
          <w:color w:val="000000"/>
          <w:kern w:val="0"/>
          <w:szCs w:val="21"/>
          <w:highlight w:val="none"/>
        </w:rPr>
        <w:t>。</w:t>
      </w:r>
      <w:bookmarkStart w:id="225" w:name="_Toc389065192"/>
    </w:p>
    <w:p w14:paraId="55A303BA">
      <w:pPr>
        <w:keepNext/>
        <w:keepLines/>
        <w:spacing w:before="240" w:beforeLines="100" w:line="360" w:lineRule="auto"/>
        <w:outlineLvl w:val="2"/>
        <w:rPr>
          <w:rFonts w:ascii="黑体" w:hAnsi="黑体" w:eastAsia="黑体"/>
          <w:b/>
          <w:bCs/>
          <w:color w:val="000000"/>
          <w:sz w:val="24"/>
          <w:szCs w:val="21"/>
          <w:highlight w:val="none"/>
        </w:rPr>
      </w:pPr>
      <w:bookmarkStart w:id="226" w:name="_Toc27472"/>
      <w:r>
        <w:rPr>
          <w:rFonts w:ascii="黑体" w:hAnsi="黑体" w:eastAsia="黑体"/>
          <w:b/>
          <w:bCs/>
          <w:color w:val="000000"/>
          <w:sz w:val="24"/>
          <w:szCs w:val="21"/>
          <w:highlight w:val="none"/>
        </w:rPr>
        <w:t>9</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纪律和监督</w:t>
      </w:r>
      <w:bookmarkEnd w:id="225"/>
      <w:bookmarkEnd w:id="226"/>
    </w:p>
    <w:p w14:paraId="16803E76">
      <w:pPr>
        <w:keepNext/>
        <w:keepLines/>
        <w:spacing w:line="360" w:lineRule="auto"/>
        <w:outlineLvl w:val="3"/>
        <w:rPr>
          <w:rFonts w:ascii="宋体" w:hAnsi="宋体"/>
          <w:b/>
          <w:bCs/>
          <w:color w:val="000000"/>
          <w:szCs w:val="21"/>
          <w:highlight w:val="none"/>
        </w:rPr>
      </w:pPr>
      <w:bookmarkStart w:id="227" w:name="_Toc27629"/>
      <w:bookmarkStart w:id="228" w:name="_Toc389065193"/>
      <w:r>
        <w:rPr>
          <w:rFonts w:ascii="宋体" w:hAnsi="宋体"/>
          <w:b/>
          <w:bCs/>
          <w:color w:val="000000"/>
          <w:szCs w:val="21"/>
          <w:highlight w:val="none"/>
        </w:rPr>
        <w:t>9.1 对招标人的纪律要求</w:t>
      </w:r>
      <w:bookmarkEnd w:id="227"/>
      <w:bookmarkEnd w:id="228"/>
    </w:p>
    <w:p w14:paraId="1292C64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招标人不得泄漏招标投标活动中应当保密的情况和资料，不得与投标人串通损害国家利益、社会公共利益或者他人合法权益。有下列情形之一的，属于招标人与投标人串通投标：</w:t>
      </w:r>
    </w:p>
    <w:p w14:paraId="04B9D9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（1）招标人在开标前开启投标文件并将有关信息泄露给其他投标人;</w:t>
      </w:r>
    </w:p>
    <w:p w14:paraId="71EB820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（2）招标人直接或者间接向投标人泄露标底、评标委员会成员等信息；</w:t>
      </w:r>
    </w:p>
    <w:p w14:paraId="2350C40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（3）招标人明示或者暗示投标人压低或者抬高投标报价；</w:t>
      </w:r>
    </w:p>
    <w:p w14:paraId="1114FA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（4）招标人授意投标人撤换、修改投标文件；</w:t>
      </w:r>
    </w:p>
    <w:p w14:paraId="507001B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（5）招标人明示或者暗示投标人为特定投标人中标提供方便；</w:t>
      </w:r>
    </w:p>
    <w:p w14:paraId="4CA326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（6）招标人与投标人为谋求特定投标人中标而采取的其他串通行为。</w:t>
      </w:r>
    </w:p>
    <w:p w14:paraId="4D78842A">
      <w:pPr>
        <w:keepNext/>
        <w:keepLines/>
        <w:spacing w:line="360" w:lineRule="auto"/>
        <w:outlineLvl w:val="3"/>
        <w:rPr>
          <w:rFonts w:ascii="宋体" w:hAnsi="宋体"/>
          <w:b/>
          <w:bCs/>
          <w:color w:val="000000"/>
          <w:szCs w:val="21"/>
          <w:highlight w:val="none"/>
        </w:rPr>
      </w:pPr>
      <w:bookmarkStart w:id="229" w:name="_Toc1338"/>
      <w:r>
        <w:rPr>
          <w:rFonts w:ascii="宋体" w:hAnsi="宋体"/>
          <w:b/>
          <w:bCs/>
          <w:color w:val="000000"/>
          <w:szCs w:val="21"/>
          <w:highlight w:val="none"/>
        </w:rPr>
        <w:t>9.2 对投标人的纪律要求</w:t>
      </w:r>
      <w:bookmarkEnd w:id="229"/>
    </w:p>
    <w:p w14:paraId="2461BFBE">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w:t>
      </w: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w:t>
      </w:r>
      <w:r>
        <w:rPr>
          <w:rFonts w:hint="eastAsia" w:ascii="宋体" w:hAnsi="宋体"/>
          <w:color w:val="000000"/>
          <w:kern w:val="0"/>
          <w:szCs w:val="21"/>
          <w:highlight w:val="none"/>
        </w:rPr>
        <w:t>1</w:t>
      </w:r>
      <w:r>
        <w:rPr>
          <w:rFonts w:ascii="宋体" w:hAnsi="宋体"/>
          <w:color w:val="000000"/>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有下列情形之一的，属于投标人相互串通投标：</w:t>
      </w:r>
    </w:p>
    <w:p w14:paraId="4756F95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（1）投标人之间协商投标报价等投标文件的实质性内容；</w:t>
      </w:r>
    </w:p>
    <w:p w14:paraId="4050D1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（2）投标人之间约定中标人；</w:t>
      </w:r>
    </w:p>
    <w:p w14:paraId="03F2D86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（3）投标人之间约定部分投标人放弃投标或者中标；</w:t>
      </w:r>
    </w:p>
    <w:p w14:paraId="570F5D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（4）属于同一集团、协会、商会等组织成员的投标人按照该组织要求协同投标；</w:t>
      </w:r>
    </w:p>
    <w:p w14:paraId="648CFB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（5）投标人之间为谋取中标或者排斥特定投标人而采取的其他联合行动</w:t>
      </w:r>
      <w:r>
        <w:rPr>
          <w:rFonts w:hint="eastAsia" w:ascii="宋体" w:hAnsi="宋体"/>
          <w:color w:val="000000"/>
          <w:kern w:val="0"/>
          <w:szCs w:val="21"/>
          <w:highlight w:val="none"/>
        </w:rPr>
        <w:t>；</w:t>
      </w:r>
    </w:p>
    <w:p w14:paraId="525BF14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（6）不同投标人的投标文件由同一单位或者个人编制；</w:t>
      </w:r>
    </w:p>
    <w:p w14:paraId="05BF8CB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（7）不同投标人委托同一单位或者个人办理投标事宜；</w:t>
      </w:r>
    </w:p>
    <w:p w14:paraId="5AE9C08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（8）不同投标人的投标文件载明的项目管理成员为同一人；</w:t>
      </w:r>
    </w:p>
    <w:p w14:paraId="011A14D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（9）不同投标人的投标文件异常一致或者投标报价呈规律性差异；</w:t>
      </w:r>
    </w:p>
    <w:p w14:paraId="3266CC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（10）不同投标人的投标文件相互混装；</w:t>
      </w:r>
    </w:p>
    <w:p w14:paraId="5C367A1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（11）不同投标人的投标保证金从同一单位或者个人的账户转出</w:t>
      </w:r>
      <w:r>
        <w:rPr>
          <w:rFonts w:hint="eastAsia" w:ascii="宋体" w:hAnsi="宋体"/>
          <w:color w:val="000000"/>
          <w:kern w:val="0"/>
          <w:szCs w:val="21"/>
          <w:highlight w:val="none"/>
        </w:rPr>
        <w:t>（如有）</w:t>
      </w:r>
      <w:r>
        <w:rPr>
          <w:rFonts w:ascii="宋体" w:hAnsi="宋体"/>
          <w:color w:val="000000"/>
          <w:kern w:val="0"/>
          <w:szCs w:val="21"/>
          <w:highlight w:val="none"/>
        </w:rPr>
        <w:t>。</w:t>
      </w:r>
    </w:p>
    <w:p w14:paraId="6083F2A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9.2.2投标人不得向招标人或评标委员会成员或其他有关人员索问评标过程的情况和材料。</w:t>
      </w:r>
    </w:p>
    <w:p w14:paraId="0167CD09">
      <w:pPr>
        <w:keepNext/>
        <w:keepLines/>
        <w:spacing w:line="360" w:lineRule="auto"/>
        <w:outlineLvl w:val="3"/>
        <w:rPr>
          <w:rFonts w:ascii="宋体" w:hAnsi="宋体"/>
          <w:b/>
          <w:bCs/>
          <w:color w:val="000000"/>
          <w:szCs w:val="21"/>
          <w:highlight w:val="none"/>
        </w:rPr>
      </w:pPr>
      <w:bookmarkStart w:id="230" w:name="_Toc17361"/>
      <w:bookmarkStart w:id="231" w:name="_Toc389065194"/>
      <w:r>
        <w:rPr>
          <w:rFonts w:ascii="宋体" w:hAnsi="宋体"/>
          <w:b/>
          <w:bCs/>
          <w:color w:val="000000"/>
          <w:szCs w:val="21"/>
          <w:highlight w:val="none"/>
        </w:rPr>
        <w:t>9.3 对评标委员会成员的纪律要求</w:t>
      </w:r>
      <w:bookmarkEnd w:id="230"/>
      <w:bookmarkEnd w:id="231"/>
    </w:p>
    <w:p w14:paraId="5040503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招标文件中没有规定的标准和方法不得作为评标的依据。</w:t>
      </w:r>
    </w:p>
    <w:p w14:paraId="3887FBCE">
      <w:pPr>
        <w:keepNext/>
        <w:keepLines/>
        <w:spacing w:line="360" w:lineRule="auto"/>
        <w:outlineLvl w:val="3"/>
        <w:rPr>
          <w:rFonts w:ascii="宋体" w:hAnsi="宋体"/>
          <w:b/>
          <w:bCs/>
          <w:color w:val="000000"/>
          <w:szCs w:val="21"/>
          <w:highlight w:val="none"/>
        </w:rPr>
      </w:pPr>
      <w:bookmarkStart w:id="232" w:name="_Toc5318"/>
      <w:bookmarkStart w:id="233" w:name="_Toc389065195"/>
      <w:r>
        <w:rPr>
          <w:rFonts w:ascii="宋体" w:hAnsi="宋体"/>
          <w:b/>
          <w:bCs/>
          <w:color w:val="000000"/>
          <w:szCs w:val="21"/>
          <w:highlight w:val="none"/>
        </w:rPr>
        <w:t>9.4 对与评标活动有关的工作人员的纪律要求</w:t>
      </w:r>
      <w:bookmarkEnd w:id="232"/>
      <w:bookmarkEnd w:id="233"/>
    </w:p>
    <w:p w14:paraId="303843F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234" w:name="_Toc389065196"/>
    </w:p>
    <w:p w14:paraId="46FBDC2C">
      <w:pPr>
        <w:keepNext/>
        <w:keepLines/>
        <w:spacing w:line="360" w:lineRule="auto"/>
        <w:outlineLvl w:val="3"/>
        <w:rPr>
          <w:rFonts w:ascii="宋体" w:hAnsi="宋体"/>
          <w:b/>
          <w:bCs/>
          <w:color w:val="000000"/>
          <w:szCs w:val="21"/>
          <w:highlight w:val="none"/>
        </w:rPr>
      </w:pPr>
      <w:bookmarkStart w:id="235" w:name="_Toc14125"/>
      <w:r>
        <w:rPr>
          <w:rFonts w:ascii="宋体" w:hAnsi="宋体"/>
          <w:b/>
          <w:bCs/>
          <w:color w:val="000000"/>
          <w:szCs w:val="21"/>
          <w:highlight w:val="none"/>
        </w:rPr>
        <w:t>9.5 投诉</w:t>
      </w:r>
      <w:bookmarkEnd w:id="234"/>
      <w:bookmarkEnd w:id="235"/>
      <w:bookmarkStart w:id="236" w:name="_Toc389065197"/>
    </w:p>
    <w:p w14:paraId="4B1A223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投标人和其他利害关系人认为本次招标活动违反法律、法规和规章规定的，可以在知道或者应当知道之日起十日内向</w:t>
      </w:r>
      <w:r>
        <w:rPr>
          <w:rFonts w:hint="eastAsia" w:ascii="宋体" w:hAnsi="宋体"/>
          <w:color w:val="000000"/>
          <w:kern w:val="0"/>
          <w:szCs w:val="21"/>
          <w:highlight w:val="none"/>
        </w:rPr>
        <w:t>招标人</w:t>
      </w:r>
      <w:r>
        <w:rPr>
          <w:rFonts w:ascii="宋体" w:hAnsi="宋体"/>
          <w:color w:val="000000"/>
          <w:kern w:val="0"/>
          <w:szCs w:val="21"/>
          <w:highlight w:val="none"/>
        </w:rPr>
        <w:t>提出书面投诉。投诉应当有明确的请求及证明材料</w:t>
      </w:r>
      <w:r>
        <w:rPr>
          <w:rFonts w:hint="eastAsia" w:ascii="宋体" w:hAnsi="宋体"/>
          <w:color w:val="000000"/>
          <w:kern w:val="0"/>
          <w:szCs w:val="21"/>
          <w:highlight w:val="none"/>
        </w:rPr>
        <w:t>，</w:t>
      </w:r>
      <w:r>
        <w:rPr>
          <w:rFonts w:ascii="宋体" w:hAnsi="宋体"/>
          <w:color w:val="000000"/>
          <w:kern w:val="0"/>
          <w:szCs w:val="21"/>
          <w:highlight w:val="none"/>
        </w:rPr>
        <w:t>没有提出异议</w:t>
      </w:r>
      <w:r>
        <w:rPr>
          <w:rFonts w:hint="eastAsia" w:ascii="宋体" w:hAnsi="宋体"/>
          <w:color w:val="000000"/>
          <w:kern w:val="0"/>
          <w:szCs w:val="21"/>
          <w:highlight w:val="none"/>
        </w:rPr>
        <w:t>或者投诉活动不符合要求</w:t>
      </w:r>
      <w:r>
        <w:rPr>
          <w:rFonts w:ascii="宋体" w:hAnsi="宋体"/>
          <w:color w:val="000000"/>
          <w:kern w:val="0"/>
          <w:szCs w:val="21"/>
          <w:highlight w:val="none"/>
        </w:rPr>
        <w:t>的，</w:t>
      </w:r>
      <w:r>
        <w:rPr>
          <w:rFonts w:hint="eastAsia" w:ascii="宋体" w:hAnsi="宋体"/>
          <w:color w:val="000000"/>
          <w:kern w:val="0"/>
          <w:szCs w:val="21"/>
          <w:highlight w:val="none"/>
        </w:rPr>
        <w:t>招标人</w:t>
      </w:r>
      <w:r>
        <w:rPr>
          <w:rFonts w:ascii="宋体" w:hAnsi="宋体"/>
          <w:color w:val="000000"/>
          <w:kern w:val="0"/>
          <w:szCs w:val="21"/>
          <w:highlight w:val="none"/>
        </w:rPr>
        <w:t>不予受理。</w:t>
      </w:r>
    </w:p>
    <w:p w14:paraId="2395AA38">
      <w:pPr>
        <w:keepNext/>
        <w:keepLines/>
        <w:spacing w:before="240" w:beforeLines="100" w:line="360" w:lineRule="auto"/>
        <w:outlineLvl w:val="2"/>
        <w:rPr>
          <w:rFonts w:ascii="黑体" w:hAnsi="黑体" w:eastAsia="黑体"/>
          <w:b/>
          <w:bCs/>
          <w:color w:val="000000"/>
          <w:sz w:val="24"/>
          <w:szCs w:val="21"/>
          <w:highlight w:val="none"/>
        </w:rPr>
      </w:pPr>
      <w:bookmarkStart w:id="237" w:name="_Toc7632"/>
      <w:r>
        <w:rPr>
          <w:rFonts w:ascii="黑体" w:hAnsi="黑体" w:eastAsia="黑体"/>
          <w:b/>
          <w:bCs/>
          <w:color w:val="000000"/>
          <w:sz w:val="24"/>
          <w:szCs w:val="21"/>
          <w:highlight w:val="none"/>
        </w:rPr>
        <w:t>10</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需要补充的其他内容</w:t>
      </w:r>
      <w:bookmarkEnd w:id="236"/>
      <w:bookmarkEnd w:id="237"/>
    </w:p>
    <w:p w14:paraId="6F128049">
      <w:pPr>
        <w:keepNext/>
        <w:keepLines/>
        <w:spacing w:line="360" w:lineRule="auto"/>
        <w:outlineLvl w:val="3"/>
        <w:rPr>
          <w:rFonts w:ascii="宋体" w:hAnsi="宋体"/>
          <w:b/>
          <w:bCs/>
          <w:color w:val="000000"/>
          <w:szCs w:val="21"/>
          <w:highlight w:val="none"/>
        </w:rPr>
      </w:pPr>
      <w:bookmarkStart w:id="238" w:name="_Toc5964"/>
      <w:r>
        <w:rPr>
          <w:rFonts w:ascii="宋体" w:hAnsi="宋体"/>
          <w:b/>
          <w:bCs/>
          <w:color w:val="000000"/>
          <w:szCs w:val="21"/>
          <w:highlight w:val="none"/>
        </w:rPr>
        <w:t>10.1词语定义</w:t>
      </w:r>
      <w:bookmarkEnd w:id="238"/>
    </w:p>
    <w:p w14:paraId="22691D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7B493C40">
      <w:pPr>
        <w:keepNext/>
        <w:keepLines/>
        <w:spacing w:line="360" w:lineRule="auto"/>
        <w:outlineLvl w:val="3"/>
        <w:rPr>
          <w:rFonts w:hint="eastAsia" w:ascii="宋体" w:hAnsi="宋体" w:eastAsia="宋体"/>
          <w:b/>
          <w:bCs/>
          <w:color w:val="000000"/>
          <w:szCs w:val="21"/>
          <w:highlight w:val="none"/>
          <w:lang w:eastAsia="zh-CN"/>
        </w:rPr>
      </w:pPr>
      <w:bookmarkStart w:id="239" w:name="_Toc389065198"/>
      <w:bookmarkStart w:id="240" w:name="_Toc7642"/>
      <w:r>
        <w:rPr>
          <w:rFonts w:ascii="宋体" w:hAnsi="宋体"/>
          <w:b/>
          <w:bCs/>
          <w:color w:val="000000"/>
          <w:szCs w:val="21"/>
          <w:highlight w:val="none"/>
        </w:rPr>
        <w:t xml:space="preserve">10.2 </w:t>
      </w:r>
      <w:bookmarkEnd w:id="239"/>
      <w:bookmarkEnd w:id="240"/>
      <w:r>
        <w:rPr>
          <w:rFonts w:hint="eastAsia" w:ascii="宋体" w:hAnsi="宋体"/>
          <w:b/>
          <w:bCs/>
          <w:color w:val="000000"/>
          <w:szCs w:val="21"/>
          <w:highlight w:val="none"/>
          <w:lang w:eastAsia="zh-CN"/>
        </w:rPr>
        <w:t>招标控制价</w:t>
      </w:r>
    </w:p>
    <w:p w14:paraId="217B46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详</w:t>
      </w: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E754A7D">
      <w:pPr>
        <w:keepNext/>
        <w:keepLines/>
        <w:spacing w:line="360" w:lineRule="auto"/>
        <w:outlineLvl w:val="3"/>
        <w:rPr>
          <w:rFonts w:ascii="宋体" w:hAnsi="宋体"/>
          <w:b/>
          <w:bCs/>
          <w:color w:val="000000"/>
          <w:szCs w:val="21"/>
          <w:highlight w:val="none"/>
        </w:rPr>
      </w:pPr>
      <w:bookmarkStart w:id="241" w:name="_Toc20153"/>
      <w:r>
        <w:rPr>
          <w:rFonts w:ascii="宋体" w:hAnsi="宋体"/>
          <w:b/>
          <w:bCs/>
          <w:color w:val="000000"/>
          <w:szCs w:val="21"/>
          <w:highlight w:val="none"/>
        </w:rPr>
        <w:t>10.3 知识产权</w:t>
      </w:r>
      <w:bookmarkEnd w:id="241"/>
    </w:p>
    <w:p w14:paraId="4C0A3A8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337DFD5F">
      <w:pPr>
        <w:keepNext/>
        <w:keepLines/>
        <w:spacing w:line="360" w:lineRule="auto"/>
        <w:outlineLvl w:val="3"/>
        <w:rPr>
          <w:rFonts w:ascii="宋体" w:hAnsi="宋体"/>
          <w:b/>
          <w:bCs/>
          <w:color w:val="000000"/>
          <w:szCs w:val="21"/>
          <w:highlight w:val="none"/>
        </w:rPr>
      </w:pPr>
      <w:bookmarkStart w:id="242" w:name="_Toc11250"/>
      <w:r>
        <w:rPr>
          <w:rFonts w:ascii="宋体" w:hAnsi="宋体"/>
          <w:b/>
          <w:bCs/>
          <w:color w:val="000000"/>
          <w:szCs w:val="21"/>
          <w:highlight w:val="none"/>
        </w:rPr>
        <w:t>10.4同义词语</w:t>
      </w:r>
      <w:bookmarkEnd w:id="242"/>
    </w:p>
    <w:p w14:paraId="2513FEF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构成招标文件组成部分的“合同条款及格式”、“用户需求书”等章节中出现的措辞“发包人或甲方”和“承包人”，在招标投标阶段应当分别按“招标人”和“投标人”进行理解。</w:t>
      </w:r>
    </w:p>
    <w:p w14:paraId="0DEA1219">
      <w:pPr>
        <w:keepNext/>
        <w:keepLines/>
        <w:spacing w:line="360" w:lineRule="auto"/>
        <w:outlineLvl w:val="3"/>
        <w:rPr>
          <w:rFonts w:ascii="宋体" w:hAnsi="宋体"/>
          <w:b/>
          <w:bCs/>
          <w:color w:val="000000"/>
          <w:szCs w:val="21"/>
          <w:highlight w:val="none"/>
        </w:rPr>
      </w:pPr>
      <w:bookmarkStart w:id="243" w:name="_Toc26588"/>
      <w:r>
        <w:rPr>
          <w:rFonts w:ascii="宋体" w:hAnsi="宋体"/>
          <w:b/>
          <w:bCs/>
          <w:color w:val="000000"/>
          <w:szCs w:val="21"/>
          <w:highlight w:val="none"/>
        </w:rPr>
        <w:t>10.5 监督</w:t>
      </w:r>
      <w:bookmarkEnd w:id="243"/>
    </w:p>
    <w:p w14:paraId="25F0418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本项目的招标投标活动及其相关当事人应当接受有管辖权的主管部门依法实施的监督。</w:t>
      </w:r>
    </w:p>
    <w:p w14:paraId="2EC0AB02">
      <w:pPr>
        <w:keepNext/>
        <w:keepLines/>
        <w:spacing w:line="360" w:lineRule="auto"/>
        <w:outlineLvl w:val="3"/>
        <w:rPr>
          <w:rFonts w:ascii="宋体" w:hAnsi="宋体"/>
          <w:b/>
          <w:bCs/>
          <w:color w:val="000000"/>
          <w:szCs w:val="21"/>
          <w:highlight w:val="none"/>
        </w:rPr>
      </w:pPr>
      <w:bookmarkStart w:id="244" w:name="_Toc14255"/>
      <w:r>
        <w:rPr>
          <w:rFonts w:ascii="宋体" w:hAnsi="宋体"/>
          <w:b/>
          <w:bCs/>
          <w:color w:val="000000"/>
          <w:szCs w:val="21"/>
          <w:highlight w:val="none"/>
        </w:rPr>
        <w:t>10.6 解释权</w:t>
      </w:r>
      <w:bookmarkEnd w:id="244"/>
    </w:p>
    <w:p w14:paraId="33511A09">
      <w:pPr>
        <w:spacing w:line="360" w:lineRule="auto"/>
        <w:ind w:firstLine="420" w:firstLineChars="200"/>
        <w:rPr>
          <w:color w:val="000000"/>
          <w:highlight w:val="none"/>
        </w:rPr>
      </w:pPr>
      <w:r>
        <w:rPr>
          <w:color w:val="000000"/>
          <w:highlight w:val="none"/>
        </w:rPr>
        <w:t>构成本招标文件的各个组成文件应互为解释，互为说明；如有不明确或不一致，构成合同文件组成内容的，以合同文件约定内容为准；除招标文件中有特别规定外，仅适用于招标投标阶段的规定，</w:t>
      </w:r>
      <w:r>
        <w:rPr>
          <w:rFonts w:hint="eastAsia"/>
          <w:color w:val="000000"/>
          <w:highlight w:val="none"/>
        </w:rPr>
        <w:t>依次</w:t>
      </w:r>
      <w:r>
        <w:rPr>
          <w:color w:val="000000"/>
          <w:highlight w:val="none"/>
        </w:rPr>
        <w:t>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bookmarkEnd w:id="117"/>
      <w:bookmarkEnd w:id="132"/>
      <w:bookmarkEnd w:id="133"/>
      <w:bookmarkEnd w:id="134"/>
      <w:bookmarkEnd w:id="135"/>
      <w:bookmarkEnd w:id="136"/>
      <w:bookmarkEnd w:id="137"/>
      <w:bookmarkStart w:id="245" w:name="_Toc234121072"/>
      <w:bookmarkStart w:id="246" w:name="_Toc273556515"/>
    </w:p>
    <w:p w14:paraId="2F4B5C65">
      <w:pPr>
        <w:keepNext/>
        <w:keepLines/>
        <w:spacing w:before="100" w:line="312" w:lineRule="auto"/>
        <w:outlineLvl w:val="3"/>
        <w:rPr>
          <w:rFonts w:ascii="宋体" w:hAnsi="宋体"/>
          <w:b/>
          <w:bCs/>
          <w:color w:val="000000"/>
          <w:szCs w:val="21"/>
          <w:highlight w:val="none"/>
        </w:rPr>
      </w:pPr>
      <w:r>
        <w:rPr>
          <w:rFonts w:hint="eastAsia" w:ascii="宋体" w:hAnsi="宋体"/>
          <w:b/>
          <w:bCs/>
          <w:color w:val="000000"/>
          <w:szCs w:val="21"/>
          <w:highlight w:val="none"/>
        </w:rPr>
        <w:t>10.7 本项目采购及合同执行的任何阶段，如果招标人发现投标人/中标人存在下述行为之一的，招标人有权取消其投标/中标资格，投标/中标无效。情节严重的，报同级或上级监管部门依法进行处理；同时将其列入招标人的不良信用名单：</w:t>
      </w:r>
    </w:p>
    <w:p w14:paraId="2CC7B38E">
      <w:pPr>
        <w:spacing w:before="100" w:line="312" w:lineRule="auto"/>
        <w:ind w:firstLine="420" w:firstLineChars="200"/>
        <w:rPr>
          <w:rFonts w:ascii="宋体" w:hAnsi="宋体"/>
          <w:color w:val="000000"/>
          <w:highlight w:val="none"/>
        </w:rPr>
      </w:pPr>
      <w:r>
        <w:rPr>
          <w:rFonts w:hint="eastAsia" w:ascii="宋体" w:hAnsi="宋体"/>
          <w:color w:val="000000"/>
          <w:highlight w:val="none"/>
        </w:rPr>
        <w:t>（1）投标人在投标截止期后撤回其投标的。</w:t>
      </w:r>
    </w:p>
    <w:p w14:paraId="3A446548">
      <w:pPr>
        <w:spacing w:before="100" w:line="312" w:lineRule="auto"/>
        <w:ind w:firstLine="420" w:firstLineChars="200"/>
        <w:rPr>
          <w:rFonts w:ascii="宋体" w:hAnsi="宋体"/>
          <w:color w:val="000000"/>
          <w:highlight w:val="none"/>
        </w:rPr>
      </w:pPr>
      <w:r>
        <w:rPr>
          <w:rFonts w:hint="eastAsia" w:ascii="宋体" w:hAnsi="宋体"/>
          <w:color w:val="000000"/>
          <w:highlight w:val="none"/>
        </w:rPr>
        <w:t>（2）提供虚假材料谋取中标的。</w:t>
      </w:r>
    </w:p>
    <w:p w14:paraId="1B0BF111">
      <w:pPr>
        <w:spacing w:before="100" w:line="312" w:lineRule="auto"/>
        <w:ind w:firstLine="420" w:firstLineChars="200"/>
        <w:rPr>
          <w:rFonts w:ascii="宋体" w:hAnsi="宋体"/>
          <w:color w:val="000000"/>
          <w:highlight w:val="none"/>
        </w:rPr>
      </w:pPr>
      <w:r>
        <w:rPr>
          <w:rFonts w:hint="eastAsia" w:ascii="宋体" w:hAnsi="宋体"/>
          <w:color w:val="000000"/>
          <w:highlight w:val="none"/>
        </w:rPr>
        <w:t>（3）采取不正当手段诋毁、排挤其他供应商的。</w:t>
      </w:r>
    </w:p>
    <w:p w14:paraId="33F997FF">
      <w:pPr>
        <w:spacing w:before="100" w:line="312" w:lineRule="auto"/>
        <w:ind w:firstLine="420" w:firstLineChars="200"/>
        <w:rPr>
          <w:rFonts w:ascii="宋体" w:hAnsi="宋体"/>
          <w:color w:val="000000"/>
          <w:highlight w:val="none"/>
        </w:rPr>
      </w:pPr>
      <w:r>
        <w:rPr>
          <w:rFonts w:hint="eastAsia" w:ascii="宋体" w:hAnsi="宋体"/>
          <w:color w:val="000000"/>
          <w:highlight w:val="none"/>
        </w:rPr>
        <w:t>（4）恶意串通等不正当竞争行为的。</w:t>
      </w:r>
    </w:p>
    <w:p w14:paraId="4A03A490">
      <w:pPr>
        <w:spacing w:before="100" w:line="312" w:lineRule="auto"/>
        <w:ind w:firstLine="420" w:firstLineChars="200"/>
        <w:rPr>
          <w:rFonts w:ascii="宋体" w:hAnsi="宋体"/>
          <w:color w:val="000000"/>
          <w:highlight w:val="none"/>
        </w:rPr>
      </w:pPr>
      <w:r>
        <w:rPr>
          <w:rFonts w:hint="eastAsia" w:ascii="宋体" w:hAnsi="宋体"/>
          <w:color w:val="000000"/>
          <w:highlight w:val="none"/>
        </w:rPr>
        <w:t>（5）中标后无正当理由拒不与采购人签订采购合同的。</w:t>
      </w:r>
    </w:p>
    <w:p w14:paraId="5443F04A">
      <w:pPr>
        <w:spacing w:before="100" w:line="312" w:lineRule="auto"/>
        <w:ind w:firstLine="420" w:firstLineChars="200"/>
        <w:rPr>
          <w:rFonts w:ascii="宋体" w:hAnsi="宋体"/>
          <w:color w:val="000000"/>
          <w:highlight w:val="none"/>
        </w:rPr>
      </w:pPr>
      <w:r>
        <w:rPr>
          <w:rFonts w:hint="eastAsia" w:ascii="宋体" w:hAnsi="宋体"/>
          <w:color w:val="000000"/>
          <w:highlight w:val="none"/>
        </w:rPr>
        <w:t>（6）未照招标、投标文件确定的事项签订采购合同的。</w:t>
      </w:r>
    </w:p>
    <w:p w14:paraId="3BACD135">
      <w:pPr>
        <w:spacing w:before="100" w:line="312" w:lineRule="auto"/>
        <w:ind w:firstLine="420" w:firstLineChars="200"/>
        <w:rPr>
          <w:rFonts w:ascii="宋体" w:hAnsi="宋体"/>
          <w:color w:val="000000"/>
          <w:highlight w:val="none"/>
        </w:rPr>
      </w:pPr>
      <w:r>
        <w:rPr>
          <w:rFonts w:hint="eastAsia" w:ascii="宋体" w:hAnsi="宋体"/>
          <w:color w:val="000000"/>
          <w:highlight w:val="none"/>
        </w:rPr>
        <w:t>（7）将采购合同转包的。</w:t>
      </w:r>
    </w:p>
    <w:p w14:paraId="3FDBE4CD">
      <w:pPr>
        <w:spacing w:before="100" w:line="312" w:lineRule="auto"/>
        <w:ind w:firstLine="420" w:firstLineChars="200"/>
        <w:rPr>
          <w:rFonts w:ascii="宋体" w:hAnsi="宋体"/>
          <w:color w:val="000000"/>
          <w:highlight w:val="none"/>
        </w:rPr>
      </w:pPr>
      <w:r>
        <w:rPr>
          <w:rFonts w:hint="eastAsia" w:ascii="宋体" w:hAnsi="宋体"/>
          <w:color w:val="000000"/>
          <w:highlight w:val="none"/>
        </w:rPr>
        <w:t>（8）提供假冒伪劣产品的。</w:t>
      </w:r>
    </w:p>
    <w:p w14:paraId="0BDA0674">
      <w:pPr>
        <w:spacing w:before="100" w:line="312" w:lineRule="auto"/>
        <w:ind w:firstLine="420" w:firstLineChars="200"/>
        <w:rPr>
          <w:rFonts w:ascii="宋体" w:hAnsi="宋体"/>
          <w:color w:val="000000"/>
          <w:highlight w:val="none"/>
        </w:rPr>
      </w:pPr>
      <w:r>
        <w:rPr>
          <w:rFonts w:hint="eastAsia" w:ascii="宋体" w:hAnsi="宋体"/>
          <w:color w:val="000000"/>
          <w:highlight w:val="none"/>
        </w:rPr>
        <w:t>（9）擅自变更、中止或者终止采购合同的。</w:t>
      </w:r>
    </w:p>
    <w:p w14:paraId="2947768D">
      <w:pPr>
        <w:spacing w:before="100" w:line="312" w:lineRule="auto"/>
        <w:ind w:firstLine="420" w:firstLineChars="200"/>
        <w:rPr>
          <w:rFonts w:ascii="宋体" w:hAnsi="宋体"/>
          <w:color w:val="000000"/>
          <w:highlight w:val="none"/>
        </w:rPr>
      </w:pPr>
      <w:r>
        <w:rPr>
          <w:rFonts w:hint="eastAsia" w:ascii="宋体" w:hAnsi="宋体"/>
          <w:color w:val="000000"/>
          <w:highlight w:val="none"/>
        </w:rPr>
        <w:t>（10）中标人签订合同后，不能履约或无故拖延履约期的。</w:t>
      </w:r>
    </w:p>
    <w:p w14:paraId="0DCD4B4B">
      <w:pPr>
        <w:spacing w:before="100" w:line="360" w:lineRule="auto"/>
        <w:ind w:firstLine="420" w:firstLineChars="200"/>
        <w:rPr>
          <w:rFonts w:ascii="宋体" w:hAnsi="宋体"/>
          <w:color w:val="000000"/>
          <w:highlight w:val="none"/>
        </w:rPr>
      </w:pPr>
      <w:r>
        <w:rPr>
          <w:rFonts w:hint="eastAsia" w:ascii="宋体" w:hAnsi="宋体"/>
          <w:color w:val="000000"/>
          <w:highlight w:val="none"/>
        </w:rPr>
        <w:t>（11）中标人未投标阶段提出异议或疑问，在成交后无法满足采购需求的。</w:t>
      </w:r>
    </w:p>
    <w:p w14:paraId="50DF3EE1">
      <w:pPr>
        <w:spacing w:before="100" w:line="360" w:lineRule="auto"/>
        <w:ind w:firstLine="420" w:firstLineChars="200"/>
        <w:rPr>
          <w:rFonts w:ascii="宋体" w:hAnsi="宋体"/>
          <w:color w:val="000000"/>
          <w:highlight w:val="none"/>
        </w:rPr>
      </w:pPr>
      <w:r>
        <w:rPr>
          <w:rFonts w:hint="eastAsia" w:ascii="宋体" w:hAnsi="宋体"/>
          <w:color w:val="000000"/>
          <w:highlight w:val="none"/>
        </w:rPr>
        <w:t>（12）中标人在成交后无正当理由放弃成交资格的。</w:t>
      </w:r>
    </w:p>
    <w:p w14:paraId="68878AD8">
      <w:pPr>
        <w:spacing w:before="100" w:line="360" w:lineRule="auto"/>
        <w:ind w:firstLine="420" w:firstLineChars="200"/>
        <w:rPr>
          <w:rFonts w:ascii="宋体" w:hAnsi="宋体"/>
          <w:color w:val="000000"/>
          <w:highlight w:val="none"/>
        </w:rPr>
      </w:pPr>
      <w:r>
        <w:rPr>
          <w:rFonts w:hint="eastAsia" w:ascii="宋体" w:hAnsi="宋体"/>
          <w:color w:val="000000"/>
          <w:highlight w:val="none"/>
        </w:rPr>
        <w:t>（13）招标文件、法律、法规规定的其他情形。</w:t>
      </w:r>
    </w:p>
    <w:p w14:paraId="5E7779AE">
      <w:pPr>
        <w:keepNext/>
        <w:keepLines/>
        <w:spacing w:line="360" w:lineRule="auto"/>
        <w:ind w:firstLine="422"/>
        <w:outlineLvl w:val="3"/>
        <w:rPr>
          <w:rFonts w:ascii="宋体" w:hAnsi="宋体"/>
          <w:b/>
          <w:bCs/>
          <w:color w:val="000000"/>
          <w:szCs w:val="21"/>
          <w:highlight w:val="none"/>
        </w:rPr>
      </w:pPr>
      <w:r>
        <w:rPr>
          <w:rFonts w:hint="eastAsia" w:ascii="宋体" w:hAnsi="宋体"/>
          <w:b/>
          <w:bCs/>
          <w:color w:val="000000"/>
          <w:szCs w:val="21"/>
          <w:highlight w:val="none"/>
        </w:rPr>
        <w:t>10.8其他</w:t>
      </w:r>
    </w:p>
    <w:p w14:paraId="0097AFCB">
      <w:pPr>
        <w:spacing w:before="100" w:line="360" w:lineRule="auto"/>
        <w:ind w:firstLine="420" w:firstLineChars="200"/>
        <w:rPr>
          <w:rFonts w:ascii="宋体" w:hAnsi="宋体"/>
          <w:color w:val="000000"/>
          <w:highlight w:val="none"/>
        </w:rPr>
      </w:pPr>
      <w:r>
        <w:rPr>
          <w:rFonts w:hint="eastAsia" w:ascii="宋体" w:hAnsi="宋体"/>
          <w:color w:val="000000"/>
          <w:highlight w:val="none"/>
        </w:rPr>
        <w:t>10.8.1 其他条款见“投标人须知前附表”。</w:t>
      </w:r>
    </w:p>
    <w:p w14:paraId="00F9508F">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rPr>
        <w:t>10.8.2 本项目招标代理服务费及</w:t>
      </w:r>
      <w:r>
        <w:rPr>
          <w:rFonts w:hint="eastAsia" w:ascii="宋体" w:hAnsi="宋体"/>
          <w:color w:val="000000"/>
          <w:highlight w:val="none"/>
          <w:lang w:eastAsia="zh-CN"/>
        </w:rPr>
        <w:t>招标控制价</w:t>
      </w:r>
      <w:r>
        <w:rPr>
          <w:rFonts w:hint="eastAsia" w:ascii="宋体" w:hAnsi="宋体"/>
          <w:color w:val="000000"/>
          <w:highlight w:val="none"/>
        </w:rPr>
        <w:t>编制服务费（如有）的计算方法如下：</w:t>
      </w:r>
    </w:p>
    <w:p w14:paraId="03B7B12E">
      <w:pPr>
        <w:spacing w:before="100" w:line="360" w:lineRule="auto"/>
        <w:ind w:firstLine="420" w:firstLineChars="200"/>
        <w:jc w:val="left"/>
        <w:rPr>
          <w:rFonts w:hint="eastAsia" w:ascii="宋体" w:hAnsi="宋体"/>
          <w:b/>
          <w:color w:val="000000"/>
          <w:highlight w:val="none"/>
        </w:rPr>
      </w:pPr>
      <w:r>
        <w:rPr>
          <w:rFonts w:hint="eastAsia" w:ascii="宋体" w:hAnsi="宋体"/>
          <w:color w:val="000000"/>
          <w:highlight w:val="none"/>
        </w:rPr>
        <w:t>（1）招标代理服务费：参照国家发展改革委《关于降低部分建设项目收费标准规范收费行为等有关问题的通知》（发改价格[2011]534号）规定。招标代理服务费=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%）（按差额定率累进法计算），按货物招标类型计算。</w:t>
      </w:r>
    </w:p>
    <w:p w14:paraId="38EF432A">
      <w:pPr>
        <w:spacing w:line="480" w:lineRule="exact"/>
        <w:jc w:val="center"/>
        <w:rPr>
          <w:rFonts w:ascii="宋体" w:hAnsi="宋体"/>
          <w:b/>
          <w:color w:val="000000"/>
          <w:highlight w:val="none"/>
        </w:rPr>
      </w:pPr>
      <w:r>
        <w:rPr>
          <w:rFonts w:hint="eastAsia" w:ascii="宋体" w:hAnsi="宋体"/>
          <w:b/>
          <w:color w:val="000000"/>
          <w:highlight w:val="none"/>
        </w:rPr>
        <w:t>招标代理服务收费标准</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732"/>
        <w:gridCol w:w="1980"/>
        <w:gridCol w:w="1980"/>
      </w:tblGrid>
      <w:tr w14:paraId="44DB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2459" w:type="dxa"/>
            <w:noWrap w:val="0"/>
            <w:vAlign w:val="top"/>
          </w:tcPr>
          <w:p w14:paraId="5F58CD3C">
            <w:pPr>
              <w:adjustRightInd w:val="0"/>
              <w:snapToGrid w:val="0"/>
              <w:spacing w:line="480" w:lineRule="exact"/>
              <w:ind w:firstLine="1275"/>
              <w:rPr>
                <w:rFonts w:ascii="宋体" w:hAnsi="宋体"/>
                <w:b/>
                <w:color w:val="000000"/>
                <w:highlight w:val="none"/>
              </w:rPr>
            </w:pPr>
            <w:r>
              <w:rPr>
                <w:color w:val="000000"/>
                <w:highlight w:val="none"/>
              </w:rPr>
              <mc:AlternateContent>
                <mc:Choice Requires="wps">
                  <w:drawing>
                    <wp:anchor distT="0" distB="0" distL="114300" distR="114300" simplePos="0" relativeHeight="251664384" behindDoc="0" locked="0" layoutInCell="1" allowOverlap="1">
                      <wp:simplePos x="0" y="0"/>
                      <wp:positionH relativeFrom="column">
                        <wp:posOffset>-56515</wp:posOffset>
                      </wp:positionH>
                      <wp:positionV relativeFrom="paragraph">
                        <wp:posOffset>34290</wp:posOffset>
                      </wp:positionV>
                      <wp:extent cx="1546860" cy="1254125"/>
                      <wp:effectExtent l="3175" t="3810" r="12065" b="1841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H="1" flipV="1">
                                <a:off x="0" y="0"/>
                                <a:ext cx="1484630" cy="102616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45pt;margin-top:2.7pt;height:98.75pt;width:121.8pt;z-index:251664384;mso-width-relative:page;mso-height-relative:page;" filled="f" stroked="t" coordsize="21600,21600" o:gfxdata="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thDitUAAAAIAQAADwAAAAAAAAABACAAAAAiAAAAZHJzL2Rvd25yZXYueG1s&#10;UEsBAhQAFAAAAAgAh07iQLR1N1/7AQAA0gMAAA4AAAAAAAAAAQAgAAAAJAEAAGRycy9lMm9Eb2Mu&#10;eG1sUEsFBgAAAAAGAAYAWQEAAJE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3360" behindDoc="0" locked="0" layoutInCell="1" allowOverlap="1">
                      <wp:simplePos x="0" y="0"/>
                      <wp:positionH relativeFrom="column">
                        <wp:posOffset>622935</wp:posOffset>
                      </wp:positionH>
                      <wp:positionV relativeFrom="paragraph">
                        <wp:posOffset>635</wp:posOffset>
                      </wp:positionV>
                      <wp:extent cx="841375" cy="1287780"/>
                      <wp:effectExtent l="15240" t="0" r="19685" b="1270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rot="21540000" flipH="1" flipV="1">
                                <a:off x="0" y="0"/>
                                <a:ext cx="904875" cy="121920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9.05pt;margin-top:0.05pt;height:101.4pt;width:66.25pt;rotation:-65536f;z-index:251663360;mso-width-relative:page;mso-height-relative:page;" filled="f" stroked="t" coordsize="21600,21600" o:gfxdata="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FX+DdYAAAAHAQAADwAAAAAAAAABACAAAAAiAAAAZHJzL2Rv&#10;d25yZXYueG1sUEsBAhQAFAAAAAgAh07iQCkcsRkDAgAA4AMAAA4AAAAAAAAAAQAgAAAAJQEAAGRy&#10;cy9lMm9Eb2MueG1sUEsFBgAAAAAGAAYAWQEAAJo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5HTftUAAAAJAQAADwAA&#10;AAAAAAABACAAAAAiAAAAZHJzL2Rvd25yZXYueG1sUEsBAhQAFAAAAAgAh07iQOjgSY3gAQAAsgMA&#10;AA4AAAAAAAAAAQAgAAAAJAEAAGRycy9lMm9Eb2MueG1sUEsFBgAAAAAGAAYAWQEAAHYFAAAAAA==&#10;">
                      <v:fill on="f" focussize="0,0"/>
                      <v:stroke color="#000000" joinstyle="round"/>
                      <v:imagedata o:title=""/>
                      <o:lock v:ext="edit" aspectratio="f"/>
                    </v:line>
                  </w:pict>
                </mc:Fallback>
              </mc:AlternateContent>
            </w:r>
            <w:r>
              <w:rPr>
                <w:rFonts w:hint="eastAsia" w:ascii="宋体" w:hAnsi="宋体"/>
                <w:color w:val="000000"/>
                <w:highlight w:val="none"/>
              </w:rPr>
              <w:t xml:space="preserve">  </w:t>
            </w:r>
            <w:r>
              <w:rPr>
                <w:rFonts w:hint="eastAsia" w:ascii="宋体" w:hAnsi="宋体"/>
                <w:b/>
                <w:color w:val="000000"/>
                <w:highlight w:val="none"/>
              </w:rPr>
              <w:t xml:space="preserve"> 服务</w:t>
            </w:r>
          </w:p>
          <w:p w14:paraId="752CC31B">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费率（%）</w:t>
            </w:r>
          </w:p>
          <w:p w14:paraId="1A817A33">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类型 </w:t>
            </w:r>
          </w:p>
          <w:p w14:paraId="3E96207C">
            <w:pPr>
              <w:adjustRightInd w:val="0"/>
              <w:snapToGrid w:val="0"/>
              <w:spacing w:line="480" w:lineRule="exact"/>
              <w:rPr>
                <w:rFonts w:ascii="宋体" w:hAnsi="宋体"/>
                <w:b/>
                <w:color w:val="000000"/>
                <w:highlight w:val="none"/>
              </w:rPr>
            </w:pPr>
            <w:r>
              <w:rPr>
                <w:rFonts w:hint="eastAsia" w:ascii="宋体" w:hAnsi="宋体"/>
                <w:b/>
                <w:color w:val="000000"/>
                <w:highlight w:val="none"/>
              </w:rPr>
              <w:t>中标金额（万元）</w:t>
            </w:r>
          </w:p>
        </w:tc>
        <w:tc>
          <w:tcPr>
            <w:tcW w:w="1732" w:type="dxa"/>
            <w:noWrap w:val="0"/>
            <w:vAlign w:val="center"/>
          </w:tcPr>
          <w:p w14:paraId="3E677150">
            <w:pPr>
              <w:adjustRightInd w:val="0"/>
              <w:snapToGrid w:val="0"/>
              <w:spacing w:line="480" w:lineRule="exact"/>
              <w:jc w:val="center"/>
              <w:rPr>
                <w:rFonts w:ascii="宋体" w:hAnsi="宋体"/>
                <w:b/>
                <w:color w:val="000000"/>
                <w:highlight w:val="none"/>
              </w:rPr>
            </w:pPr>
            <w:r>
              <w:rPr>
                <w:rFonts w:hint="eastAsia" w:ascii="宋体" w:hAnsi="宋体"/>
                <w:b/>
                <w:color w:val="000000"/>
                <w:highlight w:val="none"/>
              </w:rPr>
              <w:t>货物招标</w:t>
            </w:r>
          </w:p>
        </w:tc>
        <w:tc>
          <w:tcPr>
            <w:tcW w:w="1980" w:type="dxa"/>
            <w:noWrap w:val="0"/>
            <w:vAlign w:val="center"/>
          </w:tcPr>
          <w:p w14:paraId="61C3DAC9">
            <w:pPr>
              <w:spacing w:line="480" w:lineRule="exact"/>
              <w:jc w:val="center"/>
              <w:rPr>
                <w:rFonts w:ascii="宋体" w:hAnsi="宋体"/>
                <w:b/>
                <w:color w:val="000000"/>
                <w:highlight w:val="none"/>
              </w:rPr>
            </w:pPr>
            <w:r>
              <w:rPr>
                <w:rFonts w:hint="eastAsia" w:ascii="宋体" w:hAnsi="宋体"/>
                <w:b/>
                <w:color w:val="000000"/>
                <w:highlight w:val="none"/>
              </w:rPr>
              <w:t>服务招标</w:t>
            </w:r>
          </w:p>
        </w:tc>
        <w:tc>
          <w:tcPr>
            <w:tcW w:w="1980" w:type="dxa"/>
            <w:noWrap w:val="0"/>
            <w:vAlign w:val="center"/>
          </w:tcPr>
          <w:p w14:paraId="3050E290">
            <w:pPr>
              <w:spacing w:line="480" w:lineRule="exact"/>
              <w:jc w:val="center"/>
              <w:rPr>
                <w:rFonts w:ascii="宋体" w:hAnsi="宋体"/>
                <w:b/>
                <w:color w:val="000000"/>
                <w:highlight w:val="none"/>
              </w:rPr>
            </w:pPr>
            <w:r>
              <w:rPr>
                <w:rFonts w:hint="eastAsia" w:ascii="宋体" w:hAnsi="宋体"/>
                <w:b/>
                <w:color w:val="000000"/>
                <w:highlight w:val="none"/>
              </w:rPr>
              <w:t>工程招标</w:t>
            </w:r>
          </w:p>
        </w:tc>
      </w:tr>
      <w:tr w14:paraId="38B6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731486A">
            <w:pPr>
              <w:spacing w:line="360" w:lineRule="exact"/>
              <w:jc w:val="center"/>
              <w:rPr>
                <w:rFonts w:ascii="宋体" w:hAnsi="宋体"/>
                <w:color w:val="000000"/>
                <w:highlight w:val="none"/>
              </w:rPr>
            </w:pPr>
            <w:r>
              <w:rPr>
                <w:rFonts w:hint="eastAsia" w:ascii="宋体" w:hAnsi="宋体"/>
                <w:color w:val="000000"/>
                <w:highlight w:val="none"/>
              </w:rPr>
              <w:t>100以下</w:t>
            </w:r>
          </w:p>
        </w:tc>
        <w:tc>
          <w:tcPr>
            <w:tcW w:w="1732" w:type="dxa"/>
            <w:noWrap w:val="0"/>
            <w:vAlign w:val="top"/>
          </w:tcPr>
          <w:p w14:paraId="11D0551F">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46A20EA4">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6BF85458">
            <w:pPr>
              <w:spacing w:line="360" w:lineRule="exact"/>
              <w:jc w:val="center"/>
              <w:rPr>
                <w:rFonts w:ascii="宋体" w:hAnsi="宋体"/>
                <w:color w:val="000000"/>
                <w:highlight w:val="none"/>
              </w:rPr>
            </w:pPr>
            <w:r>
              <w:rPr>
                <w:rFonts w:hint="eastAsia" w:ascii="宋体" w:hAnsi="宋体"/>
                <w:color w:val="000000"/>
                <w:highlight w:val="none"/>
              </w:rPr>
              <w:t>1.0%</w:t>
            </w:r>
          </w:p>
        </w:tc>
      </w:tr>
      <w:tr w14:paraId="1907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A329676">
            <w:pPr>
              <w:spacing w:line="360" w:lineRule="exact"/>
              <w:jc w:val="center"/>
              <w:rPr>
                <w:rFonts w:ascii="宋体" w:hAnsi="宋体"/>
                <w:color w:val="000000"/>
                <w:highlight w:val="none"/>
              </w:rPr>
            </w:pPr>
            <w:r>
              <w:rPr>
                <w:rFonts w:hint="eastAsia" w:ascii="宋体" w:hAnsi="宋体"/>
                <w:color w:val="000000"/>
                <w:highlight w:val="none"/>
              </w:rPr>
              <w:t>100-500</w:t>
            </w:r>
          </w:p>
        </w:tc>
        <w:tc>
          <w:tcPr>
            <w:tcW w:w="1732" w:type="dxa"/>
            <w:noWrap w:val="0"/>
            <w:vAlign w:val="top"/>
          </w:tcPr>
          <w:p w14:paraId="6DC8623E">
            <w:pPr>
              <w:spacing w:line="360" w:lineRule="exact"/>
              <w:jc w:val="center"/>
              <w:rPr>
                <w:rFonts w:ascii="宋体" w:hAnsi="宋体"/>
                <w:color w:val="000000"/>
                <w:highlight w:val="none"/>
              </w:rPr>
            </w:pPr>
            <w:r>
              <w:rPr>
                <w:rFonts w:hint="eastAsia" w:ascii="宋体" w:hAnsi="宋体"/>
                <w:color w:val="000000"/>
                <w:highlight w:val="none"/>
              </w:rPr>
              <w:t>1.1%</w:t>
            </w:r>
          </w:p>
        </w:tc>
        <w:tc>
          <w:tcPr>
            <w:tcW w:w="1980" w:type="dxa"/>
            <w:noWrap w:val="0"/>
            <w:vAlign w:val="top"/>
          </w:tcPr>
          <w:p w14:paraId="7607D87A">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7ECB99F0">
            <w:pPr>
              <w:spacing w:line="360" w:lineRule="exact"/>
              <w:jc w:val="center"/>
              <w:rPr>
                <w:rFonts w:ascii="宋体" w:hAnsi="宋体"/>
                <w:color w:val="000000"/>
                <w:highlight w:val="none"/>
              </w:rPr>
            </w:pPr>
            <w:r>
              <w:rPr>
                <w:rFonts w:hint="eastAsia" w:ascii="宋体" w:hAnsi="宋体"/>
                <w:color w:val="000000"/>
                <w:highlight w:val="none"/>
              </w:rPr>
              <w:t>0.7%</w:t>
            </w:r>
          </w:p>
        </w:tc>
      </w:tr>
      <w:tr w14:paraId="1A34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46F8281">
            <w:pPr>
              <w:spacing w:line="360" w:lineRule="exact"/>
              <w:jc w:val="center"/>
              <w:rPr>
                <w:rFonts w:ascii="宋体" w:hAnsi="宋体"/>
                <w:color w:val="000000"/>
                <w:highlight w:val="none"/>
              </w:rPr>
            </w:pPr>
            <w:r>
              <w:rPr>
                <w:rFonts w:hint="eastAsia" w:ascii="宋体" w:hAnsi="宋体"/>
                <w:color w:val="000000"/>
                <w:highlight w:val="none"/>
              </w:rPr>
              <w:t>500-1000</w:t>
            </w:r>
          </w:p>
        </w:tc>
        <w:tc>
          <w:tcPr>
            <w:tcW w:w="1732" w:type="dxa"/>
            <w:noWrap w:val="0"/>
            <w:vAlign w:val="top"/>
          </w:tcPr>
          <w:p w14:paraId="2BFD871D">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084803F3">
            <w:pPr>
              <w:spacing w:line="360" w:lineRule="exact"/>
              <w:jc w:val="center"/>
              <w:rPr>
                <w:rFonts w:ascii="宋体" w:hAnsi="宋体"/>
                <w:color w:val="000000"/>
                <w:highlight w:val="none"/>
              </w:rPr>
            </w:pPr>
            <w:r>
              <w:rPr>
                <w:rFonts w:hint="eastAsia" w:ascii="宋体" w:hAnsi="宋体"/>
                <w:color w:val="000000"/>
                <w:highlight w:val="none"/>
              </w:rPr>
              <w:t>0.45%</w:t>
            </w:r>
          </w:p>
        </w:tc>
        <w:tc>
          <w:tcPr>
            <w:tcW w:w="1980" w:type="dxa"/>
            <w:noWrap w:val="0"/>
            <w:vAlign w:val="top"/>
          </w:tcPr>
          <w:p w14:paraId="4EC878F1">
            <w:pPr>
              <w:spacing w:line="360" w:lineRule="exact"/>
              <w:jc w:val="center"/>
              <w:rPr>
                <w:rFonts w:ascii="宋体" w:hAnsi="宋体"/>
                <w:color w:val="000000"/>
                <w:highlight w:val="none"/>
              </w:rPr>
            </w:pPr>
            <w:r>
              <w:rPr>
                <w:rFonts w:hint="eastAsia" w:ascii="宋体" w:hAnsi="宋体"/>
                <w:color w:val="000000"/>
                <w:highlight w:val="none"/>
              </w:rPr>
              <w:t>0.55%</w:t>
            </w:r>
          </w:p>
        </w:tc>
      </w:tr>
      <w:tr w14:paraId="172E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5D22B7A2">
            <w:pPr>
              <w:spacing w:line="360" w:lineRule="exact"/>
              <w:jc w:val="center"/>
              <w:rPr>
                <w:rFonts w:ascii="宋体" w:hAnsi="宋体"/>
                <w:color w:val="000000"/>
                <w:highlight w:val="none"/>
              </w:rPr>
            </w:pPr>
            <w:r>
              <w:rPr>
                <w:rFonts w:hint="eastAsia" w:ascii="宋体" w:hAnsi="宋体"/>
                <w:color w:val="000000"/>
                <w:highlight w:val="none"/>
              </w:rPr>
              <w:t>1000-5000</w:t>
            </w:r>
          </w:p>
        </w:tc>
        <w:tc>
          <w:tcPr>
            <w:tcW w:w="1732" w:type="dxa"/>
            <w:noWrap w:val="0"/>
            <w:vAlign w:val="top"/>
          </w:tcPr>
          <w:p w14:paraId="096268C7">
            <w:pPr>
              <w:spacing w:line="360" w:lineRule="exact"/>
              <w:jc w:val="center"/>
              <w:rPr>
                <w:rFonts w:ascii="宋体" w:hAnsi="宋体"/>
                <w:color w:val="000000"/>
                <w:highlight w:val="none"/>
              </w:rPr>
            </w:pPr>
            <w:r>
              <w:rPr>
                <w:rFonts w:hint="eastAsia" w:ascii="宋体" w:hAnsi="宋体"/>
                <w:color w:val="000000"/>
                <w:highlight w:val="none"/>
              </w:rPr>
              <w:t>0.5%</w:t>
            </w:r>
          </w:p>
        </w:tc>
        <w:tc>
          <w:tcPr>
            <w:tcW w:w="1980" w:type="dxa"/>
            <w:noWrap w:val="0"/>
            <w:vAlign w:val="top"/>
          </w:tcPr>
          <w:p w14:paraId="726B1099">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E2C2623">
            <w:pPr>
              <w:spacing w:line="360" w:lineRule="exact"/>
              <w:jc w:val="center"/>
              <w:rPr>
                <w:rFonts w:ascii="宋体" w:hAnsi="宋体"/>
                <w:color w:val="000000"/>
                <w:highlight w:val="none"/>
              </w:rPr>
            </w:pPr>
            <w:r>
              <w:rPr>
                <w:rFonts w:hint="eastAsia" w:ascii="宋体" w:hAnsi="宋体"/>
                <w:color w:val="000000"/>
                <w:highlight w:val="none"/>
              </w:rPr>
              <w:t>0.35%</w:t>
            </w:r>
          </w:p>
        </w:tc>
      </w:tr>
      <w:tr w14:paraId="5C4C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72163E4">
            <w:pPr>
              <w:spacing w:line="360" w:lineRule="exact"/>
              <w:jc w:val="center"/>
              <w:rPr>
                <w:rFonts w:ascii="宋体" w:hAnsi="宋体"/>
                <w:color w:val="000000"/>
                <w:highlight w:val="none"/>
              </w:rPr>
            </w:pPr>
            <w:r>
              <w:rPr>
                <w:rFonts w:hint="eastAsia" w:ascii="宋体" w:hAnsi="宋体"/>
                <w:color w:val="000000"/>
                <w:highlight w:val="none"/>
              </w:rPr>
              <w:t>5000-10000</w:t>
            </w:r>
          </w:p>
        </w:tc>
        <w:tc>
          <w:tcPr>
            <w:tcW w:w="1732" w:type="dxa"/>
            <w:noWrap w:val="0"/>
            <w:vAlign w:val="top"/>
          </w:tcPr>
          <w:p w14:paraId="09787BA2">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4202E50">
            <w:pPr>
              <w:spacing w:line="360" w:lineRule="exact"/>
              <w:jc w:val="center"/>
              <w:rPr>
                <w:rFonts w:ascii="宋体" w:hAnsi="宋体"/>
                <w:color w:val="000000"/>
                <w:highlight w:val="none"/>
              </w:rPr>
            </w:pPr>
            <w:r>
              <w:rPr>
                <w:rFonts w:hint="eastAsia" w:ascii="宋体" w:hAnsi="宋体"/>
                <w:color w:val="000000"/>
                <w:highlight w:val="none"/>
              </w:rPr>
              <w:t>0.1%</w:t>
            </w:r>
          </w:p>
        </w:tc>
        <w:tc>
          <w:tcPr>
            <w:tcW w:w="1980" w:type="dxa"/>
            <w:noWrap w:val="0"/>
            <w:vAlign w:val="top"/>
          </w:tcPr>
          <w:p w14:paraId="6771741D">
            <w:pPr>
              <w:spacing w:line="360" w:lineRule="exact"/>
              <w:jc w:val="center"/>
              <w:rPr>
                <w:rFonts w:ascii="宋体" w:hAnsi="宋体"/>
                <w:color w:val="000000"/>
                <w:highlight w:val="none"/>
              </w:rPr>
            </w:pPr>
            <w:r>
              <w:rPr>
                <w:rFonts w:hint="eastAsia" w:ascii="宋体" w:hAnsi="宋体"/>
                <w:color w:val="000000"/>
                <w:highlight w:val="none"/>
              </w:rPr>
              <w:t>0.2%</w:t>
            </w:r>
          </w:p>
        </w:tc>
      </w:tr>
      <w:tr w14:paraId="0D71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2D434DE9">
            <w:pPr>
              <w:spacing w:line="360" w:lineRule="exact"/>
              <w:jc w:val="center"/>
              <w:rPr>
                <w:rFonts w:ascii="宋体" w:hAnsi="宋体"/>
                <w:color w:val="000000"/>
                <w:highlight w:val="none"/>
              </w:rPr>
            </w:pPr>
            <w:r>
              <w:rPr>
                <w:rFonts w:hint="eastAsia" w:ascii="宋体" w:hAnsi="宋体"/>
                <w:color w:val="000000"/>
                <w:highlight w:val="none"/>
              </w:rPr>
              <w:t>10000-50000</w:t>
            </w:r>
          </w:p>
        </w:tc>
        <w:tc>
          <w:tcPr>
            <w:tcW w:w="1732" w:type="dxa"/>
            <w:noWrap w:val="0"/>
            <w:vAlign w:val="top"/>
          </w:tcPr>
          <w:p w14:paraId="242D16B7">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47408C0">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2CC4ECD">
            <w:pPr>
              <w:spacing w:line="360" w:lineRule="exact"/>
              <w:jc w:val="center"/>
              <w:rPr>
                <w:rFonts w:ascii="宋体" w:hAnsi="宋体"/>
                <w:color w:val="000000"/>
                <w:highlight w:val="none"/>
              </w:rPr>
            </w:pPr>
            <w:r>
              <w:rPr>
                <w:rFonts w:hint="eastAsia" w:ascii="宋体" w:hAnsi="宋体"/>
                <w:color w:val="000000"/>
                <w:highlight w:val="none"/>
              </w:rPr>
              <w:t>0.05%</w:t>
            </w:r>
          </w:p>
        </w:tc>
      </w:tr>
      <w:tr w14:paraId="5C8E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423FC3F">
            <w:pPr>
              <w:spacing w:line="360" w:lineRule="exact"/>
              <w:jc w:val="center"/>
              <w:rPr>
                <w:rFonts w:ascii="宋体" w:hAnsi="宋体"/>
                <w:color w:val="000000"/>
                <w:highlight w:val="none"/>
              </w:rPr>
            </w:pPr>
            <w:r>
              <w:rPr>
                <w:rFonts w:hint="eastAsia" w:ascii="宋体" w:hAnsi="宋体"/>
                <w:color w:val="000000"/>
                <w:highlight w:val="none"/>
              </w:rPr>
              <w:t>50000-100000</w:t>
            </w:r>
          </w:p>
        </w:tc>
        <w:tc>
          <w:tcPr>
            <w:tcW w:w="1732" w:type="dxa"/>
            <w:noWrap w:val="0"/>
            <w:vAlign w:val="top"/>
          </w:tcPr>
          <w:p w14:paraId="01F3320E">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36F55601">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45436C48">
            <w:pPr>
              <w:spacing w:line="360" w:lineRule="exact"/>
              <w:jc w:val="center"/>
              <w:rPr>
                <w:rFonts w:ascii="宋体" w:hAnsi="宋体"/>
                <w:color w:val="000000"/>
                <w:highlight w:val="none"/>
              </w:rPr>
            </w:pPr>
            <w:r>
              <w:rPr>
                <w:rFonts w:hint="eastAsia" w:ascii="宋体" w:hAnsi="宋体"/>
                <w:color w:val="000000"/>
                <w:highlight w:val="none"/>
              </w:rPr>
              <w:t>0.035%</w:t>
            </w:r>
          </w:p>
        </w:tc>
      </w:tr>
      <w:tr w14:paraId="7E4D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146DADCE">
            <w:pPr>
              <w:spacing w:line="360" w:lineRule="exact"/>
              <w:jc w:val="center"/>
              <w:rPr>
                <w:rFonts w:ascii="宋体" w:hAnsi="宋体"/>
                <w:color w:val="000000"/>
                <w:highlight w:val="none"/>
              </w:rPr>
            </w:pPr>
            <w:r>
              <w:rPr>
                <w:rFonts w:hint="eastAsia" w:ascii="宋体" w:hAnsi="宋体"/>
                <w:color w:val="000000"/>
                <w:highlight w:val="none"/>
              </w:rPr>
              <w:t>100000-500000</w:t>
            </w:r>
          </w:p>
        </w:tc>
        <w:tc>
          <w:tcPr>
            <w:tcW w:w="1732" w:type="dxa"/>
            <w:noWrap w:val="0"/>
            <w:vAlign w:val="top"/>
          </w:tcPr>
          <w:p w14:paraId="4309156A">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4DE2F871">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0CF96F3E">
            <w:pPr>
              <w:spacing w:line="360" w:lineRule="exact"/>
              <w:jc w:val="center"/>
              <w:rPr>
                <w:rFonts w:ascii="宋体" w:hAnsi="宋体"/>
                <w:color w:val="000000"/>
                <w:highlight w:val="none"/>
              </w:rPr>
            </w:pPr>
            <w:r>
              <w:rPr>
                <w:rFonts w:hint="eastAsia" w:ascii="宋体" w:hAnsi="宋体"/>
                <w:color w:val="000000"/>
                <w:highlight w:val="none"/>
              </w:rPr>
              <w:t>0.008%</w:t>
            </w:r>
          </w:p>
        </w:tc>
      </w:tr>
      <w:tr w14:paraId="274E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D1FEB8E">
            <w:pPr>
              <w:spacing w:line="360" w:lineRule="exact"/>
              <w:jc w:val="center"/>
              <w:rPr>
                <w:rFonts w:ascii="宋体" w:hAnsi="宋体"/>
                <w:color w:val="000000"/>
                <w:highlight w:val="none"/>
              </w:rPr>
            </w:pPr>
            <w:r>
              <w:rPr>
                <w:rFonts w:hint="eastAsia" w:ascii="宋体" w:hAnsi="宋体"/>
                <w:color w:val="000000"/>
                <w:highlight w:val="none"/>
              </w:rPr>
              <w:t>500000-1000000</w:t>
            </w:r>
          </w:p>
        </w:tc>
        <w:tc>
          <w:tcPr>
            <w:tcW w:w="1732" w:type="dxa"/>
            <w:noWrap w:val="0"/>
            <w:vAlign w:val="top"/>
          </w:tcPr>
          <w:p w14:paraId="03A5C162">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710BB0F8">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58569C1F">
            <w:pPr>
              <w:spacing w:line="360" w:lineRule="exact"/>
              <w:jc w:val="center"/>
              <w:rPr>
                <w:rFonts w:ascii="宋体" w:hAnsi="宋体"/>
                <w:color w:val="000000"/>
                <w:highlight w:val="none"/>
              </w:rPr>
            </w:pPr>
            <w:r>
              <w:rPr>
                <w:rFonts w:hint="eastAsia" w:ascii="宋体" w:hAnsi="宋体"/>
                <w:color w:val="000000"/>
                <w:highlight w:val="none"/>
              </w:rPr>
              <w:t>0.006%</w:t>
            </w:r>
          </w:p>
        </w:tc>
      </w:tr>
      <w:tr w14:paraId="6DEC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9" w:type="dxa"/>
            <w:noWrap w:val="0"/>
            <w:vAlign w:val="top"/>
          </w:tcPr>
          <w:p w14:paraId="1D93238B">
            <w:pPr>
              <w:spacing w:line="360" w:lineRule="exact"/>
              <w:jc w:val="center"/>
              <w:rPr>
                <w:rFonts w:ascii="宋体" w:hAnsi="宋体"/>
                <w:color w:val="000000"/>
                <w:highlight w:val="none"/>
              </w:rPr>
            </w:pPr>
            <w:r>
              <w:rPr>
                <w:rFonts w:hint="eastAsia" w:ascii="宋体" w:hAnsi="宋体"/>
                <w:color w:val="000000"/>
                <w:highlight w:val="none"/>
              </w:rPr>
              <w:t>1000000以上</w:t>
            </w:r>
          </w:p>
        </w:tc>
        <w:tc>
          <w:tcPr>
            <w:tcW w:w="1732" w:type="dxa"/>
            <w:noWrap w:val="0"/>
            <w:vAlign w:val="top"/>
          </w:tcPr>
          <w:p w14:paraId="2E281B6E">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71E1294F">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32096DF6">
            <w:pPr>
              <w:spacing w:line="360" w:lineRule="exact"/>
              <w:jc w:val="center"/>
              <w:rPr>
                <w:rFonts w:ascii="宋体" w:hAnsi="宋体"/>
                <w:color w:val="000000"/>
                <w:highlight w:val="none"/>
              </w:rPr>
            </w:pPr>
            <w:r>
              <w:rPr>
                <w:rFonts w:hint="eastAsia" w:ascii="宋体" w:hAnsi="宋体"/>
                <w:color w:val="000000"/>
                <w:highlight w:val="none"/>
              </w:rPr>
              <w:t>0.004%</w:t>
            </w:r>
          </w:p>
        </w:tc>
      </w:tr>
    </w:tbl>
    <w:p w14:paraId="52C42C5D">
      <w:pPr>
        <w:tabs>
          <w:tab w:val="left" w:pos="1134"/>
          <w:tab w:val="left" w:pos="8364"/>
        </w:tabs>
        <w:spacing w:before="0" w:after="0" w:afterAutospacing="0" w:line="360" w:lineRule="auto"/>
        <w:ind w:left="0" w:right="0" w:firstLine="420" w:firstLineChars="200"/>
        <w:rPr>
          <w:rFonts w:hint="eastAsia" w:ascii="宋体" w:hAnsi="宋体"/>
          <w:color w:val="000000"/>
          <w:highlight w:val="none"/>
        </w:rPr>
      </w:pPr>
      <w:r>
        <w:rPr>
          <w:rFonts w:hint="eastAsia" w:ascii="宋体" w:hAnsi="宋体"/>
          <w:color w:val="000000"/>
          <w:highlight w:val="none"/>
        </w:rPr>
        <w:t>以本项目的</w:t>
      </w:r>
      <w:r>
        <w:rPr>
          <w:rFonts w:hint="eastAsia" w:ascii="宋体" w:hAnsi="宋体"/>
          <w:color w:val="000000"/>
          <w:highlight w:val="none"/>
          <w:lang w:eastAsia="zh-CN"/>
        </w:rPr>
        <w:t>招标控制价</w:t>
      </w:r>
      <w:r>
        <w:rPr>
          <w:rFonts w:hint="eastAsia" w:ascii="宋体" w:hAnsi="宋体"/>
          <w:color w:val="000000"/>
          <w:highlight w:val="none"/>
        </w:rPr>
        <w:t>为例，招标代理服务费计算过程如下：</w:t>
      </w:r>
    </w:p>
    <w:p w14:paraId="156EFFB8">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lang w:eastAsia="zh-CN"/>
        </w:rPr>
        <w:t>招标控制价</w:t>
      </w:r>
      <w:r>
        <w:rPr>
          <w:rFonts w:hint="eastAsia" w:ascii="宋体" w:hAnsi="宋体"/>
          <w:color w:val="000000"/>
          <w:highlight w:val="none"/>
        </w:rPr>
        <w:t>金额</w:t>
      </w:r>
      <w:r>
        <w:rPr>
          <w:rFonts w:hint="eastAsia" w:ascii="宋体" w:hAnsi="宋体"/>
          <w:color w:val="000000"/>
          <w:highlight w:val="none"/>
          <w:lang w:eastAsia="zh-CN"/>
        </w:rPr>
        <w:t>：</w:t>
      </w:r>
      <w:r>
        <w:rPr>
          <w:rFonts w:hint="eastAsia" w:ascii="宋体" w:hAnsi="宋体"/>
          <w:color w:val="000000"/>
          <w:highlight w:val="none"/>
          <w:lang w:val="en-US" w:eastAsia="zh-CN"/>
        </w:rPr>
        <w:t>2274.7</w:t>
      </w:r>
      <w:r>
        <w:rPr>
          <w:rFonts w:hint="eastAsia" w:ascii="宋体" w:hAnsi="宋体"/>
          <w:b w:val="0"/>
          <w:bCs w:val="0"/>
          <w:color w:val="000000"/>
          <w:szCs w:val="24"/>
          <w:highlight w:val="none"/>
          <w:lang w:val="en-US" w:eastAsia="zh-CN"/>
        </w:rPr>
        <w:t>万元</w:t>
      </w:r>
    </w:p>
    <w:p w14:paraId="3416598D">
      <w:pPr>
        <w:spacing w:line="360" w:lineRule="auto"/>
        <w:ind w:firstLine="420" w:firstLineChars="200"/>
        <w:jc w:val="left"/>
        <w:rPr>
          <w:rFonts w:hint="eastAsia" w:ascii="宋体" w:hAnsi="宋体"/>
          <w:highlight w:val="none"/>
        </w:rPr>
      </w:pPr>
      <w:r>
        <w:rPr>
          <w:rFonts w:hint="eastAsia" w:ascii="宋体" w:hAnsi="宋体"/>
          <w:highlight w:val="none"/>
        </w:rPr>
        <w:t>0---100：100</w:t>
      </w:r>
      <w:r>
        <w:rPr>
          <w:rFonts w:hint="eastAsia" w:ascii="宋体" w:hAnsi="宋体"/>
          <w:highlight w:val="none"/>
          <w:lang w:val="en-US" w:eastAsia="zh-CN"/>
        </w:rPr>
        <w:t>万元</w:t>
      </w:r>
      <w:r>
        <w:rPr>
          <w:rFonts w:hint="eastAsia" w:ascii="宋体" w:hAnsi="宋体"/>
          <w:highlight w:val="none"/>
        </w:rPr>
        <w:t>×1.50％=1</w:t>
      </w:r>
      <w:r>
        <w:rPr>
          <w:rFonts w:hint="eastAsia" w:ascii="宋体" w:hAnsi="宋体"/>
          <w:highlight w:val="none"/>
          <w:lang w:val="en-US" w:eastAsia="zh-CN"/>
        </w:rPr>
        <w:t>.</w:t>
      </w:r>
      <w:r>
        <w:rPr>
          <w:rFonts w:hint="eastAsia" w:ascii="宋体" w:hAnsi="宋体"/>
          <w:highlight w:val="none"/>
        </w:rPr>
        <w:t>5</w:t>
      </w:r>
      <w:r>
        <w:rPr>
          <w:rFonts w:hint="eastAsia" w:ascii="宋体" w:hAnsi="宋体"/>
          <w:b w:val="0"/>
          <w:bCs/>
          <w:color w:val="000000"/>
          <w:szCs w:val="21"/>
          <w:highlight w:val="none"/>
          <w:lang w:val="en-US" w:eastAsia="zh-CN"/>
        </w:rPr>
        <w:t>万元</w:t>
      </w:r>
    </w:p>
    <w:p w14:paraId="393013DD">
      <w:pPr>
        <w:spacing w:line="360" w:lineRule="auto"/>
        <w:ind w:firstLine="420" w:firstLineChars="200"/>
        <w:jc w:val="left"/>
        <w:rPr>
          <w:rFonts w:hint="eastAsia" w:ascii="宋体" w:hAnsi="宋体"/>
          <w:highlight w:val="none"/>
        </w:rPr>
      </w:pPr>
      <w:r>
        <w:rPr>
          <w:rFonts w:hint="eastAsia" w:ascii="宋体" w:hAnsi="宋体"/>
          <w:highlight w:val="none"/>
        </w:rPr>
        <w:t>100---500：400</w:t>
      </w:r>
      <w:r>
        <w:rPr>
          <w:rFonts w:hint="eastAsia" w:ascii="宋体" w:hAnsi="宋体"/>
          <w:highlight w:val="none"/>
          <w:lang w:val="en-US" w:eastAsia="zh-CN"/>
        </w:rPr>
        <w:t>万元</w:t>
      </w:r>
      <w:r>
        <w:rPr>
          <w:rFonts w:hint="eastAsia" w:ascii="宋体" w:hAnsi="宋体"/>
          <w:highlight w:val="none"/>
        </w:rPr>
        <w:t>×</w:t>
      </w:r>
      <w:r>
        <w:rPr>
          <w:rFonts w:hint="eastAsia" w:ascii="宋体" w:hAnsi="宋体"/>
          <w:highlight w:val="none"/>
          <w:lang w:val="en-US" w:eastAsia="zh-CN"/>
        </w:rPr>
        <w:t>1.1</w:t>
      </w:r>
      <w:r>
        <w:rPr>
          <w:rFonts w:hint="eastAsia" w:ascii="宋体" w:hAnsi="宋体"/>
          <w:highlight w:val="none"/>
        </w:rPr>
        <w:t>％=4</w:t>
      </w:r>
      <w:r>
        <w:rPr>
          <w:rFonts w:hint="eastAsia" w:ascii="宋体" w:hAnsi="宋体"/>
          <w:highlight w:val="none"/>
          <w:lang w:val="en-US" w:eastAsia="zh-CN"/>
        </w:rPr>
        <w:t>.</w:t>
      </w:r>
      <w:r>
        <w:rPr>
          <w:rFonts w:hint="eastAsia" w:ascii="宋体" w:hAnsi="宋体"/>
          <w:highlight w:val="none"/>
        </w:rPr>
        <w:t>4</w:t>
      </w:r>
      <w:r>
        <w:rPr>
          <w:rFonts w:hint="eastAsia" w:ascii="宋体" w:hAnsi="宋体"/>
          <w:b w:val="0"/>
          <w:bCs/>
          <w:color w:val="000000"/>
          <w:szCs w:val="21"/>
          <w:highlight w:val="none"/>
          <w:lang w:val="en-US" w:eastAsia="zh-CN"/>
        </w:rPr>
        <w:t>万元</w:t>
      </w:r>
    </w:p>
    <w:p w14:paraId="672F69D4">
      <w:pPr>
        <w:spacing w:line="360" w:lineRule="auto"/>
        <w:ind w:firstLine="420" w:firstLineChars="200"/>
        <w:jc w:val="left"/>
        <w:rPr>
          <w:rFonts w:hint="eastAsia" w:ascii="宋体" w:hAnsi="宋体"/>
          <w:highlight w:val="none"/>
        </w:rPr>
      </w:pPr>
      <w:r>
        <w:rPr>
          <w:rFonts w:hint="eastAsia" w:ascii="宋体" w:hAnsi="宋体"/>
          <w:highlight w:val="none"/>
        </w:rPr>
        <w:t>500---1000：500</w:t>
      </w:r>
      <w:r>
        <w:rPr>
          <w:rFonts w:hint="eastAsia" w:ascii="宋体" w:hAnsi="宋体"/>
          <w:highlight w:val="none"/>
          <w:lang w:val="en-US" w:eastAsia="zh-CN"/>
        </w:rPr>
        <w:t>万元</w:t>
      </w:r>
      <w:r>
        <w:rPr>
          <w:rFonts w:hint="eastAsia" w:ascii="宋体" w:hAnsi="宋体"/>
          <w:highlight w:val="none"/>
        </w:rPr>
        <w:t>×</w:t>
      </w:r>
      <w:r>
        <w:rPr>
          <w:rFonts w:hint="eastAsia" w:ascii="宋体" w:hAnsi="宋体"/>
          <w:color w:val="000000"/>
          <w:highlight w:val="none"/>
        </w:rPr>
        <w:t>0.8</w:t>
      </w:r>
      <w:r>
        <w:rPr>
          <w:rFonts w:hint="eastAsia" w:ascii="宋体" w:hAnsi="宋体"/>
          <w:highlight w:val="none"/>
        </w:rPr>
        <w:t>％=</w:t>
      </w:r>
      <w:r>
        <w:rPr>
          <w:rFonts w:hint="eastAsia" w:ascii="宋体" w:hAnsi="宋体"/>
          <w:highlight w:val="none"/>
          <w:lang w:val="en-US" w:eastAsia="zh-CN"/>
        </w:rPr>
        <w:t>4</w:t>
      </w:r>
      <w:r>
        <w:rPr>
          <w:rFonts w:hint="eastAsia" w:ascii="宋体" w:hAnsi="宋体"/>
          <w:b w:val="0"/>
          <w:bCs/>
          <w:color w:val="000000"/>
          <w:szCs w:val="21"/>
          <w:highlight w:val="none"/>
          <w:lang w:val="en-US" w:eastAsia="zh-CN"/>
        </w:rPr>
        <w:t>万元</w:t>
      </w:r>
    </w:p>
    <w:p w14:paraId="058A8668">
      <w:pPr>
        <w:spacing w:line="360" w:lineRule="auto"/>
        <w:ind w:firstLine="420" w:firstLineChars="200"/>
        <w:jc w:val="left"/>
        <w:rPr>
          <w:rFonts w:hint="default" w:ascii="宋体" w:hAnsi="宋体"/>
          <w:highlight w:val="none"/>
          <w:lang w:val="en-US"/>
        </w:rPr>
      </w:pPr>
      <w:r>
        <w:rPr>
          <w:rFonts w:hint="eastAsia" w:ascii="宋体" w:hAnsi="宋体"/>
          <w:highlight w:val="none"/>
        </w:rPr>
        <w:t>1000---</w:t>
      </w:r>
      <w:r>
        <w:rPr>
          <w:rFonts w:hint="eastAsia" w:ascii="宋体" w:hAnsi="宋体"/>
          <w:highlight w:val="none"/>
          <w:lang w:val="en-US" w:eastAsia="zh-CN"/>
        </w:rPr>
        <w:t>2274.7</w:t>
      </w:r>
      <w:r>
        <w:rPr>
          <w:rFonts w:hint="eastAsia" w:ascii="宋体" w:hAnsi="宋体"/>
          <w:highlight w:val="none"/>
        </w:rPr>
        <w:t>：</w:t>
      </w:r>
      <w:r>
        <w:rPr>
          <w:rFonts w:hint="eastAsia" w:ascii="宋体" w:hAnsi="宋体"/>
          <w:highlight w:val="none"/>
          <w:lang w:val="en-US" w:eastAsia="zh-CN"/>
        </w:rPr>
        <w:t>1274.7万元</w:t>
      </w:r>
      <w:r>
        <w:rPr>
          <w:rFonts w:hint="eastAsia" w:ascii="宋体" w:hAnsi="宋体"/>
          <w:highlight w:val="none"/>
        </w:rPr>
        <w:t>×0.5％=</w:t>
      </w:r>
      <w:r>
        <w:rPr>
          <w:rFonts w:hint="eastAsia" w:ascii="宋体" w:hAnsi="宋体"/>
          <w:highlight w:val="none"/>
          <w:lang w:val="en-US" w:eastAsia="zh-CN"/>
        </w:rPr>
        <w:t>6.3735</w:t>
      </w:r>
      <w:r>
        <w:rPr>
          <w:rFonts w:hint="eastAsia" w:ascii="宋体" w:hAnsi="宋体"/>
          <w:b w:val="0"/>
          <w:bCs/>
          <w:color w:val="000000"/>
          <w:szCs w:val="21"/>
          <w:highlight w:val="none"/>
          <w:lang w:val="en-US" w:eastAsia="zh-CN"/>
        </w:rPr>
        <w:t>万元</w:t>
      </w:r>
    </w:p>
    <w:p w14:paraId="261C60BA">
      <w:pPr>
        <w:spacing w:line="360" w:lineRule="auto"/>
        <w:ind w:firstLine="420" w:firstLineChars="200"/>
        <w:jc w:val="left"/>
        <w:rPr>
          <w:rFonts w:hint="default" w:ascii="宋体" w:hAnsi="宋体" w:eastAsia="宋体"/>
          <w:highlight w:val="none"/>
          <w:lang w:val="en-US" w:eastAsia="zh-CN"/>
        </w:rPr>
      </w:pPr>
      <w:r>
        <w:rPr>
          <w:rFonts w:hint="eastAsia" w:ascii="宋体" w:hAnsi="宋体"/>
          <w:highlight w:val="none"/>
        </w:rPr>
        <w:t>各项结果累计得：1</w:t>
      </w:r>
      <w:r>
        <w:rPr>
          <w:rFonts w:hint="eastAsia" w:ascii="宋体" w:hAnsi="宋体"/>
          <w:highlight w:val="none"/>
          <w:lang w:val="en-US" w:eastAsia="zh-CN"/>
        </w:rPr>
        <w:t>.</w:t>
      </w:r>
      <w:r>
        <w:rPr>
          <w:rFonts w:hint="eastAsia" w:ascii="宋体" w:hAnsi="宋体"/>
          <w:highlight w:val="none"/>
        </w:rPr>
        <w:t>5</w:t>
      </w:r>
      <w:r>
        <w:rPr>
          <w:rFonts w:hint="eastAsia" w:ascii="宋体" w:hAnsi="宋体"/>
          <w:highlight w:val="none"/>
          <w:lang w:val="en-US" w:eastAsia="zh-CN"/>
        </w:rPr>
        <w:t>+</w:t>
      </w:r>
      <w:r>
        <w:rPr>
          <w:rFonts w:hint="eastAsia" w:ascii="宋体" w:hAnsi="宋体"/>
          <w:highlight w:val="none"/>
        </w:rPr>
        <w:t>4</w:t>
      </w:r>
      <w:r>
        <w:rPr>
          <w:rFonts w:hint="eastAsia" w:ascii="宋体" w:hAnsi="宋体"/>
          <w:highlight w:val="none"/>
          <w:lang w:val="en-US" w:eastAsia="zh-CN"/>
        </w:rPr>
        <w:t>.</w:t>
      </w:r>
      <w:r>
        <w:rPr>
          <w:rFonts w:hint="eastAsia" w:ascii="宋体" w:hAnsi="宋体"/>
          <w:highlight w:val="none"/>
        </w:rPr>
        <w:t>4</w:t>
      </w:r>
      <w:r>
        <w:rPr>
          <w:rFonts w:hint="eastAsia" w:ascii="宋体" w:hAnsi="宋体"/>
          <w:highlight w:val="none"/>
          <w:lang w:val="en-US" w:eastAsia="zh-CN"/>
        </w:rPr>
        <w:t>+4+6.3735=16.2735</w:t>
      </w:r>
      <w:r>
        <w:rPr>
          <w:rFonts w:hint="eastAsia" w:ascii="宋体" w:hAnsi="宋体"/>
          <w:b w:val="0"/>
          <w:bCs/>
          <w:color w:val="000000"/>
          <w:szCs w:val="21"/>
          <w:highlight w:val="none"/>
          <w:lang w:val="en-US" w:eastAsia="zh-CN"/>
        </w:rPr>
        <w:t>万元</w:t>
      </w:r>
    </w:p>
    <w:p w14:paraId="19DF2F17">
      <w:pPr>
        <w:spacing w:line="360" w:lineRule="auto"/>
        <w:ind w:firstLine="420" w:firstLineChars="200"/>
        <w:jc w:val="left"/>
        <w:rPr>
          <w:rFonts w:hint="default" w:ascii="宋体" w:hAnsi="宋体" w:eastAsia="宋体"/>
          <w:highlight w:val="none"/>
          <w:lang w:val="en-US" w:eastAsia="zh-CN"/>
        </w:rPr>
      </w:pPr>
      <w:r>
        <w:rPr>
          <w:rFonts w:hint="eastAsia" w:ascii="宋体" w:hAnsi="宋体"/>
          <w:highlight w:val="none"/>
        </w:rPr>
        <w:t>招标代理服务费=</w:t>
      </w:r>
      <w:r>
        <w:rPr>
          <w:rFonts w:hint="eastAsia" w:ascii="宋体" w:hAnsi="宋体"/>
          <w:highlight w:val="none"/>
          <w:lang w:val="en-US" w:eastAsia="zh-CN"/>
        </w:rPr>
        <w:t>16.2735</w:t>
      </w:r>
      <w:r>
        <w:rPr>
          <w:rFonts w:hint="eastAsia" w:ascii="宋体" w:hAnsi="宋体"/>
          <w:highlight w:val="none"/>
        </w:rPr>
        <w:t>×</w:t>
      </w:r>
      <w:r>
        <w:rPr>
          <w:rFonts w:hint="eastAsia" w:ascii="宋体" w:hAnsi="宋体"/>
          <w:highlight w:val="none"/>
          <w:lang w:eastAsia="zh-CN"/>
        </w:rPr>
        <w:t>（</w:t>
      </w:r>
      <w:r>
        <w:rPr>
          <w:rFonts w:hint="eastAsia" w:ascii="宋体" w:hAnsi="宋体"/>
          <w:highlight w:val="none"/>
          <w:lang w:val="en-US" w:eastAsia="zh-CN"/>
        </w:rPr>
        <w:t>1-55%</w:t>
      </w:r>
      <w:r>
        <w:rPr>
          <w:rFonts w:hint="eastAsia" w:ascii="宋体" w:hAnsi="宋体"/>
          <w:highlight w:val="none"/>
          <w:lang w:eastAsia="zh-CN"/>
        </w:rPr>
        <w:t>）</w:t>
      </w:r>
      <w:r>
        <w:rPr>
          <w:rFonts w:hint="eastAsia" w:ascii="宋体" w:hAnsi="宋体"/>
          <w:highlight w:val="none"/>
        </w:rPr>
        <w:t>=7.323075</w:t>
      </w:r>
      <w:r>
        <w:rPr>
          <w:rFonts w:hint="eastAsia" w:ascii="宋体" w:hAnsi="宋体"/>
          <w:b w:val="0"/>
          <w:bCs/>
          <w:color w:val="000000"/>
          <w:szCs w:val="21"/>
          <w:highlight w:val="none"/>
          <w:lang w:val="en-US" w:eastAsia="zh-CN"/>
        </w:rPr>
        <w:t>万元=7.32万元</w:t>
      </w:r>
    </w:p>
    <w:p w14:paraId="0FE835CC">
      <w:pPr>
        <w:tabs>
          <w:tab w:val="left" w:pos="1134"/>
          <w:tab w:val="left" w:pos="8364"/>
        </w:tabs>
        <w:spacing w:before="0" w:after="0" w:afterAutospacing="0" w:line="360" w:lineRule="auto"/>
        <w:ind w:left="0" w:right="0" w:firstLine="420" w:firstLineChars="200"/>
        <w:jc w:val="left"/>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2</w:t>
      </w:r>
      <w:r>
        <w:rPr>
          <w:rFonts w:hint="eastAsia" w:ascii="宋体" w:hAnsi="宋体"/>
          <w:color w:val="000000"/>
          <w:highlight w:val="none"/>
        </w:rPr>
        <w:t>）本招标项目招标代理费用支付方式及预计金额见投标人须知前附表，最终实际支付金额以中标价为基数计算</w:t>
      </w:r>
      <w:r>
        <w:rPr>
          <w:rFonts w:hint="eastAsia" w:ascii="宋体" w:hAnsi="宋体"/>
          <w:color w:val="000000"/>
          <w:highlight w:val="none"/>
          <w:lang w:eastAsia="zh-CN"/>
        </w:rPr>
        <w:t>，</w:t>
      </w:r>
      <w:r>
        <w:rPr>
          <w:rFonts w:hint="eastAsia" w:ascii="宋体" w:hAnsi="宋体"/>
          <w:color w:val="000000"/>
          <w:highlight w:val="none"/>
          <w:lang w:val="en-US" w:eastAsia="zh-CN"/>
        </w:rPr>
        <w:t>根据中标人数量平均分摊支付</w:t>
      </w:r>
      <w:r>
        <w:rPr>
          <w:rFonts w:hint="eastAsia" w:ascii="宋体" w:hAnsi="宋体"/>
          <w:color w:val="000000"/>
          <w:highlight w:val="none"/>
        </w:rPr>
        <w:t>。</w:t>
      </w:r>
    </w:p>
    <w:p w14:paraId="2A1D1CB3">
      <w:pPr>
        <w:spacing w:before="0" w:after="0" w:afterAutospacing="0" w:line="240" w:lineRule="auto"/>
        <w:ind w:left="0" w:right="0" w:firstLine="0" w:firstLineChars="0"/>
        <w:jc w:val="left"/>
        <w:rPr>
          <w:rFonts w:hint="eastAsia" w:ascii="宋体" w:hAnsi="宋体"/>
          <w:color w:val="000000"/>
          <w:highlight w:val="none"/>
        </w:rPr>
      </w:pPr>
      <w:r>
        <w:rPr>
          <w:rFonts w:hint="eastAsia" w:ascii="宋体" w:hAnsi="宋体"/>
          <w:color w:val="000000"/>
          <w:highlight w:val="none"/>
        </w:rPr>
        <w:br w:type="page"/>
      </w:r>
    </w:p>
    <w:p w14:paraId="0A98C9AA">
      <w:pPr>
        <w:spacing w:before="0" w:after="0" w:afterAutospacing="0" w:line="360" w:lineRule="auto"/>
        <w:ind w:left="0" w:right="0" w:firstLine="420" w:firstLineChars="200"/>
        <w:jc w:val="left"/>
        <w:rPr>
          <w:rFonts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3</w:t>
      </w:r>
      <w:r>
        <w:rPr>
          <w:rFonts w:hint="eastAsia" w:ascii="宋体" w:hAnsi="宋体"/>
          <w:color w:val="000000"/>
          <w:highlight w:val="none"/>
        </w:rPr>
        <w:t>）招标代理费用支付单</w:t>
      </w:r>
    </w:p>
    <w:tbl>
      <w:tblPr>
        <w:tblStyle w:val="49"/>
        <w:tblW w:w="10125" w:type="dxa"/>
        <w:jc w:val="center"/>
        <w:tblLayout w:type="fixed"/>
        <w:tblCellMar>
          <w:top w:w="0" w:type="dxa"/>
          <w:left w:w="108" w:type="dxa"/>
          <w:bottom w:w="0" w:type="dxa"/>
          <w:right w:w="108" w:type="dxa"/>
        </w:tblCellMar>
      </w:tblPr>
      <w:tblGrid>
        <w:gridCol w:w="1605"/>
        <w:gridCol w:w="6082"/>
        <w:gridCol w:w="1808"/>
        <w:gridCol w:w="630"/>
      </w:tblGrid>
      <w:tr w14:paraId="320B2BBF">
        <w:tblPrEx>
          <w:tblCellMar>
            <w:top w:w="0" w:type="dxa"/>
            <w:left w:w="108" w:type="dxa"/>
            <w:bottom w:w="0" w:type="dxa"/>
            <w:right w:w="108" w:type="dxa"/>
          </w:tblCellMar>
        </w:tblPrEx>
        <w:trPr>
          <w:trHeight w:val="538" w:hRule="atLeast"/>
          <w:jc w:val="center"/>
        </w:trPr>
        <w:tc>
          <w:tcPr>
            <w:tcW w:w="10125" w:type="dxa"/>
            <w:gridSpan w:val="4"/>
            <w:tcBorders>
              <w:top w:val="single" w:color="000000" w:sz="4" w:space="0"/>
              <w:left w:val="single" w:color="000000" w:sz="4" w:space="0"/>
              <w:bottom w:val="nil"/>
              <w:right w:val="single" w:color="000000" w:sz="4" w:space="0"/>
            </w:tcBorders>
            <w:noWrap/>
            <w:vAlign w:val="center"/>
          </w:tcPr>
          <w:p w14:paraId="431552CC">
            <w:pPr>
              <w:jc w:val="center"/>
              <w:textAlignment w:val="center"/>
              <w:rPr>
                <w:rFonts w:ascii="宋体" w:hAnsi="宋体" w:cs="宋体"/>
                <w:b/>
                <w:bCs/>
                <w:color w:val="000000"/>
                <w:highlight w:val="none"/>
              </w:rPr>
            </w:pPr>
            <w:r>
              <w:rPr>
                <w:rFonts w:hint="eastAsia" w:ascii="宋体" w:hAnsi="宋体" w:cs="宋体"/>
                <w:b/>
                <w:bCs/>
                <w:color w:val="000000"/>
                <w:sz w:val="24"/>
                <w:szCs w:val="24"/>
                <w:highlight w:val="none"/>
              </w:rPr>
              <w:t>招标代理费用支付单</w:t>
            </w:r>
          </w:p>
        </w:tc>
      </w:tr>
      <w:tr w14:paraId="6682A47F">
        <w:tblPrEx>
          <w:tblCellMar>
            <w:top w:w="0" w:type="dxa"/>
            <w:left w:w="108" w:type="dxa"/>
            <w:bottom w:w="0" w:type="dxa"/>
            <w:right w:w="108" w:type="dxa"/>
          </w:tblCellMar>
        </w:tblPrEx>
        <w:trPr>
          <w:trHeight w:val="418"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78AA0F62">
            <w:pPr>
              <w:jc w:val="right"/>
              <w:textAlignment w:val="center"/>
              <w:rPr>
                <w:rFonts w:ascii="宋体" w:hAnsi="宋体" w:cs="宋体"/>
                <w:color w:val="000000"/>
                <w:highlight w:val="none"/>
              </w:rPr>
            </w:pPr>
            <w:r>
              <w:rPr>
                <w:rFonts w:hint="eastAsia" w:ascii="宋体" w:hAnsi="宋体" w:cs="宋体"/>
                <w:color w:val="000000"/>
                <w:highlight w:val="none"/>
              </w:rPr>
              <w:t xml:space="preserve">                                                日期：    年    月   日</w:t>
            </w:r>
          </w:p>
        </w:tc>
      </w:tr>
      <w:tr w14:paraId="67E2DEBE">
        <w:tblPrEx>
          <w:tblCellMar>
            <w:top w:w="0" w:type="dxa"/>
            <w:left w:w="108" w:type="dxa"/>
            <w:bottom w:w="0" w:type="dxa"/>
            <w:right w:w="108" w:type="dxa"/>
          </w:tblCellMar>
        </w:tblPrEx>
        <w:trPr>
          <w:trHeight w:val="429"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7DA8E4A">
            <w:pPr>
              <w:textAlignment w:val="center"/>
              <w:rPr>
                <w:rFonts w:ascii="宋体" w:hAnsi="宋体" w:cs="宋体"/>
                <w:b/>
                <w:bCs/>
                <w:color w:val="000000"/>
                <w:highlight w:val="none"/>
              </w:rPr>
            </w:pPr>
            <w:r>
              <w:rPr>
                <w:rFonts w:hint="eastAsia" w:ascii="宋体" w:hAnsi="宋体" w:cs="宋体"/>
                <w:b/>
                <w:bCs/>
                <w:color w:val="000000"/>
                <w:highlight w:val="none"/>
              </w:rPr>
              <w:t>项目名称：</w:t>
            </w:r>
          </w:p>
        </w:tc>
      </w:tr>
      <w:tr w14:paraId="5F7FC028">
        <w:tblPrEx>
          <w:tblCellMar>
            <w:top w:w="0" w:type="dxa"/>
            <w:left w:w="108" w:type="dxa"/>
            <w:bottom w:w="0" w:type="dxa"/>
            <w:right w:w="108" w:type="dxa"/>
          </w:tblCellMar>
        </w:tblPrEx>
        <w:trPr>
          <w:trHeight w:val="340"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EEA25B7">
            <w:pPr>
              <w:textAlignment w:val="center"/>
              <w:rPr>
                <w:rFonts w:ascii="宋体" w:hAnsi="宋体" w:cs="宋体"/>
                <w:color w:val="000000"/>
                <w:highlight w:val="none"/>
              </w:rPr>
            </w:pPr>
            <w:r>
              <w:rPr>
                <w:rFonts w:hint="eastAsia" w:ascii="宋体" w:hAnsi="宋体" w:cs="宋体"/>
                <w:b/>
                <w:bCs/>
                <w:color w:val="000000"/>
                <w:highlight w:val="none"/>
              </w:rPr>
              <w:t>项目编号：</w:t>
            </w:r>
          </w:p>
        </w:tc>
      </w:tr>
      <w:tr w14:paraId="787D6192">
        <w:tblPrEx>
          <w:tblCellMar>
            <w:top w:w="0" w:type="dxa"/>
            <w:left w:w="108" w:type="dxa"/>
            <w:bottom w:w="0" w:type="dxa"/>
            <w:right w:w="108" w:type="dxa"/>
          </w:tblCellMar>
        </w:tblPrEx>
        <w:trPr>
          <w:trHeight w:val="4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5D17FA2">
            <w:pPr>
              <w:textAlignment w:val="center"/>
              <w:rPr>
                <w:rFonts w:ascii="宋体" w:hAnsi="宋体" w:cs="宋体"/>
                <w:b/>
                <w:bCs/>
                <w:color w:val="000000"/>
                <w:highlight w:val="none"/>
              </w:rPr>
            </w:pPr>
            <w:r>
              <w:rPr>
                <w:rFonts w:hint="eastAsia" w:ascii="宋体" w:hAnsi="宋体" w:cs="宋体"/>
                <w:b/>
                <w:bCs/>
                <w:color w:val="000000"/>
                <w:highlight w:val="none"/>
              </w:rPr>
              <w:t>招标人：</w:t>
            </w:r>
          </w:p>
        </w:tc>
      </w:tr>
      <w:tr w14:paraId="5F763D4A">
        <w:tblPrEx>
          <w:tblCellMar>
            <w:top w:w="0" w:type="dxa"/>
            <w:left w:w="108" w:type="dxa"/>
            <w:bottom w:w="0" w:type="dxa"/>
            <w:right w:w="108" w:type="dxa"/>
          </w:tblCellMar>
        </w:tblPrEx>
        <w:trPr>
          <w:trHeight w:val="43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5307BDD">
            <w:pPr>
              <w:textAlignment w:val="center"/>
              <w:rPr>
                <w:rFonts w:ascii="宋体" w:hAnsi="宋体" w:cs="宋体"/>
                <w:b/>
                <w:bCs/>
                <w:color w:val="000000"/>
                <w:highlight w:val="none"/>
              </w:rPr>
            </w:pPr>
            <w:r>
              <w:rPr>
                <w:rFonts w:hint="eastAsia" w:ascii="宋体" w:hAnsi="宋体" w:cs="宋体"/>
                <w:b/>
                <w:bCs/>
                <w:color w:val="000000"/>
                <w:highlight w:val="none"/>
              </w:rPr>
              <w:t>招标代理：</w:t>
            </w:r>
          </w:p>
        </w:tc>
      </w:tr>
      <w:tr w14:paraId="67F970C2">
        <w:tblPrEx>
          <w:tblCellMar>
            <w:top w:w="0" w:type="dxa"/>
            <w:left w:w="108" w:type="dxa"/>
            <w:bottom w:w="0" w:type="dxa"/>
            <w:right w:w="108" w:type="dxa"/>
          </w:tblCellMar>
        </w:tblPrEx>
        <w:trPr>
          <w:trHeight w:val="5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DAD5B45">
            <w:pPr>
              <w:textAlignment w:val="center"/>
              <w:rPr>
                <w:rFonts w:ascii="宋体" w:hAnsi="宋体" w:cs="宋体"/>
                <w:b/>
                <w:bCs/>
                <w:color w:val="000000"/>
                <w:highlight w:val="none"/>
              </w:rPr>
            </w:pPr>
            <w:r>
              <w:rPr>
                <w:rFonts w:hint="eastAsia" w:ascii="宋体" w:hAnsi="宋体" w:cs="宋体"/>
                <w:b/>
                <w:bCs/>
                <w:color w:val="000000"/>
                <w:highlight w:val="none"/>
              </w:rPr>
              <w:t>中标人：</w:t>
            </w:r>
          </w:p>
        </w:tc>
      </w:tr>
      <w:tr w14:paraId="49F891AA">
        <w:tblPrEx>
          <w:tblCellMar>
            <w:top w:w="0" w:type="dxa"/>
            <w:left w:w="108" w:type="dxa"/>
            <w:bottom w:w="0" w:type="dxa"/>
            <w:right w:w="108" w:type="dxa"/>
          </w:tblCellMar>
        </w:tblPrEx>
        <w:trPr>
          <w:trHeight w:val="524"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14A9AFF">
            <w:pPr>
              <w:textAlignment w:val="center"/>
              <w:rPr>
                <w:rFonts w:ascii="宋体" w:hAnsi="宋体" w:cs="宋体"/>
                <w:b/>
                <w:bCs/>
                <w:color w:val="000000"/>
                <w:highlight w:val="none"/>
              </w:rPr>
            </w:pPr>
            <w:r>
              <w:rPr>
                <w:rFonts w:hint="eastAsia" w:ascii="宋体" w:hAnsi="宋体" w:cs="宋体"/>
                <w:b/>
                <w:bCs/>
                <w:color w:val="000000"/>
                <w:highlight w:val="none"/>
              </w:rPr>
              <w:t>中标价：</w:t>
            </w:r>
          </w:p>
        </w:tc>
      </w:tr>
      <w:tr w14:paraId="146D1AC0">
        <w:tblPrEx>
          <w:tblCellMar>
            <w:top w:w="0" w:type="dxa"/>
            <w:left w:w="108" w:type="dxa"/>
            <w:bottom w:w="0" w:type="dxa"/>
            <w:right w:w="108" w:type="dxa"/>
          </w:tblCellMar>
        </w:tblPrEx>
        <w:trPr>
          <w:trHeight w:val="311"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38F09E2A">
            <w:pPr>
              <w:jc w:val="center"/>
              <w:textAlignment w:val="center"/>
              <w:rPr>
                <w:rFonts w:ascii="宋体" w:hAnsi="宋体" w:cs="宋体"/>
                <w:b/>
                <w:bCs/>
                <w:color w:val="000000"/>
                <w:highlight w:val="none"/>
              </w:rPr>
            </w:pPr>
            <w:r>
              <w:rPr>
                <w:rFonts w:hint="eastAsia" w:ascii="宋体" w:hAnsi="宋体" w:cs="宋体"/>
                <w:b/>
                <w:bCs/>
                <w:color w:val="000000"/>
                <w:highlight w:val="none"/>
              </w:rPr>
              <w:t>招标代理费用计算式</w:t>
            </w:r>
          </w:p>
        </w:tc>
      </w:tr>
      <w:tr w14:paraId="5379AC10">
        <w:tblPrEx>
          <w:tblCellMar>
            <w:top w:w="0" w:type="dxa"/>
            <w:left w:w="108" w:type="dxa"/>
            <w:bottom w:w="0" w:type="dxa"/>
            <w:right w:w="108" w:type="dxa"/>
          </w:tblCellMar>
        </w:tblPrEx>
        <w:trPr>
          <w:trHeight w:val="766" w:hRule="atLeast"/>
          <w:jc w:val="center"/>
        </w:trPr>
        <w:tc>
          <w:tcPr>
            <w:tcW w:w="1605" w:type="dxa"/>
            <w:tcBorders>
              <w:top w:val="nil"/>
              <w:left w:val="single" w:color="000000" w:sz="4" w:space="0"/>
              <w:bottom w:val="nil"/>
              <w:right w:val="nil"/>
            </w:tcBorders>
            <w:noWrap/>
            <w:vAlign w:val="center"/>
          </w:tcPr>
          <w:p w14:paraId="323FC06F">
            <w:pPr>
              <w:jc w:val="left"/>
              <w:rPr>
                <w:rFonts w:ascii="宋体" w:hAnsi="宋体" w:cs="宋体"/>
                <w:color w:val="000000"/>
                <w:highlight w:val="none"/>
              </w:rPr>
            </w:pPr>
          </w:p>
        </w:tc>
        <w:tc>
          <w:tcPr>
            <w:tcW w:w="6082" w:type="dxa"/>
            <w:tcBorders>
              <w:top w:val="nil"/>
              <w:left w:val="nil"/>
              <w:bottom w:val="nil"/>
              <w:right w:val="nil"/>
            </w:tcBorders>
            <w:noWrap/>
            <w:vAlign w:val="center"/>
          </w:tcPr>
          <w:p w14:paraId="24685436">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544D9F92">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1FBF58F0">
            <w:pPr>
              <w:spacing w:line="480" w:lineRule="exact"/>
              <w:jc w:val="left"/>
              <w:rPr>
                <w:rFonts w:ascii="宋体" w:hAnsi="宋体"/>
                <w:color w:val="000000"/>
                <w:kern w:val="2"/>
                <w:highlight w:val="none"/>
              </w:rPr>
            </w:pPr>
          </w:p>
        </w:tc>
      </w:tr>
      <w:tr w14:paraId="75BD2AE8">
        <w:tblPrEx>
          <w:tblCellMar>
            <w:top w:w="0" w:type="dxa"/>
            <w:left w:w="108" w:type="dxa"/>
            <w:bottom w:w="0" w:type="dxa"/>
            <w:right w:w="108" w:type="dxa"/>
          </w:tblCellMar>
        </w:tblPrEx>
        <w:trPr>
          <w:trHeight w:val="450" w:hRule="atLeast"/>
          <w:jc w:val="center"/>
        </w:trPr>
        <w:tc>
          <w:tcPr>
            <w:tcW w:w="1605" w:type="dxa"/>
            <w:tcBorders>
              <w:top w:val="nil"/>
              <w:left w:val="single" w:color="000000" w:sz="4" w:space="0"/>
              <w:bottom w:val="nil"/>
              <w:right w:val="nil"/>
            </w:tcBorders>
            <w:noWrap/>
            <w:textDirection w:val="tbRlV"/>
            <w:vAlign w:val="center"/>
          </w:tcPr>
          <w:p w14:paraId="75375BE0">
            <w:pPr>
              <w:rPr>
                <w:rFonts w:ascii="宋体" w:hAnsi="宋体" w:cs="宋体"/>
                <w:color w:val="000000"/>
                <w:highlight w:val="none"/>
              </w:rPr>
            </w:pPr>
          </w:p>
        </w:tc>
        <w:tc>
          <w:tcPr>
            <w:tcW w:w="6082" w:type="dxa"/>
            <w:tcBorders>
              <w:top w:val="nil"/>
              <w:left w:val="nil"/>
              <w:bottom w:val="nil"/>
              <w:right w:val="nil"/>
            </w:tcBorders>
            <w:noWrap/>
            <w:vAlign w:val="center"/>
          </w:tcPr>
          <w:p w14:paraId="29870CB0">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21359F78">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02B40C00">
            <w:pPr>
              <w:spacing w:line="480" w:lineRule="exact"/>
              <w:jc w:val="left"/>
              <w:rPr>
                <w:rFonts w:ascii="宋体" w:hAnsi="宋体"/>
                <w:color w:val="000000"/>
                <w:kern w:val="2"/>
                <w:highlight w:val="none"/>
              </w:rPr>
            </w:pPr>
          </w:p>
        </w:tc>
      </w:tr>
      <w:tr w14:paraId="2E954694">
        <w:tblPrEx>
          <w:tblCellMar>
            <w:top w:w="0" w:type="dxa"/>
            <w:left w:w="108" w:type="dxa"/>
            <w:bottom w:w="0" w:type="dxa"/>
            <w:right w:w="108" w:type="dxa"/>
          </w:tblCellMar>
        </w:tblPrEx>
        <w:trPr>
          <w:trHeight w:val="80"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4E779CA4">
            <w:pPr>
              <w:ind w:left="0" w:firstLine="0"/>
              <w:jc w:val="left"/>
              <w:textAlignment w:val="center"/>
              <w:rPr>
                <w:rFonts w:ascii="宋体" w:hAnsi="宋体" w:cs="宋体"/>
                <w:color w:val="000000"/>
                <w:highlight w:val="none"/>
              </w:rPr>
            </w:pPr>
            <w:r>
              <w:rPr>
                <w:rFonts w:hint="eastAsia" w:ascii="宋体" w:hAnsi="宋体" w:cs="宋体"/>
                <w:color w:val="000000"/>
                <w:highlight w:val="none"/>
              </w:rPr>
              <w:t>注：根据招标文件及招标代理合同约定，本项目按货物招标类型取费率计算,由中标人付费。</w:t>
            </w:r>
          </w:p>
        </w:tc>
      </w:tr>
      <w:tr w14:paraId="00BF1D41">
        <w:tblPrEx>
          <w:tblCellMar>
            <w:top w:w="0" w:type="dxa"/>
            <w:left w:w="108" w:type="dxa"/>
            <w:bottom w:w="0" w:type="dxa"/>
            <w:right w:w="108" w:type="dxa"/>
          </w:tblCellMar>
        </w:tblPrEx>
        <w:trPr>
          <w:trHeight w:val="61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063B3478">
            <w:pPr>
              <w:textAlignment w:val="center"/>
              <w:rPr>
                <w:rFonts w:ascii="宋体" w:hAnsi="宋体" w:cs="宋体"/>
                <w:color w:val="000000"/>
                <w:highlight w:val="none"/>
              </w:rPr>
            </w:pPr>
            <w:r>
              <w:rPr>
                <w:rFonts w:hint="eastAsia" w:ascii="宋体" w:hAnsi="宋体" w:cs="宋体"/>
                <w:color w:val="000000"/>
                <w:highlight w:val="none"/>
              </w:rPr>
              <w:t>招标代理费用为</w:t>
            </w:r>
            <w:r>
              <w:rPr>
                <w:rFonts w:hint="eastAsia" w:ascii="宋体" w:hAnsi="宋体" w:cs="宋体"/>
                <w:b/>
                <w:bCs/>
                <w:color w:val="000000"/>
                <w:highlight w:val="none"/>
              </w:rPr>
              <w:t>：</w:t>
            </w:r>
            <w:r>
              <w:rPr>
                <w:rFonts w:hint="eastAsia" w:ascii="宋体" w:hAnsi="宋体" w:cs="宋体"/>
                <w:color w:val="000000"/>
                <w:highlight w:val="none"/>
              </w:rPr>
              <w:t xml:space="preserve">人民币      </w:t>
            </w:r>
            <w:r>
              <w:rPr>
                <w:rFonts w:hint="eastAsia" w:ascii="宋体" w:hAnsi="宋体" w:cs="宋体"/>
                <w:b/>
                <w:bCs/>
                <w:color w:val="000000"/>
                <w:highlight w:val="none"/>
              </w:rPr>
              <w:t>（￥    ）</w:t>
            </w:r>
          </w:p>
        </w:tc>
      </w:tr>
      <w:tr w14:paraId="5F53A634">
        <w:tblPrEx>
          <w:tblCellMar>
            <w:top w:w="0" w:type="dxa"/>
            <w:left w:w="108" w:type="dxa"/>
            <w:bottom w:w="0" w:type="dxa"/>
            <w:right w:w="108" w:type="dxa"/>
          </w:tblCellMar>
        </w:tblPrEx>
        <w:trPr>
          <w:trHeight w:val="1418"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6560EF07">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招标代理收款账户信息</w:t>
            </w:r>
          </w:p>
          <w:p w14:paraId="123554C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户名：</w:t>
            </w:r>
          </w:p>
          <w:p w14:paraId="76425C3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开户行：</w:t>
            </w:r>
          </w:p>
          <w:p w14:paraId="02705EB0">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账号：</w:t>
            </w:r>
          </w:p>
          <w:p w14:paraId="204EA303">
            <w:pPr>
              <w:spacing w:before="0" w:after="0" w:afterAutospacing="0"/>
              <w:ind w:left="0" w:right="0" w:firstLine="0"/>
              <w:jc w:val="left"/>
              <w:textAlignment w:val="center"/>
              <w:rPr>
                <w:rFonts w:ascii="宋体" w:hAnsi="宋体" w:cs="宋体"/>
                <w:color w:val="000000"/>
                <w:highlight w:val="none"/>
              </w:rPr>
            </w:pPr>
            <w:r>
              <w:rPr>
                <w:rFonts w:hint="eastAsia"/>
                <w:color w:val="000000"/>
                <w:kern w:val="2"/>
                <w:szCs w:val="24"/>
                <w:highlight w:val="none"/>
              </w:rPr>
              <w:t>联系人：</w:t>
            </w:r>
            <w:r>
              <w:rPr>
                <w:rFonts w:hint="eastAsia"/>
                <w:color w:val="000000"/>
                <w:kern w:val="2"/>
                <w:szCs w:val="24"/>
                <w:highlight w:val="none"/>
                <w:lang w:val="en-US" w:eastAsia="zh-CN"/>
              </w:rPr>
              <w:t>郑路宁、杨堃</w:t>
            </w:r>
            <w:r>
              <w:rPr>
                <w:rFonts w:hint="eastAsia" w:ascii="宋体" w:hAnsi="宋体"/>
                <w:color w:val="000000"/>
                <w:highlight w:val="none"/>
                <w:lang w:val="en-US" w:eastAsia="zh-CN"/>
              </w:rPr>
              <w:t>，</w:t>
            </w:r>
            <w:r>
              <w:rPr>
                <w:rFonts w:hint="eastAsia" w:ascii="宋体" w:hAnsi="宋体"/>
                <w:color w:val="000000"/>
                <w:highlight w:val="none"/>
              </w:rPr>
              <w:t>0771-4800838</w:t>
            </w:r>
          </w:p>
        </w:tc>
      </w:tr>
      <w:tr w14:paraId="3B2B26D5">
        <w:tblPrEx>
          <w:tblCellMar>
            <w:top w:w="0" w:type="dxa"/>
            <w:left w:w="108" w:type="dxa"/>
            <w:bottom w:w="0" w:type="dxa"/>
            <w:right w:w="108" w:type="dxa"/>
          </w:tblCellMar>
        </w:tblPrEx>
        <w:trPr>
          <w:trHeight w:val="475" w:hRule="atLeast"/>
          <w:jc w:val="center"/>
        </w:trPr>
        <w:tc>
          <w:tcPr>
            <w:tcW w:w="10125" w:type="dxa"/>
            <w:gridSpan w:val="4"/>
            <w:tcBorders>
              <w:top w:val="nil"/>
              <w:left w:val="nil"/>
              <w:bottom w:val="nil"/>
              <w:right w:val="nil"/>
            </w:tcBorders>
            <w:noWrap/>
            <w:vAlign w:val="center"/>
          </w:tcPr>
          <w:p w14:paraId="3E607A81">
            <w:pPr>
              <w:spacing w:before="0" w:after="0" w:afterAutospacing="0" w:line="360" w:lineRule="auto"/>
              <w:ind w:left="0" w:right="0" w:firstLine="0"/>
              <w:rPr>
                <w:rFonts w:hint="eastAsia" w:ascii="宋体" w:hAnsi="宋体" w:cs="宋体"/>
                <w:color w:val="000000"/>
                <w:highlight w:val="none"/>
              </w:rPr>
            </w:pPr>
          </w:p>
          <w:p w14:paraId="7FBC812C">
            <w:pPr>
              <w:spacing w:before="0" w:after="0" w:afterAutospacing="0" w:line="360" w:lineRule="auto"/>
              <w:ind w:left="0" w:right="0" w:firstLine="0"/>
              <w:rPr>
                <w:rFonts w:ascii="宋体" w:hAnsi="宋体" w:cs="宋体"/>
                <w:color w:val="000000"/>
                <w:highlight w:val="none"/>
              </w:rPr>
            </w:pPr>
          </w:p>
        </w:tc>
      </w:tr>
    </w:tbl>
    <w:p w14:paraId="38808A60">
      <w:pPr>
        <w:pStyle w:val="46"/>
        <w:rPr>
          <w:color w:val="000000"/>
          <w:highlight w:val="none"/>
        </w:rPr>
        <w:sectPr>
          <w:footerReference r:id="rId5" w:type="default"/>
          <w:pgSz w:w="11905" w:h="16838"/>
          <w:pgMar w:top="1304" w:right="1417" w:bottom="1304" w:left="1417" w:header="850" w:footer="992" w:gutter="0"/>
          <w:pgNumType w:fmt="decimal" w:start="1"/>
          <w:cols w:space="720" w:num="1"/>
          <w:docGrid w:linePitch="312" w:charSpace="0"/>
        </w:sectPr>
      </w:pPr>
    </w:p>
    <w:p w14:paraId="426EA012">
      <w:pPr>
        <w:pStyle w:val="2"/>
        <w:rPr>
          <w:color w:val="000000"/>
          <w:highlight w:val="none"/>
        </w:rPr>
      </w:pPr>
      <w:bookmarkStart w:id="247" w:name="_Toc9354"/>
      <w:bookmarkStart w:id="248" w:name="_Toc5019"/>
      <w:bookmarkStart w:id="249" w:name="_Toc17427"/>
      <w:bookmarkStart w:id="250" w:name="_Toc23896"/>
      <w:bookmarkStart w:id="251" w:name="_Toc32464"/>
      <w:bookmarkStart w:id="252" w:name="_Toc19332"/>
      <w:bookmarkStart w:id="253" w:name="_Toc2495"/>
      <w:bookmarkStart w:id="254" w:name="_Toc228096765"/>
      <w:bookmarkStart w:id="255" w:name="_Toc16256"/>
      <w:bookmarkStart w:id="256" w:name="_Toc24202"/>
      <w:bookmarkStart w:id="257" w:name="_Toc530736580"/>
      <w:bookmarkStart w:id="258" w:name="_Toc234121105"/>
      <w:bookmarkStart w:id="259" w:name="_Toc29025"/>
      <w:r>
        <w:rPr>
          <w:rFonts w:hint="eastAsia"/>
          <w:color w:val="000000"/>
          <w:highlight w:val="none"/>
        </w:rPr>
        <w:t>第三章</w:t>
      </w:r>
      <w:r>
        <w:rPr>
          <w:color w:val="000000"/>
          <w:highlight w:val="none"/>
        </w:rPr>
        <w:t xml:space="preserve">  </w:t>
      </w:r>
      <w:r>
        <w:rPr>
          <w:rFonts w:hint="eastAsia"/>
          <w:color w:val="000000"/>
          <w:highlight w:val="none"/>
        </w:rPr>
        <w:t>评标办法及标准</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49025CC2">
      <w:pPr>
        <w:keepNext/>
        <w:keepLines/>
        <w:spacing w:before="240" w:beforeLines="100" w:line="360" w:lineRule="auto"/>
        <w:outlineLvl w:val="1"/>
        <w:rPr>
          <w:rFonts w:ascii="黑体" w:hAnsi="黑体" w:eastAsia="黑体"/>
          <w:b/>
          <w:bCs/>
          <w:color w:val="000000"/>
          <w:sz w:val="24"/>
          <w:szCs w:val="21"/>
          <w:highlight w:val="none"/>
        </w:rPr>
      </w:pPr>
      <w:bookmarkStart w:id="260" w:name="_Toc184635093"/>
      <w:bookmarkStart w:id="261" w:name="_Toc407135171"/>
      <w:bookmarkStart w:id="262" w:name="_Toc487632668"/>
      <w:bookmarkStart w:id="263" w:name="_Toc29786925"/>
      <w:bookmarkStart w:id="264" w:name="_Toc389065241"/>
      <w:bookmarkStart w:id="265" w:name="_Toc9458"/>
      <w:bookmarkStart w:id="266" w:name="_Toc273367559"/>
      <w:bookmarkStart w:id="267" w:name="_Toc273366967"/>
      <w:bookmarkStart w:id="268" w:name="_Toc474847261"/>
      <w:bookmarkStart w:id="269" w:name="_Toc463812922"/>
      <w:bookmarkStart w:id="270" w:name="_Toc12983"/>
      <w:bookmarkStart w:id="271" w:name="_Toc208742891"/>
      <w:r>
        <w:rPr>
          <w:rFonts w:hint="eastAsia" w:ascii="黑体" w:hAnsi="黑体" w:eastAsia="黑体"/>
          <w:b/>
          <w:bCs/>
          <w:color w:val="000000"/>
          <w:sz w:val="24"/>
          <w:szCs w:val="21"/>
          <w:highlight w:val="none"/>
        </w:rPr>
        <w:t>1 评标方法</w:t>
      </w:r>
      <w:bookmarkEnd w:id="260"/>
      <w:bookmarkEnd w:id="261"/>
      <w:bookmarkEnd w:id="262"/>
      <w:bookmarkEnd w:id="263"/>
      <w:bookmarkEnd w:id="264"/>
      <w:bookmarkEnd w:id="265"/>
    </w:p>
    <w:p w14:paraId="611C05EB">
      <w:pPr>
        <w:spacing w:line="360" w:lineRule="auto"/>
        <w:ind w:firstLine="420" w:firstLineChars="200"/>
        <w:rPr>
          <w:rFonts w:ascii="宋体" w:hAnsi="宋体"/>
          <w:color w:val="000000"/>
          <w:kern w:val="0"/>
          <w:szCs w:val="21"/>
          <w:highlight w:val="none"/>
        </w:rPr>
      </w:pPr>
      <w:bookmarkStart w:id="272" w:name="_Hlk29787742"/>
      <w:r>
        <w:rPr>
          <w:rFonts w:hint="eastAsia" w:ascii="宋体" w:hAnsi="宋体" w:cs="宋体"/>
          <w:color w:val="000000"/>
          <w:kern w:val="0"/>
          <w:szCs w:val="21"/>
          <w:highlight w:val="none"/>
        </w:rPr>
        <w:t>本次评标采用综合评估法</w:t>
      </w:r>
      <w:r>
        <w:rPr>
          <w:rFonts w:hint="eastAsia" w:ascii="宋体" w:hAnsi="宋体"/>
          <w:color w:val="000000"/>
          <w:kern w:val="0"/>
          <w:szCs w:val="21"/>
          <w:highlight w:val="none"/>
        </w:rPr>
        <w:t>。满分1</w:t>
      </w:r>
      <w:r>
        <w:rPr>
          <w:rFonts w:ascii="宋体" w:hAnsi="宋体"/>
          <w:color w:val="000000"/>
          <w:kern w:val="0"/>
          <w:szCs w:val="21"/>
          <w:highlight w:val="none"/>
        </w:rPr>
        <w:t>00</w:t>
      </w:r>
      <w:r>
        <w:rPr>
          <w:rFonts w:hint="eastAsia" w:ascii="宋体" w:hAnsi="宋体"/>
          <w:color w:val="000000"/>
          <w:kern w:val="0"/>
          <w:szCs w:val="21"/>
          <w:highlight w:val="none"/>
        </w:rPr>
        <w:t>分，其中</w:t>
      </w:r>
      <w:r>
        <w:rPr>
          <w:rFonts w:hint="eastAsia" w:ascii="宋体" w:hAnsi="宋体"/>
          <w:b/>
          <w:color w:val="000000"/>
          <w:kern w:val="0"/>
          <w:szCs w:val="21"/>
          <w:highlight w:val="none"/>
          <w:lang w:val="en-US" w:eastAsia="zh-CN"/>
        </w:rPr>
        <w:t>技术得分20分，商务</w:t>
      </w:r>
      <w:r>
        <w:rPr>
          <w:rFonts w:hint="eastAsia" w:ascii="宋体" w:hAnsi="宋体"/>
          <w:b/>
          <w:color w:val="000000"/>
          <w:kern w:val="0"/>
          <w:szCs w:val="21"/>
          <w:highlight w:val="none"/>
        </w:rPr>
        <w:t>得分</w:t>
      </w:r>
      <w:r>
        <w:rPr>
          <w:rFonts w:hint="eastAsia" w:ascii="宋体" w:hAnsi="宋体"/>
          <w:b/>
          <w:color w:val="000000"/>
          <w:kern w:val="0"/>
          <w:szCs w:val="21"/>
          <w:highlight w:val="none"/>
          <w:lang w:val="en-US" w:eastAsia="zh-CN"/>
        </w:rPr>
        <w:t>80</w:t>
      </w:r>
      <w:r>
        <w:rPr>
          <w:rFonts w:hint="eastAsia" w:ascii="宋体" w:hAnsi="宋体"/>
          <w:b/>
          <w:color w:val="000000"/>
          <w:kern w:val="0"/>
          <w:szCs w:val="21"/>
          <w:highlight w:val="none"/>
        </w:rPr>
        <w:t>分。</w:t>
      </w:r>
      <w:bookmarkEnd w:id="272"/>
    </w:p>
    <w:p w14:paraId="4973901B">
      <w:pPr>
        <w:keepNext/>
        <w:keepLines/>
        <w:spacing w:before="240" w:beforeLines="100" w:line="360" w:lineRule="auto"/>
        <w:outlineLvl w:val="1"/>
        <w:rPr>
          <w:rFonts w:ascii="黑体" w:hAnsi="黑体" w:eastAsia="黑体"/>
          <w:b/>
          <w:bCs/>
          <w:color w:val="000000"/>
          <w:sz w:val="24"/>
          <w:szCs w:val="21"/>
          <w:highlight w:val="none"/>
        </w:rPr>
      </w:pPr>
      <w:bookmarkStart w:id="273" w:name="_Toc29786926"/>
      <w:bookmarkStart w:id="274" w:name="_Toc8506"/>
      <w:bookmarkStart w:id="275" w:name="_Toc407135173"/>
      <w:bookmarkStart w:id="276" w:name="_Toc487632670"/>
      <w:bookmarkStart w:id="277" w:name="_Toc389065243"/>
      <w:r>
        <w:rPr>
          <w:rFonts w:hint="eastAsia" w:ascii="黑体" w:hAnsi="黑体" w:eastAsia="黑体"/>
          <w:b/>
          <w:bCs/>
          <w:color w:val="000000"/>
          <w:sz w:val="24"/>
          <w:szCs w:val="21"/>
          <w:highlight w:val="none"/>
        </w:rPr>
        <w:t xml:space="preserve">2 </w:t>
      </w:r>
      <w:r>
        <w:rPr>
          <w:rFonts w:ascii="黑体" w:hAnsi="黑体" w:eastAsia="黑体"/>
          <w:b/>
          <w:bCs/>
          <w:color w:val="000000"/>
          <w:sz w:val="24"/>
          <w:szCs w:val="21"/>
          <w:highlight w:val="none"/>
        </w:rPr>
        <w:t>评标依据</w:t>
      </w:r>
      <w:bookmarkEnd w:id="273"/>
      <w:bookmarkEnd w:id="274"/>
    </w:p>
    <w:p w14:paraId="0F5AFF29">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 xml:space="preserve">本项目《招标文件》及补充文件； </w:t>
      </w:r>
    </w:p>
    <w:p w14:paraId="709CC6BE">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招投标法及相关法规；</w:t>
      </w:r>
    </w:p>
    <w:p w14:paraId="48CAF617">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kern w:val="0"/>
          <w:szCs w:val="21"/>
          <w:highlight w:val="none"/>
        </w:rPr>
        <w:t>有效的《投标文件》及澄清文件</w:t>
      </w:r>
      <w:r>
        <w:rPr>
          <w:rFonts w:hint="eastAsia"/>
          <w:color w:val="000000"/>
          <w:kern w:val="0"/>
          <w:szCs w:val="21"/>
          <w:highlight w:val="none"/>
        </w:rPr>
        <w:t>。</w:t>
      </w:r>
      <w:bookmarkEnd w:id="275"/>
      <w:bookmarkEnd w:id="276"/>
      <w:bookmarkEnd w:id="277"/>
      <w:bookmarkStart w:id="278" w:name="_Toc184635095"/>
      <w:bookmarkStart w:id="279" w:name="_Toc389065245"/>
    </w:p>
    <w:p w14:paraId="2152F823">
      <w:pPr>
        <w:keepNext/>
        <w:keepLines/>
        <w:spacing w:before="240" w:beforeLines="100" w:line="360" w:lineRule="auto"/>
        <w:outlineLvl w:val="1"/>
        <w:rPr>
          <w:rFonts w:ascii="黑体" w:hAnsi="黑体" w:eastAsia="黑体"/>
          <w:b/>
          <w:bCs/>
          <w:color w:val="000000"/>
          <w:sz w:val="24"/>
          <w:szCs w:val="21"/>
          <w:highlight w:val="none"/>
        </w:rPr>
      </w:pPr>
      <w:bookmarkStart w:id="280" w:name="_Toc487632672"/>
      <w:bookmarkStart w:id="281" w:name="_Toc407135175"/>
      <w:bookmarkStart w:id="282" w:name="_Toc29786927"/>
      <w:bookmarkStart w:id="283" w:name="_Toc3754"/>
      <w:r>
        <w:rPr>
          <w:rFonts w:hint="eastAsia" w:ascii="黑体" w:hAnsi="黑体" w:eastAsia="黑体"/>
          <w:b/>
          <w:bCs/>
          <w:color w:val="000000"/>
          <w:sz w:val="24"/>
          <w:szCs w:val="21"/>
          <w:highlight w:val="none"/>
        </w:rPr>
        <w:t>3 评标</w:t>
      </w:r>
      <w:bookmarkEnd w:id="278"/>
      <w:bookmarkEnd w:id="279"/>
      <w:bookmarkEnd w:id="280"/>
      <w:bookmarkEnd w:id="281"/>
      <w:r>
        <w:rPr>
          <w:rFonts w:hint="eastAsia" w:ascii="黑体" w:hAnsi="黑体" w:eastAsia="黑体"/>
          <w:b/>
          <w:bCs/>
          <w:color w:val="000000"/>
          <w:sz w:val="24"/>
          <w:szCs w:val="21"/>
          <w:highlight w:val="none"/>
        </w:rPr>
        <w:t>组织</w:t>
      </w:r>
      <w:bookmarkEnd w:id="282"/>
      <w:bookmarkEnd w:id="283"/>
    </w:p>
    <w:p w14:paraId="2C2821B3">
      <w:pPr>
        <w:snapToGrid w:val="0"/>
        <w:spacing w:line="360" w:lineRule="auto"/>
        <w:rPr>
          <w:rFonts w:ascii="宋体" w:hAnsi="宋体" w:cs="黑体"/>
          <w:color w:val="000000"/>
          <w:kern w:val="0"/>
          <w:sz w:val="24"/>
          <w:szCs w:val="21"/>
          <w:highlight w:val="none"/>
        </w:rPr>
      </w:pPr>
      <w:r>
        <w:rPr>
          <w:rFonts w:ascii="宋体" w:hAnsi="宋体"/>
          <w:bCs/>
          <w:color w:val="000000"/>
          <w:szCs w:val="21"/>
          <w:highlight w:val="none"/>
        </w:rPr>
        <w:t>3.1</w:t>
      </w:r>
      <w:r>
        <w:rPr>
          <w:rFonts w:hint="eastAsia" w:ascii="宋体" w:hAnsi="宋体"/>
          <w:bCs/>
          <w:color w:val="000000"/>
          <w:szCs w:val="21"/>
          <w:highlight w:val="none"/>
        </w:rPr>
        <w:t>评标工作由招标人依法组建的评标委员会负责，评标委员会的组建详见第二章投标人须知第</w:t>
      </w:r>
      <w:r>
        <w:rPr>
          <w:rFonts w:ascii="宋体" w:hAnsi="宋体"/>
          <w:bCs/>
          <w:color w:val="000000"/>
          <w:szCs w:val="21"/>
          <w:highlight w:val="none"/>
        </w:rPr>
        <w:t>6.1</w:t>
      </w:r>
      <w:r>
        <w:rPr>
          <w:rFonts w:hint="eastAsia" w:ascii="宋体" w:hAnsi="宋体"/>
          <w:bCs/>
          <w:color w:val="000000"/>
          <w:szCs w:val="21"/>
          <w:highlight w:val="none"/>
        </w:rPr>
        <w:t>款的规定。</w:t>
      </w:r>
    </w:p>
    <w:p w14:paraId="47AFBA8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3</w:t>
      </w:r>
      <w:r>
        <w:rPr>
          <w:rFonts w:ascii="宋体" w:hAnsi="宋体"/>
          <w:bCs/>
          <w:color w:val="000000"/>
          <w:szCs w:val="21"/>
          <w:highlight w:val="none"/>
        </w:rPr>
        <w:t>.2评标程序和内容</w:t>
      </w:r>
      <w:r>
        <w:rPr>
          <w:rFonts w:hint="eastAsia" w:ascii="宋体" w:hAnsi="宋体"/>
          <w:bCs/>
          <w:color w:val="000000"/>
          <w:szCs w:val="21"/>
          <w:highlight w:val="none"/>
        </w:rPr>
        <w:t>包括：</w:t>
      </w:r>
    </w:p>
    <w:p w14:paraId="55B258AA">
      <w:pPr>
        <w:snapToGrid w:val="0"/>
        <w:spacing w:line="360" w:lineRule="auto"/>
        <w:ind w:firstLine="420" w:firstLineChars="200"/>
        <w:rPr>
          <w:rFonts w:ascii="宋体" w:hAnsi="宋体"/>
          <w:bCs/>
          <w:color w:val="000000"/>
          <w:szCs w:val="21"/>
          <w:highlight w:val="none"/>
        </w:rPr>
      </w:pPr>
      <w:r>
        <w:rPr>
          <w:rFonts w:ascii="宋体" w:hAnsi="宋体"/>
          <w:bCs/>
          <w:color w:val="000000"/>
          <w:szCs w:val="21"/>
          <w:highlight w:val="none"/>
        </w:rPr>
        <w:t>（1）</w:t>
      </w:r>
      <w:r>
        <w:rPr>
          <w:rFonts w:hint="eastAsia" w:ascii="宋体" w:hAnsi="宋体"/>
          <w:bCs/>
          <w:color w:val="000000"/>
          <w:szCs w:val="21"/>
          <w:highlight w:val="none"/>
        </w:rPr>
        <w:t>评标委员会成员熟悉招标文件和评标办法；</w:t>
      </w:r>
    </w:p>
    <w:p w14:paraId="3EE45537">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2</w:t>
      </w:r>
      <w:r>
        <w:rPr>
          <w:rFonts w:hint="eastAsia" w:ascii="宋体" w:hAnsi="宋体"/>
          <w:bCs/>
          <w:color w:val="000000"/>
          <w:szCs w:val="21"/>
          <w:highlight w:val="none"/>
        </w:rPr>
        <w:t>）全体评标委员会成员对投标文件的资格审查文件进行资格审查；</w:t>
      </w:r>
    </w:p>
    <w:p w14:paraId="08020298">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3</w:t>
      </w:r>
      <w:r>
        <w:rPr>
          <w:rFonts w:hint="eastAsia" w:ascii="宋体" w:hAnsi="宋体"/>
          <w:bCs/>
          <w:color w:val="000000"/>
          <w:szCs w:val="21"/>
          <w:highlight w:val="none"/>
        </w:rPr>
        <w:t>）按专家专业类别分为经济评审组和技术评审组；</w:t>
      </w:r>
    </w:p>
    <w:p w14:paraId="52E5C6DC">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4</w:t>
      </w:r>
      <w:r>
        <w:rPr>
          <w:rFonts w:hint="eastAsia" w:ascii="宋体" w:hAnsi="宋体"/>
          <w:bCs/>
          <w:color w:val="000000"/>
          <w:szCs w:val="21"/>
          <w:highlight w:val="none"/>
        </w:rPr>
        <w:t>）评标委员会成员对通过资格审查的投标文件进行初步评审；</w:t>
      </w:r>
    </w:p>
    <w:p w14:paraId="05739C8D">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5</w:t>
      </w:r>
      <w:r>
        <w:rPr>
          <w:rFonts w:hint="eastAsia" w:ascii="宋体" w:hAnsi="宋体"/>
          <w:bCs/>
          <w:color w:val="000000"/>
          <w:szCs w:val="21"/>
          <w:highlight w:val="none"/>
        </w:rPr>
        <w:t>）</w:t>
      </w:r>
      <w:r>
        <w:rPr>
          <w:rFonts w:hint="eastAsia" w:ascii="宋体" w:hAnsi="宋体"/>
          <w:color w:val="000000"/>
          <w:szCs w:val="21"/>
          <w:highlight w:val="none"/>
        </w:rPr>
        <w:t>技术评审组对</w:t>
      </w:r>
      <w:r>
        <w:rPr>
          <w:rFonts w:hint="eastAsia" w:ascii="宋体" w:hAnsi="宋体"/>
          <w:bCs/>
          <w:color w:val="000000"/>
          <w:szCs w:val="21"/>
          <w:highlight w:val="none"/>
        </w:rPr>
        <w:t>投标文件的</w:t>
      </w:r>
      <w:r>
        <w:rPr>
          <w:rFonts w:hint="eastAsia" w:ascii="宋体" w:hAnsi="宋体"/>
          <w:b w:val="0"/>
          <w:bCs/>
          <w:color w:val="000000"/>
          <w:kern w:val="2"/>
          <w:szCs w:val="21"/>
          <w:highlight w:val="none"/>
          <w:lang w:val="en-US" w:eastAsia="zh-CN"/>
        </w:rPr>
        <w:t>技术文件</w:t>
      </w:r>
      <w:r>
        <w:rPr>
          <w:rFonts w:hint="eastAsia" w:ascii="宋体" w:hAnsi="宋体"/>
          <w:bCs/>
          <w:color w:val="000000"/>
          <w:szCs w:val="21"/>
          <w:highlight w:val="none"/>
        </w:rPr>
        <w:t>进行评审并打分，</w:t>
      </w:r>
      <w:r>
        <w:rPr>
          <w:rFonts w:hint="eastAsia" w:ascii="宋体" w:hAnsi="宋体"/>
          <w:color w:val="000000"/>
          <w:szCs w:val="21"/>
          <w:highlight w:val="none"/>
        </w:rPr>
        <w:t>经济评审组对</w:t>
      </w:r>
      <w:r>
        <w:rPr>
          <w:rFonts w:hint="eastAsia" w:ascii="宋体" w:hAnsi="宋体"/>
          <w:bCs/>
          <w:color w:val="000000"/>
          <w:szCs w:val="21"/>
          <w:highlight w:val="none"/>
        </w:rPr>
        <w:t>投标文件的</w:t>
      </w:r>
      <w:r>
        <w:rPr>
          <w:rFonts w:hint="eastAsia" w:ascii="宋体" w:hAnsi="宋体"/>
          <w:bCs/>
          <w:color w:val="000000"/>
          <w:szCs w:val="21"/>
          <w:highlight w:val="none"/>
          <w:lang w:eastAsia="zh-CN"/>
        </w:rPr>
        <w:t>商务文件</w:t>
      </w:r>
      <w:r>
        <w:rPr>
          <w:rFonts w:hint="eastAsia" w:ascii="宋体" w:hAnsi="宋体"/>
          <w:bCs/>
          <w:color w:val="000000"/>
          <w:szCs w:val="21"/>
          <w:highlight w:val="none"/>
        </w:rPr>
        <w:t>进行评审并打分；</w:t>
      </w:r>
    </w:p>
    <w:p w14:paraId="6203AF67">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6</w:t>
      </w:r>
      <w:r>
        <w:rPr>
          <w:rFonts w:hint="eastAsia" w:ascii="宋体" w:hAnsi="宋体"/>
          <w:bCs/>
          <w:color w:val="000000"/>
          <w:szCs w:val="21"/>
          <w:highlight w:val="none"/>
        </w:rPr>
        <w:t>）计算各投标人综合评分，并按照综合得分由高到低排序；</w:t>
      </w:r>
    </w:p>
    <w:p w14:paraId="3D5FC999">
      <w:pPr>
        <w:snapToGrid w:val="0"/>
        <w:spacing w:line="360" w:lineRule="auto"/>
        <w:ind w:firstLine="420" w:firstLineChars="200"/>
        <w:rPr>
          <w:rFonts w:ascii="宋体" w:hAnsi="宋体"/>
          <w:color w:val="000000"/>
          <w:kern w:val="0"/>
          <w:sz w:val="24"/>
          <w:szCs w:val="21"/>
          <w:highlight w:val="none"/>
        </w:rPr>
      </w:pPr>
      <w:r>
        <w:rPr>
          <w:rFonts w:hint="eastAsia" w:ascii="宋体" w:hAnsi="宋体"/>
          <w:bCs/>
          <w:color w:val="000000"/>
          <w:szCs w:val="21"/>
          <w:highlight w:val="none"/>
        </w:rPr>
        <w:t>（</w:t>
      </w:r>
      <w:r>
        <w:rPr>
          <w:rFonts w:ascii="宋体" w:hAnsi="宋体"/>
          <w:bCs/>
          <w:color w:val="000000"/>
          <w:szCs w:val="21"/>
          <w:highlight w:val="none"/>
        </w:rPr>
        <w:t>7</w:t>
      </w:r>
      <w:r>
        <w:rPr>
          <w:rFonts w:hint="eastAsia" w:ascii="宋体" w:hAnsi="宋体"/>
          <w:bCs/>
          <w:color w:val="000000"/>
          <w:szCs w:val="21"/>
          <w:highlight w:val="none"/>
        </w:rPr>
        <w:t>）全体评标委员会完成评标报告，推荐中标候选人。</w:t>
      </w:r>
    </w:p>
    <w:p w14:paraId="2AD8588D">
      <w:pPr>
        <w:keepNext/>
        <w:keepLines/>
        <w:spacing w:before="240" w:beforeLines="100" w:line="360" w:lineRule="auto"/>
        <w:outlineLvl w:val="1"/>
        <w:rPr>
          <w:rFonts w:ascii="黑体" w:hAnsi="黑体" w:eastAsia="黑体"/>
          <w:b/>
          <w:bCs/>
          <w:color w:val="000000"/>
          <w:sz w:val="24"/>
          <w:szCs w:val="21"/>
          <w:highlight w:val="none"/>
        </w:rPr>
      </w:pPr>
      <w:bookmarkStart w:id="284" w:name="_Toc29786928"/>
      <w:bookmarkStart w:id="285" w:name="_Toc16403"/>
      <w:bookmarkStart w:id="286" w:name="_Toc407135176"/>
      <w:bookmarkStart w:id="287" w:name="_Toc487632673"/>
      <w:bookmarkStart w:id="288" w:name="_Toc389065246"/>
      <w:r>
        <w:rPr>
          <w:rFonts w:hint="eastAsia" w:ascii="黑体" w:hAnsi="黑体" w:eastAsia="黑体"/>
          <w:b/>
          <w:bCs/>
          <w:color w:val="000000"/>
          <w:sz w:val="24"/>
          <w:szCs w:val="21"/>
          <w:highlight w:val="none"/>
        </w:rPr>
        <w:t>4 资格审查</w:t>
      </w:r>
      <w:bookmarkEnd w:id="284"/>
      <w:bookmarkEnd w:id="285"/>
    </w:p>
    <w:p w14:paraId="2D4A3C6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4</w:t>
      </w:r>
      <w:r>
        <w:rPr>
          <w:rFonts w:ascii="宋体" w:hAnsi="宋体"/>
          <w:bCs/>
          <w:color w:val="000000"/>
          <w:szCs w:val="21"/>
          <w:highlight w:val="none"/>
        </w:rPr>
        <w:t>.1</w:t>
      </w:r>
      <w:r>
        <w:rPr>
          <w:rFonts w:hint="eastAsia" w:ascii="宋体" w:hAnsi="宋体"/>
          <w:bCs/>
          <w:color w:val="000000"/>
          <w:szCs w:val="21"/>
          <w:highlight w:val="none"/>
        </w:rPr>
        <w:t>全体评标委员会审查投标人是否符合法律、法规、规章以及本招标文件对投标人</w:t>
      </w:r>
      <w:r>
        <w:rPr>
          <w:rFonts w:ascii="宋体" w:hAnsi="宋体"/>
          <w:bCs/>
          <w:color w:val="000000"/>
          <w:szCs w:val="21"/>
          <w:highlight w:val="none"/>
        </w:rPr>
        <w:t>资质和其他强制性标准，是否处于正常的经营状况等情况。</w:t>
      </w:r>
    </w:p>
    <w:p w14:paraId="36ECDFBB">
      <w:pPr>
        <w:snapToGrid w:val="0"/>
        <w:spacing w:line="360" w:lineRule="auto"/>
        <w:rPr>
          <w:rFonts w:ascii="宋体" w:hAnsi="宋体"/>
          <w:bCs/>
          <w:color w:val="000000"/>
          <w:szCs w:val="21"/>
          <w:highlight w:val="none"/>
        </w:rPr>
      </w:pPr>
      <w:r>
        <w:rPr>
          <w:rFonts w:ascii="宋体" w:hAnsi="宋体"/>
          <w:bCs/>
          <w:color w:val="000000"/>
          <w:szCs w:val="21"/>
          <w:highlight w:val="none"/>
        </w:rPr>
        <w:t>4.2</w:t>
      </w:r>
      <w:r>
        <w:rPr>
          <w:rFonts w:hint="eastAsia" w:ascii="宋体" w:hAnsi="宋体"/>
          <w:bCs/>
          <w:color w:val="000000"/>
          <w:szCs w:val="21"/>
          <w:highlight w:val="none"/>
        </w:rPr>
        <w:t>在本阶段不符合任何一项资格评审标准的投标人，均视为资格审查不合格，不得进入下一阶段的评审。</w:t>
      </w:r>
      <w:r>
        <w:rPr>
          <w:rFonts w:ascii="宋体" w:hAnsi="宋体"/>
          <w:bCs/>
          <w:color w:val="000000"/>
          <w:szCs w:val="21"/>
          <w:highlight w:val="none"/>
        </w:rPr>
        <w:t>评审标准详见附表一《资格审查表》。</w:t>
      </w:r>
    </w:p>
    <w:p w14:paraId="320E802E">
      <w:pPr>
        <w:snapToGrid w:val="0"/>
        <w:spacing w:line="360" w:lineRule="auto"/>
        <w:rPr>
          <w:color w:val="000000"/>
          <w:highlight w:val="none"/>
        </w:rPr>
      </w:pPr>
      <w:r>
        <w:rPr>
          <w:rFonts w:hint="eastAsia" w:ascii="宋体" w:hAnsi="宋体"/>
          <w:bCs/>
          <w:color w:val="000000"/>
          <w:szCs w:val="21"/>
          <w:highlight w:val="none"/>
        </w:rPr>
        <w:t>4.3当有效投标</w:t>
      </w:r>
      <w:r>
        <w:rPr>
          <w:rFonts w:hint="eastAsia" w:ascii="宋体" w:hAnsi="宋体"/>
          <w:bCs/>
          <w:color w:val="000000"/>
          <w:szCs w:val="21"/>
          <w:highlight w:val="none"/>
          <w:lang w:val="en-US" w:eastAsia="zh-CN"/>
        </w:rPr>
        <w:t>人</w:t>
      </w:r>
      <w:r>
        <w:rPr>
          <w:rFonts w:hint="eastAsia" w:ascii="宋体" w:hAnsi="宋体"/>
          <w:bCs/>
          <w:color w:val="000000"/>
          <w:szCs w:val="21"/>
          <w:highlight w:val="none"/>
        </w:rPr>
        <w:t>不足三个时，评标委员会认为剩余的投标文件不具有竞争性的，不进入初步评审阶段。</w:t>
      </w:r>
    </w:p>
    <w:p w14:paraId="1F6D19C6">
      <w:pPr>
        <w:keepNext/>
        <w:keepLines/>
        <w:spacing w:before="240" w:beforeLines="100" w:line="360" w:lineRule="auto"/>
        <w:outlineLvl w:val="1"/>
        <w:rPr>
          <w:rFonts w:ascii="黑体" w:hAnsi="黑体" w:eastAsia="黑体"/>
          <w:b/>
          <w:bCs/>
          <w:color w:val="000000"/>
          <w:sz w:val="24"/>
          <w:szCs w:val="21"/>
          <w:highlight w:val="none"/>
        </w:rPr>
      </w:pPr>
      <w:bookmarkStart w:id="289" w:name="_Toc29786929"/>
      <w:bookmarkStart w:id="290" w:name="_Toc3643"/>
      <w:r>
        <w:rPr>
          <w:rFonts w:hint="eastAsia" w:ascii="黑体" w:hAnsi="黑体" w:eastAsia="黑体"/>
          <w:b/>
          <w:bCs/>
          <w:color w:val="000000"/>
          <w:sz w:val="24"/>
          <w:szCs w:val="21"/>
          <w:highlight w:val="none"/>
        </w:rPr>
        <w:t>5 初步评审</w:t>
      </w:r>
      <w:bookmarkEnd w:id="286"/>
      <w:bookmarkEnd w:id="287"/>
      <w:bookmarkEnd w:id="288"/>
      <w:bookmarkEnd w:id="289"/>
      <w:bookmarkEnd w:id="290"/>
    </w:p>
    <w:p w14:paraId="1B6A0BEE">
      <w:pPr>
        <w:tabs>
          <w:tab w:val="left" w:pos="851"/>
        </w:tabs>
        <w:spacing w:before="120" w:beforeLines="50" w:line="360" w:lineRule="auto"/>
        <w:rPr>
          <w:bCs/>
          <w:color w:val="000000"/>
          <w:szCs w:val="21"/>
          <w:highlight w:val="none"/>
        </w:rPr>
      </w:pPr>
      <w:r>
        <w:rPr>
          <w:rFonts w:hint="eastAsia"/>
          <w:bCs/>
          <w:color w:val="000000"/>
          <w:szCs w:val="21"/>
          <w:highlight w:val="none"/>
        </w:rPr>
        <w:t>5.1</w:t>
      </w:r>
      <w:r>
        <w:rPr>
          <w:bCs/>
          <w:color w:val="000000"/>
          <w:szCs w:val="21"/>
          <w:highlight w:val="none"/>
        </w:rPr>
        <w:t>评标委员会将对投标文件的实质性内容进行初步评审，判定其内容是否真实、完整，是否满足招标文件要求并在实质性内容上予以响应</w:t>
      </w:r>
      <w:r>
        <w:rPr>
          <w:rFonts w:hint="eastAsia"/>
          <w:bCs/>
          <w:color w:val="000000"/>
          <w:szCs w:val="21"/>
          <w:highlight w:val="none"/>
        </w:rPr>
        <w:t>；</w:t>
      </w:r>
    </w:p>
    <w:p w14:paraId="02BF7FCE">
      <w:pPr>
        <w:tabs>
          <w:tab w:val="left" w:pos="851"/>
        </w:tabs>
        <w:spacing w:before="120" w:beforeLines="50" w:line="360" w:lineRule="auto"/>
        <w:rPr>
          <w:bCs/>
          <w:color w:val="000000"/>
          <w:szCs w:val="21"/>
          <w:highlight w:val="none"/>
        </w:rPr>
      </w:pPr>
      <w:r>
        <w:rPr>
          <w:rFonts w:hint="eastAsia"/>
          <w:bCs/>
          <w:color w:val="000000"/>
          <w:szCs w:val="21"/>
          <w:highlight w:val="none"/>
        </w:rPr>
        <w:t>5.2</w:t>
      </w:r>
      <w:r>
        <w:rPr>
          <w:bCs/>
          <w:color w:val="000000"/>
          <w:szCs w:val="21"/>
          <w:highlight w:val="none"/>
        </w:rPr>
        <w:t>如果投标文件实质性不响应招标文件的要求和条件的，评标委员会将判定为重大偏差并作否决投标处理，并且不允许投标人通过修正或</w:t>
      </w:r>
      <w:r>
        <w:rPr>
          <w:rFonts w:hint="eastAsia"/>
          <w:bCs/>
          <w:color w:val="000000"/>
          <w:szCs w:val="21"/>
          <w:highlight w:val="none"/>
        </w:rPr>
        <w:t>撤销</w:t>
      </w:r>
      <w:r>
        <w:rPr>
          <w:bCs/>
          <w:color w:val="000000"/>
          <w:szCs w:val="21"/>
          <w:highlight w:val="none"/>
        </w:rPr>
        <w:t>其不符要求的差异或保留，使之成为具有响应性的投标文件</w:t>
      </w:r>
      <w:r>
        <w:rPr>
          <w:rFonts w:hint="eastAsia"/>
          <w:bCs/>
          <w:color w:val="000000"/>
          <w:szCs w:val="21"/>
          <w:highlight w:val="none"/>
        </w:rPr>
        <w:t>；</w:t>
      </w:r>
    </w:p>
    <w:p w14:paraId="3465582C">
      <w:pPr>
        <w:tabs>
          <w:tab w:val="left" w:pos="851"/>
        </w:tabs>
        <w:spacing w:before="120" w:beforeLines="50" w:line="360" w:lineRule="auto"/>
        <w:rPr>
          <w:bCs/>
          <w:color w:val="000000"/>
          <w:szCs w:val="21"/>
          <w:highlight w:val="none"/>
        </w:rPr>
      </w:pPr>
      <w:r>
        <w:rPr>
          <w:rFonts w:hint="eastAsia"/>
          <w:bCs/>
          <w:color w:val="000000"/>
          <w:szCs w:val="21"/>
          <w:highlight w:val="none"/>
        </w:rPr>
        <w:t>5.3</w:t>
      </w:r>
      <w:r>
        <w:rPr>
          <w:bCs/>
          <w:color w:val="000000"/>
          <w:szCs w:val="21"/>
          <w:highlight w:val="none"/>
        </w:rPr>
        <w:t>评标委员会根据招标文件的要求对投标人进行初步评审，未通过初步评审的投标人不得进入下一阶段的</w:t>
      </w:r>
      <w:r>
        <w:rPr>
          <w:rFonts w:hint="eastAsia"/>
          <w:bCs/>
          <w:color w:val="000000"/>
          <w:szCs w:val="21"/>
          <w:highlight w:val="none"/>
        </w:rPr>
        <w:t>详细</w:t>
      </w:r>
      <w:r>
        <w:rPr>
          <w:bCs/>
          <w:color w:val="000000"/>
          <w:szCs w:val="21"/>
          <w:highlight w:val="none"/>
        </w:rPr>
        <w:t>评审。评审标准详见附表二《初步评审表》。</w:t>
      </w:r>
    </w:p>
    <w:p w14:paraId="40792537">
      <w:pPr>
        <w:tabs>
          <w:tab w:val="left" w:pos="851"/>
        </w:tabs>
        <w:spacing w:before="120" w:beforeLines="50" w:line="360" w:lineRule="auto"/>
        <w:rPr>
          <w:bCs/>
          <w:color w:val="000000"/>
          <w:szCs w:val="21"/>
          <w:highlight w:val="none"/>
        </w:rPr>
      </w:pPr>
      <w:r>
        <w:rPr>
          <w:rFonts w:hint="default" w:ascii="Times New Roman" w:hAnsi="Times New Roman" w:cs="Times New Roman"/>
          <w:bCs/>
          <w:color w:val="000000"/>
          <w:kern w:val="2"/>
          <w:szCs w:val="21"/>
          <w:highlight w:val="none"/>
          <w:lang w:val="en-US" w:eastAsia="zh-CN"/>
        </w:rPr>
        <w:t>5.4</w:t>
      </w:r>
      <w:r>
        <w:rPr>
          <w:rFonts w:hint="default" w:ascii="Times New Roman" w:hAnsi="Times New Roman" w:cs="Times New Roman"/>
          <w:bCs/>
          <w:color w:val="000000"/>
          <w:kern w:val="2"/>
          <w:szCs w:val="21"/>
          <w:highlight w:val="none"/>
        </w:rPr>
        <w:t>投标文件有下列</w:t>
      </w:r>
      <w:r>
        <w:rPr>
          <w:rFonts w:hint="eastAsia" w:ascii="宋体" w:hAnsi="宋体" w:cs="宋体"/>
          <w:bCs/>
          <w:color w:val="000000"/>
          <w:kern w:val="0"/>
          <w:szCs w:val="18"/>
          <w:highlight w:val="none"/>
        </w:rPr>
        <w:t>情形之一的，评标委员会应按否决投标处理：</w:t>
      </w:r>
    </w:p>
    <w:p w14:paraId="45C19432">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不符合附表一《资格审查表》规定的；</w:t>
      </w:r>
    </w:p>
    <w:p w14:paraId="05267AB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不符合附表二《初步评审表》规定的；</w:t>
      </w:r>
    </w:p>
    <w:p w14:paraId="0C307AE3">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法定代表人未按规定出具授权委托书的</w:t>
      </w:r>
      <w:r>
        <w:rPr>
          <w:rFonts w:ascii="宋体" w:hAnsi="宋体"/>
          <w:color w:val="000000"/>
          <w:kern w:val="0"/>
          <w:szCs w:val="18"/>
          <w:highlight w:val="none"/>
        </w:rPr>
        <w:t>(</w:t>
      </w:r>
      <w:r>
        <w:rPr>
          <w:rFonts w:hint="eastAsia" w:ascii="宋体" w:hAnsi="宋体"/>
          <w:color w:val="000000"/>
          <w:kern w:val="0"/>
          <w:szCs w:val="18"/>
          <w:highlight w:val="none"/>
        </w:rPr>
        <w:t>采用委托代理人形式的</w:t>
      </w:r>
      <w:r>
        <w:rPr>
          <w:rFonts w:ascii="宋体" w:hAnsi="宋体"/>
          <w:color w:val="000000"/>
          <w:kern w:val="0"/>
          <w:szCs w:val="18"/>
          <w:highlight w:val="none"/>
        </w:rPr>
        <w:t>)</w:t>
      </w:r>
      <w:r>
        <w:rPr>
          <w:rFonts w:hint="eastAsia" w:ascii="宋体" w:hAnsi="宋体"/>
          <w:color w:val="000000"/>
          <w:kern w:val="0"/>
          <w:szCs w:val="18"/>
          <w:highlight w:val="none"/>
        </w:rPr>
        <w:t>；</w:t>
      </w:r>
    </w:p>
    <w:p w14:paraId="69F4A7B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在投标文件中有虚假文件和</w:t>
      </w:r>
      <w:r>
        <w:rPr>
          <w:rFonts w:ascii="宋体" w:hAnsi="宋体"/>
          <w:color w:val="000000"/>
          <w:kern w:val="0"/>
          <w:szCs w:val="18"/>
          <w:highlight w:val="none"/>
        </w:rPr>
        <w:t>/</w:t>
      </w:r>
      <w:r>
        <w:rPr>
          <w:rFonts w:hint="eastAsia" w:ascii="宋体" w:hAnsi="宋体"/>
          <w:color w:val="000000"/>
          <w:kern w:val="0"/>
          <w:szCs w:val="18"/>
          <w:highlight w:val="none"/>
        </w:rPr>
        <w:t>或资料的；</w:t>
      </w:r>
    </w:p>
    <w:p w14:paraId="50D1D48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投标文件中附有招标人不能接受的条件；</w:t>
      </w:r>
    </w:p>
    <w:p w14:paraId="3FC34C0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投标人以经评标委员会评审认定为低于成本的报价竞标；</w:t>
      </w:r>
    </w:p>
    <w:p w14:paraId="7207AE45">
      <w:pPr>
        <w:numPr>
          <w:ilvl w:val="0"/>
          <w:numId w:val="2"/>
        </w:numPr>
        <w:spacing w:line="360" w:lineRule="auto"/>
        <w:ind w:firstLine="420" w:firstLineChars="200"/>
        <w:jc w:val="left"/>
        <w:rPr>
          <w:rFonts w:ascii="宋体" w:hAnsi="宋体"/>
          <w:color w:val="000000"/>
          <w:kern w:val="0"/>
          <w:szCs w:val="18"/>
          <w:highlight w:val="none"/>
        </w:rPr>
      </w:pPr>
      <w:r>
        <w:rPr>
          <w:rFonts w:hint="eastAsia" w:ascii="宋体" w:hAnsi="宋体"/>
          <w:color w:val="000000"/>
          <w:kern w:val="0"/>
          <w:szCs w:val="18"/>
          <w:highlight w:val="none"/>
        </w:rPr>
        <w:t>开标会结束拒绝在开标记录上签字确认，且经核实无误后，仍拒绝签字确认的；</w:t>
      </w:r>
    </w:p>
    <w:p w14:paraId="41F8E61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投标人扰乱会场秩序，经劝阻仍然无理取闹的；</w:t>
      </w:r>
    </w:p>
    <w:p w14:paraId="064B14A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投标人未能按照评标委员会要求，对其投标文件进行澄清、说明和补正的；</w:t>
      </w:r>
    </w:p>
    <w:p w14:paraId="6404529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投标人以他人的名义投标、串通投标、以行贿手段谋取中标或者以其他弄虚作假方式投标的。</w:t>
      </w:r>
    </w:p>
    <w:p w14:paraId="10082D41">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为本项目前期准备提供设计或咨询服务的，但设计施工总承包的除外；</w:t>
      </w:r>
    </w:p>
    <w:p w14:paraId="0FD72A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为本项目提供招标代理服务的；</w:t>
      </w:r>
    </w:p>
    <w:p w14:paraId="687D457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与本项目的招标代理机构同为一个法定代表人的；</w:t>
      </w:r>
    </w:p>
    <w:p w14:paraId="2BF05C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与本项目的招标代理机构相互控股或参股的；</w:t>
      </w:r>
    </w:p>
    <w:p w14:paraId="40CD110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与本项目的招标代理机构相互任职或工作的；</w:t>
      </w:r>
    </w:p>
    <w:p w14:paraId="1DB57F25">
      <w:pPr>
        <w:numPr>
          <w:ilvl w:val="0"/>
          <w:numId w:val="2"/>
        </w:numPr>
        <w:spacing w:line="360" w:lineRule="auto"/>
        <w:ind w:firstLine="420" w:firstLineChars="200"/>
        <w:rPr>
          <w:rFonts w:ascii="宋体" w:hAnsi="宋体"/>
          <w:color w:val="000000"/>
          <w:kern w:val="0"/>
          <w:szCs w:val="18"/>
          <w:highlight w:val="none"/>
        </w:rPr>
      </w:pPr>
      <w:r>
        <w:rPr>
          <w:rFonts w:ascii="宋体" w:hAnsi="宋体"/>
          <w:color w:val="000000"/>
          <w:kern w:val="0"/>
          <w:szCs w:val="18"/>
          <w:highlight w:val="none"/>
        </w:rPr>
        <w:t>同一品牌产品仅允许一个投标主体（制造商或其授权代理商）参与投标</w:t>
      </w:r>
      <w:r>
        <w:rPr>
          <w:rFonts w:hint="eastAsia" w:ascii="宋体" w:hAnsi="宋体"/>
          <w:color w:val="000000"/>
          <w:kern w:val="0"/>
          <w:szCs w:val="18"/>
          <w:highlight w:val="none"/>
          <w:lang w:eastAsia="zh-CN"/>
        </w:rPr>
        <w:t>；</w:t>
      </w:r>
    </w:p>
    <w:p w14:paraId="061B5E5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招标文件、法律、法规规定的其他否决投标情况。</w:t>
      </w:r>
    </w:p>
    <w:p w14:paraId="570449D7">
      <w:pPr>
        <w:spacing w:line="360" w:lineRule="auto"/>
        <w:rPr>
          <w:rFonts w:ascii="宋体" w:hAnsi="宋体"/>
          <w:color w:val="000000"/>
          <w:kern w:val="0"/>
          <w:szCs w:val="21"/>
          <w:highlight w:val="none"/>
        </w:rPr>
      </w:pPr>
      <w:r>
        <w:rPr>
          <w:rFonts w:hint="eastAsia"/>
          <w:color w:val="000000"/>
          <w:highlight w:val="none"/>
        </w:rPr>
        <w:t>5.5</w:t>
      </w:r>
      <w:r>
        <w:rPr>
          <w:rFonts w:hint="eastAsia" w:ascii="宋体" w:hAnsi="宋体"/>
          <w:color w:val="000000"/>
          <w:kern w:val="0"/>
          <w:szCs w:val="21"/>
          <w:highlight w:val="none"/>
        </w:rPr>
        <w:t>当有效投标不足三个时，评标委员会认为剩余的投标文件不具有竞争性的，不进入详细评审阶段。</w:t>
      </w:r>
    </w:p>
    <w:p w14:paraId="483FE45A">
      <w:pPr>
        <w:keepNext/>
        <w:keepLines/>
        <w:spacing w:before="240" w:beforeLines="100" w:line="360" w:lineRule="auto"/>
        <w:outlineLvl w:val="1"/>
        <w:rPr>
          <w:rFonts w:ascii="黑体" w:hAnsi="黑体" w:eastAsia="黑体"/>
          <w:b/>
          <w:bCs/>
          <w:color w:val="000000"/>
          <w:sz w:val="24"/>
          <w:szCs w:val="21"/>
          <w:highlight w:val="none"/>
        </w:rPr>
      </w:pPr>
      <w:bookmarkStart w:id="291" w:name="_Toc22709"/>
      <w:bookmarkStart w:id="292" w:name="_Toc29786930"/>
      <w:bookmarkStart w:id="293" w:name="_Toc407135177"/>
      <w:bookmarkStart w:id="294" w:name="_Toc487632674"/>
      <w:bookmarkStart w:id="295" w:name="_Toc389065247"/>
      <w:r>
        <w:rPr>
          <w:rFonts w:hint="eastAsia" w:ascii="黑体" w:hAnsi="黑体" w:eastAsia="黑体"/>
          <w:b/>
          <w:bCs/>
          <w:color w:val="000000"/>
          <w:sz w:val="24"/>
          <w:szCs w:val="21"/>
          <w:highlight w:val="none"/>
        </w:rPr>
        <w:t>6 详细评审</w:t>
      </w:r>
      <w:bookmarkEnd w:id="291"/>
      <w:bookmarkEnd w:id="292"/>
    </w:p>
    <w:p w14:paraId="052025C5">
      <w:pPr>
        <w:keepNext/>
        <w:keepLines/>
        <w:widowControl w:val="0"/>
        <w:spacing w:line="360" w:lineRule="auto"/>
        <w:jc w:val="left"/>
        <w:outlineLvl w:val="2"/>
        <w:rPr>
          <w:rFonts w:ascii="宋体" w:hAnsi="宋体" w:eastAsia="宋体" w:cs="Times New Roman"/>
          <w:b/>
          <w:bCs/>
          <w:kern w:val="2"/>
          <w:sz w:val="21"/>
          <w:szCs w:val="32"/>
          <w:lang w:val="en-US" w:eastAsia="zh-CN" w:bidi="ar-SA"/>
        </w:rPr>
      </w:pPr>
      <w:bookmarkStart w:id="296" w:name="_Toc144298714"/>
      <w:r>
        <w:rPr>
          <w:rFonts w:ascii="宋体" w:hAnsi="宋体" w:eastAsia="宋体" w:cs="Times New Roman"/>
          <w:b/>
          <w:bCs/>
          <w:kern w:val="2"/>
          <w:sz w:val="21"/>
          <w:szCs w:val="32"/>
          <w:lang w:val="en-US" w:eastAsia="zh-CN" w:bidi="ar-SA"/>
        </w:rPr>
        <w:t>6.1技术部分评审</w:t>
      </w:r>
    </w:p>
    <w:p w14:paraId="71B761A3">
      <w:pPr>
        <w:spacing w:line="360" w:lineRule="auto"/>
        <w:ind w:firstLine="420" w:firstLineChars="200"/>
        <w:rPr>
          <w:rFonts w:ascii="宋体" w:hAnsi="宋体" w:cs="Times New Roman"/>
          <w:szCs w:val="21"/>
        </w:rPr>
      </w:pPr>
      <w:r>
        <w:rPr>
          <w:rFonts w:ascii="宋体" w:hAnsi="宋体" w:cs="Times New Roman"/>
          <w:szCs w:val="21"/>
        </w:rPr>
        <w:t>6.1.1评标委员会技术评审组对通过初步评审的投标文件的技术文件进行详细评审。</w:t>
      </w:r>
    </w:p>
    <w:p w14:paraId="48865C70">
      <w:pPr>
        <w:spacing w:line="360" w:lineRule="auto"/>
        <w:ind w:firstLine="420" w:firstLineChars="200"/>
        <w:rPr>
          <w:rFonts w:ascii="宋体" w:hAnsi="宋体"/>
          <w:color w:val="000000"/>
          <w:kern w:val="0"/>
          <w:szCs w:val="21"/>
          <w:highlight w:val="none"/>
        </w:rPr>
      </w:pPr>
      <w:r>
        <w:rPr>
          <w:rFonts w:ascii="宋体" w:hAnsi="宋体" w:cs="Times New Roman"/>
          <w:szCs w:val="21"/>
        </w:rPr>
        <w:t>6.1.2技术评审组按照附表四《</w:t>
      </w:r>
      <w:r>
        <w:rPr>
          <w:rFonts w:hint="eastAsia" w:ascii="宋体" w:hAnsi="宋体" w:cs="Times New Roman"/>
          <w:szCs w:val="21"/>
          <w:lang w:val="en-US" w:eastAsia="zh-CN"/>
        </w:rPr>
        <w:t>技术文件评分表</w:t>
      </w:r>
      <w:r>
        <w:rPr>
          <w:rFonts w:ascii="宋体" w:hAnsi="宋体" w:cs="Times New Roman"/>
          <w:szCs w:val="21"/>
        </w:rPr>
        <w:t>》规定的量化因素和分值，对各投标人技术部分评审。各评委对投标人的各评分项评分累加后得出各评委的总得分。投标人技术得分取所有评委总得分的算术平均值（得分出现小数的，保留小数点后二位，第三位小数四舍五入）。</w:t>
      </w:r>
    </w:p>
    <w:p w14:paraId="7054128B">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6.2</w:t>
      </w:r>
      <w:r>
        <w:rPr>
          <w:rFonts w:hint="eastAsia" w:ascii="宋体" w:hAnsi="宋体"/>
          <w:b/>
          <w:bCs/>
          <w:color w:val="000000"/>
          <w:szCs w:val="21"/>
          <w:highlight w:val="none"/>
          <w:lang w:val="en-US" w:eastAsia="zh-CN"/>
        </w:rPr>
        <w:t>商务</w:t>
      </w:r>
      <w:r>
        <w:rPr>
          <w:rFonts w:hint="eastAsia" w:ascii="宋体" w:hAnsi="宋体"/>
          <w:b/>
          <w:bCs/>
          <w:color w:val="000000"/>
          <w:szCs w:val="21"/>
          <w:highlight w:val="none"/>
        </w:rPr>
        <w:t>部分评审</w:t>
      </w:r>
    </w:p>
    <w:p w14:paraId="02754AE7">
      <w:pPr>
        <w:spacing w:line="360" w:lineRule="auto"/>
        <w:ind w:firstLine="420" w:firstLineChars="200"/>
        <w:rPr>
          <w:rFonts w:ascii="宋体" w:hAnsi="宋体" w:cs="Times New Roman"/>
          <w:szCs w:val="21"/>
        </w:rPr>
      </w:pPr>
      <w:r>
        <w:rPr>
          <w:rFonts w:ascii="宋体" w:hAnsi="宋体" w:cs="Times New Roman"/>
          <w:szCs w:val="21"/>
        </w:rPr>
        <w:t>6.2.1评标委员会经济评审组对通过初步评审的投标文件的</w:t>
      </w:r>
      <w:r>
        <w:rPr>
          <w:rFonts w:hint="eastAsia" w:ascii="宋体" w:hAnsi="宋体" w:cs="Times New Roman"/>
          <w:szCs w:val="21"/>
          <w:lang w:eastAsia="zh-CN"/>
        </w:rPr>
        <w:t>商务文件</w:t>
      </w:r>
      <w:r>
        <w:rPr>
          <w:rFonts w:ascii="宋体" w:hAnsi="宋体" w:cs="Times New Roman"/>
          <w:szCs w:val="21"/>
        </w:rPr>
        <w:t>进行详细评审。</w:t>
      </w:r>
    </w:p>
    <w:p w14:paraId="2341CBAE">
      <w:pPr>
        <w:spacing w:line="360" w:lineRule="auto"/>
        <w:ind w:firstLine="420" w:firstLineChars="200"/>
        <w:rPr>
          <w:rFonts w:ascii="宋体" w:hAnsi="宋体" w:cs="Times New Roman"/>
          <w:szCs w:val="21"/>
        </w:rPr>
      </w:pPr>
      <w:r>
        <w:rPr>
          <w:rFonts w:ascii="宋体" w:hAnsi="宋体" w:cs="Times New Roman"/>
          <w:szCs w:val="21"/>
        </w:rPr>
        <w:t>6.2.</w:t>
      </w:r>
      <w:r>
        <w:rPr>
          <w:rFonts w:hint="eastAsia" w:ascii="宋体" w:hAnsi="宋体" w:cs="Times New Roman"/>
          <w:szCs w:val="21"/>
        </w:rPr>
        <w:t>2</w:t>
      </w:r>
      <w:r>
        <w:rPr>
          <w:rFonts w:ascii="宋体" w:hAnsi="宋体" w:cs="Times New Roman"/>
          <w:szCs w:val="21"/>
        </w:rPr>
        <w:t>经济评审组按照附表五《</w:t>
      </w:r>
      <w:r>
        <w:rPr>
          <w:rFonts w:hint="eastAsia" w:ascii="宋体" w:hAnsi="宋体" w:cs="Times New Roman"/>
          <w:szCs w:val="21"/>
          <w:lang w:val="en-US" w:eastAsia="zh-CN"/>
        </w:rPr>
        <w:t>商务部分</w:t>
      </w:r>
      <w:r>
        <w:rPr>
          <w:rFonts w:ascii="宋体" w:hAnsi="宋体" w:cs="Times New Roman"/>
          <w:szCs w:val="21"/>
        </w:rPr>
        <w:t>评分表》规定的量化因素和分值，</w:t>
      </w:r>
      <w:r>
        <w:rPr>
          <w:rFonts w:hint="eastAsia" w:ascii="宋体" w:hAnsi="宋体" w:cs="Times New Roman"/>
          <w:szCs w:val="21"/>
        </w:rPr>
        <w:t>以</w:t>
      </w:r>
      <w:r>
        <w:rPr>
          <w:rFonts w:ascii="宋体" w:hAnsi="宋体" w:cs="Times New Roman"/>
          <w:szCs w:val="21"/>
        </w:rPr>
        <w:t>含</w:t>
      </w:r>
      <w:r>
        <w:rPr>
          <w:rFonts w:hint="eastAsia" w:ascii="宋体" w:hAnsi="宋体" w:cs="Times New Roman"/>
          <w:szCs w:val="21"/>
        </w:rPr>
        <w:t>增值</w:t>
      </w:r>
      <w:r>
        <w:rPr>
          <w:rFonts w:ascii="宋体" w:hAnsi="宋体" w:cs="Times New Roman"/>
          <w:szCs w:val="21"/>
        </w:rPr>
        <w:t>税的投标报价</w:t>
      </w:r>
      <w:r>
        <w:rPr>
          <w:rFonts w:hint="eastAsia" w:ascii="宋体" w:hAnsi="宋体" w:cs="Times New Roman"/>
          <w:szCs w:val="21"/>
        </w:rPr>
        <w:t>为准，</w:t>
      </w:r>
      <w:r>
        <w:rPr>
          <w:rFonts w:ascii="宋体" w:hAnsi="宋体" w:cs="Times New Roman"/>
          <w:szCs w:val="21"/>
        </w:rPr>
        <w:t>对各投标人的</w:t>
      </w:r>
      <w:r>
        <w:rPr>
          <w:rFonts w:hint="eastAsia" w:ascii="宋体" w:hAnsi="宋体" w:cs="Times New Roman"/>
          <w:szCs w:val="21"/>
          <w:lang w:val="en-US" w:eastAsia="zh-CN"/>
        </w:rPr>
        <w:t>商务部分</w:t>
      </w:r>
      <w:r>
        <w:rPr>
          <w:rFonts w:hint="eastAsia" w:ascii="宋体" w:hAnsi="宋体" w:cs="Times New Roman"/>
          <w:szCs w:val="21"/>
        </w:rPr>
        <w:t>进行</w:t>
      </w:r>
      <w:r>
        <w:rPr>
          <w:rFonts w:ascii="宋体" w:hAnsi="宋体" w:cs="Times New Roman"/>
          <w:szCs w:val="21"/>
        </w:rPr>
        <w:t>评审，并计算出价格得分（得分出现小数的，保留</w:t>
      </w:r>
      <w:r>
        <w:rPr>
          <w:rFonts w:hint="eastAsia" w:ascii="宋体" w:hAnsi="宋体" w:cs="Times New Roman"/>
          <w:szCs w:val="21"/>
        </w:rPr>
        <w:t>两位</w:t>
      </w:r>
      <w:r>
        <w:rPr>
          <w:rFonts w:ascii="宋体" w:hAnsi="宋体" w:cs="Times New Roman"/>
          <w:szCs w:val="21"/>
        </w:rPr>
        <w:t>小数，第三位小数四舍五入）。</w:t>
      </w:r>
    </w:p>
    <w:p w14:paraId="5AE96DE6">
      <w:pPr>
        <w:spacing w:line="360" w:lineRule="auto"/>
        <w:ind w:firstLine="420" w:firstLineChars="200"/>
        <w:rPr>
          <w:rFonts w:hint="eastAsia" w:ascii="宋体" w:hAnsi="宋体" w:cs="Times New Roman"/>
          <w:szCs w:val="21"/>
        </w:rPr>
      </w:pPr>
      <w:r>
        <w:rPr>
          <w:rFonts w:ascii="宋体" w:hAnsi="宋体" w:cs="Times New Roman"/>
          <w:szCs w:val="21"/>
        </w:rPr>
        <w:t>6.2.</w:t>
      </w:r>
      <w:r>
        <w:rPr>
          <w:rFonts w:hint="eastAsia" w:ascii="宋体" w:hAnsi="宋体" w:cs="Times New Roman"/>
          <w:szCs w:val="21"/>
        </w:rPr>
        <w:t>3</w:t>
      </w:r>
      <w:r>
        <w:rPr>
          <w:rFonts w:ascii="宋体" w:hAnsi="宋体" w:cs="Times New Roman"/>
          <w:szCs w:val="21"/>
        </w:rPr>
        <w:t>投标报价有算术错误的，评标委员会按以下原则对投标报价进行修正，修正的价格经投标</w:t>
      </w:r>
      <w:r>
        <w:rPr>
          <w:rFonts w:hint="eastAsia" w:ascii="宋体" w:hAnsi="宋体" w:cs="Times New Roman"/>
          <w:szCs w:val="21"/>
        </w:rPr>
        <w:t>人书面确认后具有约束力。投标人不接受修正价格的，其投标作否决投标处理：</w:t>
      </w:r>
    </w:p>
    <w:p w14:paraId="79A94723">
      <w:pPr>
        <w:spacing w:line="360" w:lineRule="auto"/>
        <w:ind w:firstLine="420" w:firstLineChars="200"/>
        <w:rPr>
          <w:rFonts w:hint="eastAsia" w:ascii="宋体" w:hAnsi="宋体" w:cs="Times New Roman"/>
          <w:szCs w:val="21"/>
        </w:rPr>
      </w:pPr>
      <w:r>
        <w:rPr>
          <w:rFonts w:hint="eastAsia" w:ascii="宋体" w:hAnsi="宋体" w:cs="Times New Roman"/>
          <w:szCs w:val="21"/>
        </w:rPr>
        <w:t>（1）投标报价大写金额与小写金额不一致的，以大写金额为准；</w:t>
      </w:r>
    </w:p>
    <w:p w14:paraId="5E6AE1ED">
      <w:pPr>
        <w:spacing w:line="360" w:lineRule="auto"/>
        <w:ind w:firstLine="420" w:firstLineChars="200"/>
        <w:rPr>
          <w:rFonts w:hint="eastAsia" w:ascii="宋体" w:hAnsi="宋体" w:cs="Times New Roman"/>
          <w:szCs w:val="21"/>
        </w:rPr>
      </w:pPr>
      <w:r>
        <w:rPr>
          <w:rFonts w:hint="eastAsia" w:ascii="宋体" w:hAnsi="宋体" w:cs="Times New Roman"/>
          <w:szCs w:val="21"/>
        </w:rPr>
        <w:t>（2）单价金额与数量相乘不等于合价金额时，以单价金额为准计算合价金额，但单价金额小数点有明显错误的除外；</w:t>
      </w:r>
    </w:p>
    <w:p w14:paraId="6370A7F2">
      <w:pPr>
        <w:spacing w:line="360" w:lineRule="auto"/>
        <w:ind w:firstLine="420" w:firstLineChars="200"/>
        <w:rPr>
          <w:rFonts w:hint="eastAsia" w:ascii="宋体" w:hAnsi="宋体" w:cs="Times New Roman"/>
          <w:szCs w:val="21"/>
        </w:rPr>
      </w:pPr>
      <w:r>
        <w:rPr>
          <w:rFonts w:hint="eastAsia" w:ascii="宋体" w:hAnsi="宋体" w:cs="Times New Roman"/>
          <w:szCs w:val="21"/>
        </w:rPr>
        <w:t>（3）投标报价为各分项报价金额之和，投标报价与各分项报价之和不一致的，应以各分项报价累计数为准，修正投标报价；</w:t>
      </w:r>
    </w:p>
    <w:p w14:paraId="1CD617B4">
      <w:pPr>
        <w:spacing w:line="360" w:lineRule="auto"/>
        <w:ind w:firstLine="420" w:firstLineChars="200"/>
        <w:rPr>
          <w:rFonts w:hint="eastAsia" w:ascii="宋体" w:hAnsi="宋体" w:cs="Times New Roman"/>
          <w:szCs w:val="21"/>
        </w:rPr>
      </w:pPr>
      <w:r>
        <w:rPr>
          <w:rFonts w:hint="eastAsia" w:ascii="宋体" w:hAnsi="宋体" w:cs="Times New Roman"/>
          <w:szCs w:val="21"/>
        </w:rPr>
        <w:t>（4）同一规格、型号的货物、材料在各分项报价中应为同一单价。投标人对每种货物(指完全相同的同一货物)只允许有一个报价，如有不同报价，则以最低报价为准；</w:t>
      </w:r>
    </w:p>
    <w:p w14:paraId="0061F031">
      <w:pPr>
        <w:spacing w:line="360" w:lineRule="auto"/>
        <w:ind w:firstLine="420" w:firstLineChars="200"/>
        <w:rPr>
          <w:rFonts w:hint="eastAsia" w:ascii="宋体" w:hAnsi="宋体" w:cs="Times New Roman"/>
          <w:szCs w:val="21"/>
        </w:rPr>
      </w:pPr>
      <w:r>
        <w:rPr>
          <w:rFonts w:hint="eastAsia" w:ascii="宋体" w:hAnsi="宋体" w:cs="Times New Roman"/>
          <w:szCs w:val="21"/>
        </w:rPr>
        <w:t>按上述原则对投标报价进行修正。评标价格及中标价均以修正后的投标报价为准。如投标人不接受以上原则确定的评标价格和中标价，则其投标将被拒绝。</w:t>
      </w:r>
    </w:p>
    <w:p w14:paraId="51DB658A">
      <w:pPr>
        <w:spacing w:line="360" w:lineRule="auto"/>
        <w:ind w:firstLine="420" w:firstLineChars="200"/>
        <w:rPr>
          <w:rFonts w:ascii="宋体" w:hAnsi="宋体" w:cs="Times New Roman"/>
          <w:szCs w:val="21"/>
        </w:rPr>
      </w:pPr>
      <w:r>
        <w:rPr>
          <w:rFonts w:ascii="宋体" w:hAnsi="宋体" w:cs="Times New Roman"/>
          <w:szCs w:val="21"/>
        </w:rPr>
        <w:t>6.2.</w:t>
      </w:r>
      <w:r>
        <w:rPr>
          <w:rFonts w:hint="eastAsia" w:ascii="宋体" w:hAnsi="宋体" w:cs="Times New Roman"/>
          <w:szCs w:val="21"/>
        </w:rPr>
        <w:t>4</w:t>
      </w:r>
      <w:r>
        <w:rPr>
          <w:rFonts w:ascii="宋体" w:hAnsi="宋体" w:cs="Times New Roman"/>
          <w:szCs w:val="21"/>
        </w:rPr>
        <w:t>出现下列情况的投标文件将予以否决：</w:t>
      </w:r>
    </w:p>
    <w:p w14:paraId="79407F2F">
      <w:pPr>
        <w:spacing w:line="360" w:lineRule="auto"/>
        <w:ind w:firstLine="420" w:firstLineChars="200"/>
        <w:rPr>
          <w:rFonts w:ascii="宋体" w:hAnsi="宋体" w:cs="Times New Roman"/>
          <w:szCs w:val="21"/>
        </w:rPr>
      </w:pPr>
      <w:r>
        <w:rPr>
          <w:rFonts w:ascii="宋体" w:hAnsi="宋体" w:cs="Times New Roman"/>
          <w:szCs w:val="21"/>
        </w:rPr>
        <w:t>（1）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投标，否决其投标。</w:t>
      </w:r>
    </w:p>
    <w:p w14:paraId="1451414D">
      <w:pPr>
        <w:spacing w:line="360" w:lineRule="auto"/>
        <w:ind w:firstLine="420" w:firstLineChars="200"/>
        <w:rPr>
          <w:rFonts w:ascii="宋体" w:hAnsi="宋体" w:cs="Times New Roman"/>
          <w:szCs w:val="21"/>
        </w:rPr>
      </w:pPr>
      <w:r>
        <w:rPr>
          <w:rFonts w:ascii="宋体" w:hAnsi="宋体" w:cs="Times New Roman"/>
          <w:szCs w:val="21"/>
        </w:rPr>
        <w:t>（2）投标报价清单如有漏项的投标文件，将予以否决。</w:t>
      </w:r>
    </w:p>
    <w:p w14:paraId="6BBEBF9C">
      <w:pPr>
        <w:spacing w:line="360" w:lineRule="auto"/>
        <w:ind w:firstLine="420" w:firstLineChars="200"/>
        <w:rPr>
          <w:rFonts w:hint="eastAsia" w:ascii="宋体" w:hAnsi="宋体" w:eastAsia="宋体" w:cs="Times New Roman"/>
          <w:szCs w:val="21"/>
          <w:lang w:eastAsia="zh-CN"/>
        </w:rPr>
      </w:pPr>
      <w:r>
        <w:rPr>
          <w:rFonts w:ascii="宋体" w:hAnsi="宋体" w:cs="Times New Roman"/>
          <w:szCs w:val="21"/>
        </w:rPr>
        <w:t>（</w:t>
      </w:r>
      <w:r>
        <w:rPr>
          <w:rFonts w:hint="eastAsia" w:ascii="宋体" w:hAnsi="宋体" w:cs="Times New Roman"/>
          <w:szCs w:val="21"/>
        </w:rPr>
        <w:t>3</w:t>
      </w:r>
      <w:r>
        <w:rPr>
          <w:rFonts w:ascii="宋体" w:hAnsi="宋体" w:cs="Times New Roman"/>
          <w:szCs w:val="21"/>
        </w:rPr>
        <w:t>）修正后的最终投标报价超过招标控制价的投标文件作否决投标处理。如项目设有分项招标控制价，修正后的分项报价超过分项招标控制价的投标文件作否决投标处理。如项目设有综合单价上限控制价的，修正后的综合单价超过综合单价上限控制价的投标文件作否决投标处理</w:t>
      </w:r>
      <w:r>
        <w:rPr>
          <w:rFonts w:hint="eastAsia" w:ascii="宋体" w:hAnsi="宋体" w:cs="Times New Roman"/>
          <w:szCs w:val="21"/>
          <w:lang w:eastAsia="zh-CN"/>
        </w:rPr>
        <w:t>。</w:t>
      </w:r>
    </w:p>
    <w:bookmarkEnd w:id="296"/>
    <w:p w14:paraId="4194BC98">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 xml:space="preserve">6.3 </w:t>
      </w:r>
      <w:r>
        <w:rPr>
          <w:rFonts w:hint="eastAsia" w:ascii="宋体" w:hAnsi="宋体" w:cs="黑体"/>
          <w:b/>
          <w:bCs/>
          <w:color w:val="000000"/>
          <w:szCs w:val="21"/>
          <w:highlight w:val="none"/>
        </w:rPr>
        <w:t>投标文件的澄清和补正</w:t>
      </w:r>
    </w:p>
    <w:p w14:paraId="3EB745FE">
      <w:pPr>
        <w:spacing w:line="360" w:lineRule="auto"/>
        <w:ind w:firstLine="420" w:firstLineChars="200"/>
        <w:rPr>
          <w:rFonts w:ascii="宋体" w:hAnsi="宋体"/>
          <w:szCs w:val="21"/>
        </w:rPr>
      </w:pPr>
      <w:r>
        <w:rPr>
          <w:rFonts w:ascii="宋体" w:hAnsi="宋体"/>
          <w:szCs w:val="21"/>
        </w:rPr>
        <w:t>6.3.1在评标过程中，评标委员会可以书面形式要求投标人对所提交的投标文件中的非实质性偏离内容进行书面澄清、说明或补正。澄清、说明和补正必须由评标委员会书面提出</w:t>
      </w:r>
      <w:r>
        <w:rPr>
          <w:rFonts w:hint="eastAsia" w:ascii="宋体" w:hAnsi="宋体"/>
          <w:szCs w:val="21"/>
        </w:rPr>
        <w:t>，</w:t>
      </w:r>
      <w:r>
        <w:rPr>
          <w:rFonts w:ascii="宋体" w:hAnsi="宋体"/>
          <w:szCs w:val="21"/>
        </w:rPr>
        <w:t>投标人书面答复，否则无效。评标委员会不接受投标人主动提出的澄清、说明或补正。</w:t>
      </w:r>
    </w:p>
    <w:p w14:paraId="594FC540">
      <w:pPr>
        <w:spacing w:line="360" w:lineRule="auto"/>
        <w:ind w:firstLine="420" w:firstLineChars="200"/>
        <w:rPr>
          <w:rFonts w:ascii="宋体" w:hAnsi="宋体"/>
          <w:szCs w:val="21"/>
        </w:rPr>
      </w:pPr>
      <w:r>
        <w:rPr>
          <w:rFonts w:ascii="宋体" w:hAnsi="宋体"/>
          <w:szCs w:val="21"/>
        </w:rPr>
        <w:t>非实质性偏离是指投标文件实质性响应招标文件，但在部分可允许范围内存在一些不规则、不一致、不完整的内容，通过澄清、说明或者补正后这些内容不会改变投标文件的实质性。以下情况属于非实质性偏离：</w:t>
      </w:r>
    </w:p>
    <w:p w14:paraId="7AE29C0A">
      <w:pPr>
        <w:spacing w:line="360" w:lineRule="auto"/>
        <w:ind w:firstLine="420" w:firstLineChars="200"/>
        <w:rPr>
          <w:rFonts w:ascii="宋体" w:hAnsi="宋体"/>
          <w:szCs w:val="21"/>
        </w:rPr>
      </w:pPr>
      <w:r>
        <w:rPr>
          <w:rFonts w:ascii="宋体" w:hAnsi="宋体"/>
          <w:szCs w:val="21"/>
        </w:rPr>
        <w:t>（1）投标文件文字表述的内容含义不明确；</w:t>
      </w:r>
    </w:p>
    <w:p w14:paraId="168A2A5B">
      <w:pPr>
        <w:spacing w:line="360" w:lineRule="auto"/>
        <w:ind w:firstLine="420" w:firstLineChars="200"/>
        <w:rPr>
          <w:rFonts w:ascii="宋体" w:hAnsi="宋体"/>
          <w:szCs w:val="21"/>
        </w:rPr>
      </w:pPr>
      <w:r>
        <w:rPr>
          <w:rFonts w:ascii="宋体" w:hAnsi="宋体"/>
          <w:szCs w:val="21"/>
        </w:rPr>
        <w:t>（2）同类问题表述不一致；</w:t>
      </w:r>
    </w:p>
    <w:p w14:paraId="4A55F009">
      <w:pPr>
        <w:spacing w:line="360" w:lineRule="auto"/>
        <w:ind w:firstLine="420" w:firstLineChars="200"/>
        <w:rPr>
          <w:rFonts w:ascii="宋体" w:hAnsi="宋体"/>
          <w:szCs w:val="21"/>
        </w:rPr>
      </w:pPr>
      <w:r>
        <w:rPr>
          <w:rFonts w:ascii="宋体" w:hAnsi="宋体"/>
          <w:szCs w:val="21"/>
        </w:rPr>
        <w:t>（3）明显文字和计算错误；</w:t>
      </w:r>
    </w:p>
    <w:p w14:paraId="07E3C15D">
      <w:pPr>
        <w:spacing w:line="360" w:lineRule="auto"/>
        <w:ind w:firstLine="420" w:firstLineChars="200"/>
        <w:rPr>
          <w:rFonts w:ascii="宋体" w:hAnsi="宋体"/>
          <w:szCs w:val="21"/>
        </w:rPr>
      </w:pPr>
      <w:r>
        <w:rPr>
          <w:rFonts w:ascii="宋体" w:hAnsi="宋体"/>
          <w:szCs w:val="21"/>
        </w:rPr>
        <w:t>（4）评标委员会认定的其他非实质性偏离情况。</w:t>
      </w:r>
    </w:p>
    <w:p w14:paraId="7F8F292C">
      <w:pPr>
        <w:spacing w:line="360" w:lineRule="auto"/>
        <w:ind w:firstLine="420" w:firstLineChars="200"/>
        <w:rPr>
          <w:rFonts w:ascii="宋体" w:hAnsi="宋体"/>
          <w:szCs w:val="21"/>
        </w:rPr>
      </w:pPr>
      <w:r>
        <w:rPr>
          <w:rFonts w:ascii="宋体" w:hAnsi="宋体"/>
          <w:szCs w:val="21"/>
        </w:rPr>
        <w:t>6.3.2澄清、说明和补正不得改变投标文件的实质性内容（算术性错误修正的除外）</w:t>
      </w:r>
      <w:r>
        <w:rPr>
          <w:rFonts w:hint="eastAsia" w:ascii="宋体" w:hAnsi="宋体"/>
          <w:szCs w:val="21"/>
        </w:rPr>
        <w:t>，并构成</w:t>
      </w:r>
      <w:r>
        <w:rPr>
          <w:rFonts w:ascii="宋体" w:hAnsi="宋体"/>
          <w:szCs w:val="21"/>
        </w:rPr>
        <w:t>投标文件的组成部分。</w:t>
      </w:r>
    </w:p>
    <w:p w14:paraId="6E214845">
      <w:pPr>
        <w:spacing w:line="360" w:lineRule="auto"/>
        <w:ind w:firstLine="420" w:firstLineChars="200"/>
        <w:rPr>
          <w:rFonts w:ascii="宋体" w:hAnsi="宋体"/>
          <w:color w:val="000000"/>
          <w:kern w:val="0"/>
          <w:szCs w:val="21"/>
          <w:highlight w:val="none"/>
        </w:rPr>
      </w:pPr>
      <w:r>
        <w:rPr>
          <w:rFonts w:ascii="宋体" w:hAnsi="宋体"/>
          <w:szCs w:val="21"/>
        </w:rPr>
        <w:t>6.3.3评标委员会对投标人提交的澄清、说明或补正有疑问的，可以要求投标人进一步澄清、说明或补正，直至满足评标委员会的要求。</w:t>
      </w:r>
    </w:p>
    <w:p w14:paraId="5BDBBDCC">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6.4</w:t>
      </w:r>
      <w:r>
        <w:rPr>
          <w:rFonts w:hint="eastAsia" w:ascii="宋体" w:hAnsi="宋体"/>
          <w:b/>
          <w:bCs/>
          <w:color w:val="000000"/>
          <w:szCs w:val="21"/>
          <w:highlight w:val="none"/>
        </w:rPr>
        <w:t>评标结果</w:t>
      </w:r>
    </w:p>
    <w:p w14:paraId="0D5337E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6.4.1</w:t>
      </w:r>
      <w:r>
        <w:rPr>
          <w:rFonts w:hint="eastAsia" w:ascii="宋体" w:hAnsi="宋体"/>
          <w:color w:val="000000"/>
          <w:kern w:val="0"/>
          <w:szCs w:val="21"/>
          <w:highlight w:val="none"/>
        </w:rPr>
        <w:t>汇总得分</w:t>
      </w:r>
    </w:p>
    <w:p w14:paraId="3E55389C">
      <w:pPr>
        <w:spacing w:line="360" w:lineRule="auto"/>
        <w:ind w:firstLine="420" w:firstLineChars="200"/>
        <w:rPr>
          <w:rFonts w:ascii="宋体" w:hAnsi="宋体"/>
          <w:szCs w:val="21"/>
        </w:rPr>
      </w:pPr>
      <w:r>
        <w:rPr>
          <w:rFonts w:ascii="宋体" w:hAnsi="宋体"/>
          <w:szCs w:val="21"/>
        </w:rPr>
        <w:t>各投标人综合评分=技术得分+</w:t>
      </w:r>
      <w:r>
        <w:rPr>
          <w:rFonts w:hint="eastAsia" w:ascii="宋体" w:hAnsi="宋体"/>
          <w:szCs w:val="21"/>
          <w:lang w:val="en-US" w:eastAsia="zh-CN"/>
        </w:rPr>
        <w:t>商务</w:t>
      </w:r>
      <w:r>
        <w:rPr>
          <w:rFonts w:ascii="宋体" w:hAnsi="宋体"/>
          <w:szCs w:val="21"/>
        </w:rPr>
        <w:t>得分</w:t>
      </w:r>
    </w:p>
    <w:bookmarkEnd w:id="293"/>
    <w:bookmarkEnd w:id="294"/>
    <w:bookmarkEnd w:id="295"/>
    <w:p w14:paraId="6FC76430">
      <w:pPr>
        <w:spacing w:line="360" w:lineRule="auto"/>
        <w:ind w:firstLine="420" w:firstLineChars="200"/>
        <w:rPr>
          <w:rFonts w:ascii="宋体" w:hAnsi="宋体"/>
          <w:color w:val="000000"/>
          <w:kern w:val="0"/>
          <w:sz w:val="24"/>
          <w:szCs w:val="21"/>
          <w:highlight w:val="none"/>
        </w:rPr>
      </w:pPr>
      <w:r>
        <w:rPr>
          <w:rFonts w:ascii="宋体" w:hAnsi="宋体"/>
          <w:color w:val="000000"/>
          <w:kern w:val="0"/>
          <w:szCs w:val="21"/>
          <w:highlight w:val="none"/>
        </w:rPr>
        <w:t>6.4.2</w:t>
      </w:r>
      <w:r>
        <w:rPr>
          <w:rFonts w:hint="eastAsia" w:ascii="宋体" w:hAnsi="宋体"/>
          <w:color w:val="000000"/>
          <w:kern w:val="0"/>
          <w:szCs w:val="21"/>
          <w:highlight w:val="none"/>
        </w:rPr>
        <w:t>推荐中标候选人</w:t>
      </w:r>
    </w:p>
    <w:p w14:paraId="34F36D83">
      <w:pPr>
        <w:spacing w:line="360" w:lineRule="auto"/>
        <w:ind w:firstLine="420" w:firstLineChars="200"/>
        <w:rPr>
          <w:rFonts w:ascii="宋体" w:hAnsi="宋体"/>
          <w:color w:val="000000"/>
          <w:kern w:val="0"/>
          <w:szCs w:val="21"/>
          <w:highlight w:val="none"/>
        </w:rPr>
      </w:pPr>
      <w:r>
        <w:rPr>
          <w:rFonts w:hint="eastAsia" w:ascii="宋体" w:hAnsi="宋体" w:cs="宋体"/>
          <w:color w:val="000000"/>
          <w:kern w:val="0"/>
          <w:szCs w:val="21"/>
          <w:highlight w:val="none"/>
        </w:rPr>
        <w:t>经评审后，评标委员会按综合评分由高到低顺序</w:t>
      </w:r>
      <w:r>
        <w:rPr>
          <w:rFonts w:hint="eastAsia" w:ascii="宋体" w:hAnsi="宋体"/>
          <w:color w:val="000000"/>
          <w:kern w:val="0"/>
          <w:szCs w:val="20"/>
          <w:highlight w:val="none"/>
        </w:rPr>
        <w:t>推荐</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名中标候选人（当中标候选人不足</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名时按实际数量推荐），并标明排序</w:t>
      </w:r>
      <w:r>
        <w:rPr>
          <w:rFonts w:hint="eastAsia" w:ascii="宋体" w:hAnsi="宋体" w:cs="宋体"/>
          <w:color w:val="000000"/>
          <w:kern w:val="0"/>
          <w:szCs w:val="21"/>
          <w:highlight w:val="none"/>
        </w:rPr>
        <w:t>。综合评分相同时，则</w:t>
      </w:r>
      <w:r>
        <w:rPr>
          <w:rFonts w:hint="eastAsia" w:ascii="宋体" w:hAnsi="宋体" w:cs="宋体"/>
          <w:color w:val="000000"/>
          <w:kern w:val="0"/>
          <w:szCs w:val="21"/>
          <w:highlight w:val="none"/>
          <w:lang w:val="en-US" w:eastAsia="zh-CN"/>
        </w:rPr>
        <w:t>商务</w:t>
      </w:r>
      <w:r>
        <w:rPr>
          <w:rFonts w:hint="eastAsia" w:ascii="宋体" w:hAnsi="宋体" w:cs="宋体"/>
          <w:color w:val="000000"/>
          <w:kern w:val="0"/>
          <w:szCs w:val="21"/>
          <w:highlight w:val="none"/>
        </w:rPr>
        <w:t>得分较高的排名靠前；如</w:t>
      </w:r>
      <w:r>
        <w:rPr>
          <w:rFonts w:hint="eastAsia" w:ascii="宋体" w:hAnsi="宋体" w:cs="宋体"/>
          <w:color w:val="000000"/>
          <w:kern w:val="0"/>
          <w:szCs w:val="21"/>
          <w:highlight w:val="none"/>
          <w:lang w:val="en-US" w:eastAsia="zh-CN"/>
        </w:rPr>
        <w:t>商务</w:t>
      </w:r>
      <w:r>
        <w:rPr>
          <w:rFonts w:hint="eastAsia" w:ascii="宋体" w:hAnsi="宋体" w:cs="宋体"/>
          <w:color w:val="000000"/>
          <w:kern w:val="0"/>
          <w:szCs w:val="21"/>
          <w:highlight w:val="none"/>
        </w:rPr>
        <w:t>得分也相同，则由评标委员会采用记名投票方式确定。</w:t>
      </w:r>
    </w:p>
    <w:p w14:paraId="5B8116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 xml:space="preserve">6.4.3 </w:t>
      </w:r>
      <w:r>
        <w:rPr>
          <w:rFonts w:hint="eastAsia" w:ascii="宋体" w:hAnsi="宋体" w:cs="宋体"/>
          <w:color w:val="000000"/>
          <w:kern w:val="0"/>
          <w:szCs w:val="21"/>
          <w:highlight w:val="none"/>
        </w:rPr>
        <w:t>评标委员会完成评标后，应当向招标人提交书面评标报告。</w:t>
      </w:r>
      <w:r>
        <w:rPr>
          <w:rFonts w:ascii="宋体" w:hAnsi="宋体" w:cs="宋体"/>
          <w:bCs/>
          <w:color w:val="000000"/>
          <w:kern w:val="0"/>
          <w:szCs w:val="21"/>
          <w:highlight w:val="none"/>
        </w:rPr>
        <w:t>评标报告由评标委员会成员起草，按少数服从多数的原则通过。评标委员会全体成员应在评标报告上签字确认，评标专家如有保留意见可以在评标报告中阐明</w:t>
      </w:r>
      <w:r>
        <w:rPr>
          <w:rFonts w:hint="eastAsia" w:ascii="宋体" w:hAnsi="宋体" w:cs="宋体"/>
          <w:bCs/>
          <w:color w:val="000000"/>
          <w:kern w:val="0"/>
          <w:szCs w:val="21"/>
          <w:highlight w:val="none"/>
        </w:rPr>
        <w:t>。</w:t>
      </w:r>
      <w:r>
        <w:rPr>
          <w:rFonts w:hint="eastAsia" w:ascii="宋体" w:hAnsi="宋体"/>
          <w:color w:val="000000"/>
          <w:highlight w:val="none"/>
        </w:rPr>
        <w:t>评标委员会成员拒绝在评审报告中签字又不书面说明其不同意见和理由的，视为同意评审结果。</w:t>
      </w:r>
    </w:p>
    <w:p w14:paraId="7814FE9A">
      <w:pPr>
        <w:spacing w:line="360" w:lineRule="auto"/>
        <w:ind w:firstLine="420" w:firstLineChars="200"/>
        <w:rPr>
          <w:rFonts w:ascii="宋体" w:hAnsi="宋体" w:cs="宋体"/>
          <w:color w:val="000000"/>
          <w:kern w:val="0"/>
          <w:szCs w:val="21"/>
          <w:highlight w:val="none"/>
        </w:rPr>
      </w:pPr>
      <w:r>
        <w:rPr>
          <w:rFonts w:ascii="宋体" w:hAnsi="宋体"/>
          <w:color w:val="000000"/>
          <w:kern w:val="0"/>
          <w:szCs w:val="21"/>
          <w:highlight w:val="none"/>
        </w:rPr>
        <w:t>6.4.4</w:t>
      </w:r>
      <w:r>
        <w:rPr>
          <w:rFonts w:hint="eastAsia" w:ascii="宋体" w:hAnsi="宋体" w:cs="宋体"/>
          <w:color w:val="000000"/>
          <w:kern w:val="0"/>
          <w:szCs w:val="21"/>
          <w:highlight w:val="none"/>
        </w:rPr>
        <w:t>评标委员会应将评标过程中使用的文件、表格以及其他材料即时归还招标人。</w:t>
      </w:r>
    </w:p>
    <w:p w14:paraId="1A8DD552">
      <w:pPr>
        <w:spacing w:line="360" w:lineRule="auto"/>
        <w:ind w:firstLine="422" w:firstLineChars="200"/>
        <w:rPr>
          <w:rFonts w:ascii="宋体" w:hAnsi="宋体" w:cs="宋体"/>
          <w:b/>
          <w:bCs/>
          <w:color w:val="000000"/>
          <w:kern w:val="0"/>
          <w:szCs w:val="21"/>
          <w:highlight w:val="none"/>
        </w:rPr>
      </w:pPr>
      <w:r>
        <w:rPr>
          <w:rFonts w:ascii="宋体" w:hAnsi="宋体" w:cs="宋体"/>
          <w:b/>
          <w:bCs/>
          <w:color w:val="000000"/>
          <w:kern w:val="0"/>
          <w:szCs w:val="21"/>
          <w:highlight w:val="none"/>
        </w:rPr>
        <w:t>本评标办法由</w:t>
      </w:r>
      <w:r>
        <w:rPr>
          <w:rFonts w:hint="eastAsia" w:ascii="宋体" w:hAnsi="宋体" w:cs="宋体"/>
          <w:b/>
          <w:bCs/>
          <w:color w:val="000000"/>
          <w:kern w:val="0"/>
          <w:szCs w:val="21"/>
          <w:highlight w:val="none"/>
        </w:rPr>
        <w:t>南宁轨道地产建筑工程有限责任公司</w:t>
      </w:r>
      <w:r>
        <w:rPr>
          <w:rFonts w:ascii="宋体" w:hAnsi="宋体" w:cs="宋体"/>
          <w:b/>
          <w:bCs/>
          <w:color w:val="000000"/>
          <w:kern w:val="0"/>
          <w:szCs w:val="21"/>
          <w:highlight w:val="none"/>
        </w:rPr>
        <w:t>负责解释</w:t>
      </w:r>
      <w:r>
        <w:rPr>
          <w:rFonts w:hint="eastAsia" w:ascii="宋体" w:hAnsi="宋体" w:cs="宋体"/>
          <w:b/>
          <w:bCs/>
          <w:color w:val="000000"/>
          <w:kern w:val="0"/>
          <w:szCs w:val="21"/>
          <w:highlight w:val="none"/>
        </w:rPr>
        <w:t>。</w:t>
      </w:r>
    </w:p>
    <w:bookmarkEnd w:id="266"/>
    <w:bookmarkEnd w:id="267"/>
    <w:bookmarkEnd w:id="268"/>
    <w:bookmarkEnd w:id="269"/>
    <w:bookmarkEnd w:id="270"/>
    <w:p w14:paraId="140FA1BF">
      <w:pPr>
        <w:keepNext/>
        <w:keepLines/>
        <w:pageBreakBefore/>
        <w:spacing w:line="360" w:lineRule="auto"/>
        <w:ind w:left="482" w:hanging="482" w:hangingChars="200"/>
        <w:outlineLvl w:val="2"/>
        <w:rPr>
          <w:rFonts w:ascii="宋体" w:hAnsi="宋体"/>
          <w:color w:val="000000"/>
          <w:highlight w:val="none"/>
        </w:rPr>
      </w:pPr>
      <w:r>
        <w:rPr>
          <w:rFonts w:hint="eastAsia" w:ascii="Arial" w:hAnsi="Arial"/>
          <w:b/>
          <w:bCs/>
          <w:color w:val="000000"/>
          <w:kern w:val="0"/>
          <w:sz w:val="24"/>
          <w:szCs w:val="28"/>
          <w:highlight w:val="none"/>
        </w:rPr>
        <w:t>附表一：</w:t>
      </w:r>
      <w:r>
        <w:rPr>
          <w:rFonts w:ascii="Arial" w:hAnsi="Arial"/>
          <w:b/>
          <w:bCs/>
          <w:color w:val="000000"/>
          <w:kern w:val="0"/>
          <w:sz w:val="24"/>
          <w:szCs w:val="28"/>
          <w:highlight w:val="none"/>
        </w:rPr>
        <w:t>资格审查</w:t>
      </w:r>
      <w:r>
        <w:rPr>
          <w:rFonts w:hint="eastAsia" w:ascii="Arial" w:hAnsi="Arial"/>
          <w:b/>
          <w:bCs/>
          <w:color w:val="000000"/>
          <w:kern w:val="0"/>
          <w:sz w:val="24"/>
          <w:szCs w:val="28"/>
          <w:highlight w:val="none"/>
        </w:rPr>
        <w:t>表</w:t>
      </w:r>
    </w:p>
    <w:tbl>
      <w:tblPr>
        <w:tblStyle w:val="49"/>
        <w:tblW w:w="95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1377"/>
        <w:gridCol w:w="3382"/>
        <w:gridCol w:w="3137"/>
        <w:gridCol w:w="1089"/>
      </w:tblGrid>
      <w:tr w14:paraId="05FC9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atLeast"/>
          <w:jc w:val="center"/>
        </w:trPr>
        <w:tc>
          <w:tcPr>
            <w:tcW w:w="563" w:type="dxa"/>
            <w:noWrap w:val="0"/>
            <w:vAlign w:val="center"/>
          </w:tcPr>
          <w:p w14:paraId="63721482">
            <w:pPr>
              <w:spacing w:line="340" w:lineRule="exact"/>
              <w:jc w:val="center"/>
              <w:rPr>
                <w:rFonts w:ascii="宋体" w:hAnsi="宋体"/>
                <w:b/>
                <w:color w:val="000000"/>
                <w:szCs w:val="21"/>
                <w:highlight w:val="none"/>
              </w:rPr>
            </w:pPr>
            <w:r>
              <w:rPr>
                <w:rFonts w:ascii="宋体" w:hAnsi="宋体"/>
                <w:b/>
                <w:color w:val="000000"/>
                <w:szCs w:val="21"/>
                <w:highlight w:val="none"/>
              </w:rPr>
              <w:t>序号</w:t>
            </w:r>
          </w:p>
        </w:tc>
        <w:tc>
          <w:tcPr>
            <w:tcW w:w="1377" w:type="dxa"/>
            <w:noWrap w:val="0"/>
            <w:vAlign w:val="center"/>
          </w:tcPr>
          <w:p w14:paraId="688E513E">
            <w:pPr>
              <w:spacing w:line="340" w:lineRule="exact"/>
              <w:jc w:val="center"/>
              <w:rPr>
                <w:rFonts w:ascii="宋体" w:hAnsi="宋体"/>
                <w:b/>
                <w:color w:val="000000"/>
                <w:szCs w:val="21"/>
                <w:highlight w:val="none"/>
              </w:rPr>
            </w:pPr>
            <w:r>
              <w:rPr>
                <w:rFonts w:ascii="宋体" w:hAnsi="宋体"/>
                <w:b/>
                <w:color w:val="000000"/>
                <w:szCs w:val="21"/>
                <w:highlight w:val="none"/>
              </w:rPr>
              <w:t>内容</w:t>
            </w:r>
          </w:p>
        </w:tc>
        <w:tc>
          <w:tcPr>
            <w:tcW w:w="3382" w:type="dxa"/>
            <w:noWrap w:val="0"/>
            <w:vAlign w:val="center"/>
          </w:tcPr>
          <w:p w14:paraId="369844D8">
            <w:pPr>
              <w:spacing w:line="340" w:lineRule="exact"/>
              <w:jc w:val="center"/>
              <w:rPr>
                <w:rFonts w:ascii="宋体" w:hAnsi="宋体"/>
                <w:b/>
                <w:color w:val="000000"/>
                <w:szCs w:val="21"/>
                <w:highlight w:val="none"/>
              </w:rPr>
            </w:pPr>
            <w:r>
              <w:rPr>
                <w:rFonts w:ascii="宋体" w:hAnsi="宋体"/>
                <w:b/>
                <w:color w:val="000000"/>
                <w:szCs w:val="21"/>
                <w:highlight w:val="none"/>
              </w:rPr>
              <w:t>合格条件标准</w:t>
            </w:r>
          </w:p>
        </w:tc>
        <w:tc>
          <w:tcPr>
            <w:tcW w:w="3137" w:type="dxa"/>
            <w:noWrap w:val="0"/>
            <w:vAlign w:val="center"/>
          </w:tcPr>
          <w:p w14:paraId="1ECAA309">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评审依据</w:t>
            </w:r>
          </w:p>
        </w:tc>
        <w:tc>
          <w:tcPr>
            <w:tcW w:w="1089" w:type="dxa"/>
            <w:noWrap w:val="0"/>
            <w:vAlign w:val="center"/>
          </w:tcPr>
          <w:p w14:paraId="55BCC397">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评审结果（合格/不合格）</w:t>
            </w:r>
          </w:p>
        </w:tc>
      </w:tr>
      <w:tr w14:paraId="51B6E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0D69106E">
            <w:pPr>
              <w:spacing w:line="340" w:lineRule="exact"/>
              <w:jc w:val="center"/>
              <w:rPr>
                <w:rFonts w:ascii="宋体" w:hAnsi="宋体"/>
                <w:color w:val="000000"/>
                <w:szCs w:val="21"/>
                <w:highlight w:val="none"/>
              </w:rPr>
            </w:pPr>
            <w:r>
              <w:rPr>
                <w:rFonts w:ascii="宋体" w:hAnsi="宋体"/>
                <w:color w:val="000000"/>
                <w:szCs w:val="21"/>
                <w:highlight w:val="none"/>
              </w:rPr>
              <w:t>1</w:t>
            </w:r>
          </w:p>
        </w:tc>
        <w:tc>
          <w:tcPr>
            <w:tcW w:w="1377" w:type="dxa"/>
            <w:noWrap w:val="0"/>
            <w:vAlign w:val="center"/>
          </w:tcPr>
          <w:p w14:paraId="4DA210BE">
            <w:pPr>
              <w:widowControl/>
              <w:spacing w:line="340" w:lineRule="exact"/>
              <w:rPr>
                <w:color w:val="000000"/>
                <w:szCs w:val="21"/>
                <w:highlight w:val="none"/>
              </w:rPr>
            </w:pPr>
            <w:r>
              <w:rPr>
                <w:color w:val="000000"/>
                <w:szCs w:val="21"/>
                <w:highlight w:val="none"/>
              </w:rPr>
              <w:t>投标人代表身份证明材料</w:t>
            </w:r>
          </w:p>
        </w:tc>
        <w:tc>
          <w:tcPr>
            <w:tcW w:w="3382" w:type="dxa"/>
            <w:noWrap w:val="0"/>
            <w:vAlign w:val="center"/>
          </w:tcPr>
          <w:p w14:paraId="698CBD1C">
            <w:pPr>
              <w:widowControl/>
              <w:spacing w:line="340" w:lineRule="exact"/>
              <w:rPr>
                <w:color w:val="000000"/>
                <w:szCs w:val="21"/>
                <w:highlight w:val="none"/>
              </w:rPr>
            </w:pPr>
            <w:r>
              <w:rPr>
                <w:color w:val="000000"/>
                <w:szCs w:val="21"/>
                <w:highlight w:val="none"/>
              </w:rPr>
              <w:t>提供法定代表人授权书及法定代表人资格证明书（如无授权时，只需提供法定代表人资格证明书），法定代表人及被授权人身份证复印件加盖公章</w:t>
            </w:r>
          </w:p>
        </w:tc>
        <w:tc>
          <w:tcPr>
            <w:tcW w:w="3137" w:type="dxa"/>
            <w:noWrap w:val="0"/>
            <w:vAlign w:val="center"/>
          </w:tcPr>
          <w:p w14:paraId="7F0F12BC">
            <w:pPr>
              <w:widowControl/>
              <w:spacing w:line="340" w:lineRule="exact"/>
              <w:rPr>
                <w:rFonts w:ascii="宋体" w:hAnsi="宋体" w:cs="宋体"/>
                <w:color w:val="000000"/>
                <w:kern w:val="0"/>
                <w:szCs w:val="21"/>
                <w:highlight w:val="none"/>
              </w:rPr>
            </w:pPr>
            <w:r>
              <w:rPr>
                <w:color w:val="000000"/>
                <w:szCs w:val="21"/>
                <w:highlight w:val="none"/>
              </w:rPr>
              <w:t>法定代表人授权书，法定代表人资格证明书，身份证</w:t>
            </w:r>
            <w:r>
              <w:rPr>
                <w:rFonts w:hint="eastAsia"/>
                <w:color w:val="000000"/>
                <w:szCs w:val="21"/>
                <w:highlight w:val="none"/>
              </w:rPr>
              <w:t>正反面</w:t>
            </w:r>
            <w:r>
              <w:rPr>
                <w:color w:val="000000"/>
                <w:szCs w:val="21"/>
                <w:highlight w:val="none"/>
              </w:rPr>
              <w:t>复印件</w:t>
            </w:r>
          </w:p>
        </w:tc>
        <w:tc>
          <w:tcPr>
            <w:tcW w:w="1089" w:type="dxa"/>
            <w:noWrap w:val="0"/>
            <w:vAlign w:val="center"/>
          </w:tcPr>
          <w:p w14:paraId="5EB2B6B4">
            <w:pPr>
              <w:spacing w:line="340" w:lineRule="exact"/>
              <w:ind w:firstLine="420" w:firstLineChars="200"/>
              <w:rPr>
                <w:rFonts w:ascii="宋体" w:hAnsi="宋体"/>
                <w:color w:val="000000"/>
                <w:szCs w:val="21"/>
                <w:highlight w:val="none"/>
              </w:rPr>
            </w:pPr>
          </w:p>
        </w:tc>
      </w:tr>
      <w:tr w14:paraId="25D82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463F5E27">
            <w:pPr>
              <w:spacing w:line="340" w:lineRule="exact"/>
              <w:jc w:val="center"/>
              <w:rPr>
                <w:rFonts w:ascii="宋体" w:hAnsi="宋体"/>
                <w:color w:val="000000"/>
                <w:szCs w:val="21"/>
                <w:highlight w:val="none"/>
              </w:rPr>
            </w:pPr>
            <w:r>
              <w:rPr>
                <w:rFonts w:hint="eastAsia" w:ascii="宋体" w:hAnsi="宋体"/>
                <w:color w:val="000000"/>
                <w:szCs w:val="21"/>
                <w:highlight w:val="none"/>
              </w:rPr>
              <w:t>2</w:t>
            </w:r>
          </w:p>
        </w:tc>
        <w:tc>
          <w:tcPr>
            <w:tcW w:w="1377" w:type="dxa"/>
            <w:noWrap w:val="0"/>
            <w:vAlign w:val="center"/>
          </w:tcPr>
          <w:p w14:paraId="249E01B6">
            <w:pPr>
              <w:widowControl/>
              <w:spacing w:line="340" w:lineRule="exact"/>
              <w:jc w:val="left"/>
              <w:rPr>
                <w:color w:val="000000"/>
                <w:szCs w:val="21"/>
                <w:highlight w:val="none"/>
              </w:rPr>
            </w:pPr>
            <w:r>
              <w:rPr>
                <w:color w:val="000000"/>
                <w:szCs w:val="21"/>
                <w:highlight w:val="none"/>
              </w:rPr>
              <w:t>事业或企业法人营业执照</w:t>
            </w:r>
          </w:p>
        </w:tc>
        <w:tc>
          <w:tcPr>
            <w:tcW w:w="3382" w:type="dxa"/>
            <w:noWrap w:val="0"/>
            <w:vAlign w:val="center"/>
          </w:tcPr>
          <w:p w14:paraId="3C74299C">
            <w:pPr>
              <w:widowControl/>
              <w:spacing w:line="340" w:lineRule="exact"/>
              <w:jc w:val="left"/>
              <w:rPr>
                <w:color w:val="000000"/>
                <w:szCs w:val="21"/>
                <w:highlight w:val="none"/>
              </w:rPr>
            </w:pPr>
            <w:r>
              <w:rPr>
                <w:color w:val="000000"/>
                <w:szCs w:val="21"/>
                <w:highlight w:val="none"/>
              </w:rPr>
              <w:t>投标人为中华人民共和国境内依法设立的</w:t>
            </w:r>
            <w:r>
              <w:rPr>
                <w:rFonts w:hint="eastAsia" w:ascii="宋体" w:hAnsi="宋体" w:eastAsia="宋体" w:cs="宋体"/>
                <w:color w:val="auto"/>
                <w:szCs w:val="21"/>
                <w:highlight w:val="none"/>
              </w:rPr>
              <w:t>独立法人</w:t>
            </w:r>
            <w:r>
              <w:rPr>
                <w:color w:val="000000"/>
                <w:szCs w:val="21"/>
                <w:highlight w:val="none"/>
              </w:rPr>
              <w:t>或其他组织。</w:t>
            </w:r>
          </w:p>
        </w:tc>
        <w:tc>
          <w:tcPr>
            <w:tcW w:w="3137" w:type="dxa"/>
            <w:noWrap w:val="0"/>
            <w:vAlign w:val="center"/>
          </w:tcPr>
          <w:p w14:paraId="274965C3">
            <w:pPr>
              <w:spacing w:line="340" w:lineRule="exact"/>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lang w:val="en-US" w:eastAsia="zh-CN"/>
              </w:rPr>
              <w:t>提供</w:t>
            </w:r>
            <w:r>
              <w:rPr>
                <w:rFonts w:hint="eastAsia" w:ascii="宋体" w:hAnsi="宋体" w:eastAsia="宋体" w:cs="宋体"/>
                <w:color w:val="000000"/>
                <w:kern w:val="0"/>
                <w:szCs w:val="21"/>
                <w:highlight w:val="none"/>
                <w:lang w:eastAsia="zh-CN"/>
              </w:rPr>
              <w:t>有效的营业执照副本或事业单位法人证书等证明文件复印件；</w:t>
            </w:r>
          </w:p>
        </w:tc>
        <w:tc>
          <w:tcPr>
            <w:tcW w:w="1089" w:type="dxa"/>
            <w:noWrap w:val="0"/>
            <w:vAlign w:val="center"/>
          </w:tcPr>
          <w:p w14:paraId="5BB7776D">
            <w:pPr>
              <w:spacing w:line="340" w:lineRule="exact"/>
              <w:ind w:firstLine="420" w:firstLineChars="200"/>
              <w:rPr>
                <w:rFonts w:ascii="宋体" w:hAnsi="宋体"/>
                <w:color w:val="000000"/>
                <w:szCs w:val="21"/>
                <w:highlight w:val="none"/>
              </w:rPr>
            </w:pPr>
          </w:p>
        </w:tc>
      </w:tr>
      <w:tr w14:paraId="60089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1B49E6A9">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3</w:t>
            </w:r>
          </w:p>
        </w:tc>
        <w:tc>
          <w:tcPr>
            <w:tcW w:w="1377" w:type="dxa"/>
            <w:noWrap w:val="0"/>
            <w:vAlign w:val="center"/>
          </w:tcPr>
          <w:p w14:paraId="32F46752">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不良信用名单</w:t>
            </w:r>
          </w:p>
        </w:tc>
        <w:tc>
          <w:tcPr>
            <w:tcW w:w="3382" w:type="dxa"/>
            <w:noWrap w:val="0"/>
            <w:vAlign w:val="center"/>
          </w:tcPr>
          <w:p w14:paraId="12B24D56">
            <w:pPr>
              <w:widowControl/>
              <w:wordWrap w:val="0"/>
              <w:spacing w:line="360" w:lineRule="auto"/>
              <w:ind w:firstLine="0" w:firstLineChars="0"/>
              <w:jc w:val="left"/>
              <w:textAlignment w:val="baseline"/>
              <w:rPr>
                <w:rFonts w:hint="eastAsia" w:ascii="宋体" w:hAnsi="宋体" w:eastAsia="宋体"/>
                <w:color w:val="000000"/>
                <w:szCs w:val="21"/>
                <w:highlight w:val="none"/>
              </w:rPr>
            </w:pPr>
            <w:r>
              <w:rPr>
                <w:rFonts w:hint="eastAsia" w:ascii="宋体" w:hAnsi="宋体" w:eastAsia="宋体"/>
                <w:color w:val="000000"/>
                <w:szCs w:val="21"/>
                <w:highlight w:val="none"/>
                <w:lang w:eastAsia="zh-CN"/>
              </w:rPr>
              <w:t>自招标公告发布之日至投标截止时间止</w:t>
            </w:r>
            <w:r>
              <w:rPr>
                <w:rFonts w:hint="eastAsia" w:ascii="宋体" w:hAnsi="宋体" w:eastAsia="宋体"/>
                <w:color w:val="000000"/>
                <w:szCs w:val="21"/>
                <w:highlight w:val="none"/>
              </w:rPr>
              <w:t>对在“信用中国”网站</w:t>
            </w:r>
            <w:r>
              <w:rPr>
                <w:rFonts w:hint="eastAsia" w:ascii="宋体" w:hAnsi="宋体" w:eastAsia="宋体"/>
                <w:color w:val="000000"/>
                <w:szCs w:val="21"/>
                <w:highlight w:val="none"/>
                <w:lang w:val="en-US" w:eastAsia="zh-CN"/>
              </w:rPr>
              <w:t>（信用中国网址：https://www.creditchina.gov.cn/）</w:t>
            </w:r>
            <w:r>
              <w:rPr>
                <w:rFonts w:hint="eastAsia" w:ascii="宋体" w:hAnsi="宋体" w:eastAsia="宋体"/>
                <w:color w:val="000000"/>
                <w:szCs w:val="21"/>
                <w:highlight w:val="none"/>
              </w:rPr>
              <w:t>列入失信被执行人、重大税收违法失信主体</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政府采购严重违法失信行为记录名单</w:t>
            </w:r>
            <w:r>
              <w:rPr>
                <w:rFonts w:hint="eastAsia" w:ascii="宋体" w:hAnsi="宋体" w:eastAsia="宋体"/>
                <w:color w:val="000000"/>
                <w:szCs w:val="21"/>
                <w:highlight w:val="none"/>
                <w:lang w:val="en-US" w:eastAsia="zh-CN"/>
              </w:rPr>
              <w:t>的，</w:t>
            </w:r>
            <w:r>
              <w:rPr>
                <w:rFonts w:hint="eastAsia" w:ascii="宋体" w:hAnsi="宋体" w:eastAsia="宋体"/>
                <w:color w:val="000000"/>
                <w:szCs w:val="21"/>
                <w:highlight w:val="none"/>
              </w:rPr>
              <w:t>将被拒绝参与本次采购活动。已执行完毕或不再执行的除外</w:t>
            </w:r>
            <w:r>
              <w:rPr>
                <w:rFonts w:hint="eastAsia" w:ascii="宋体" w:hAnsi="宋体" w:eastAsia="宋体"/>
                <w:color w:val="000000"/>
                <w:szCs w:val="21"/>
                <w:highlight w:val="none"/>
                <w:lang w:eastAsia="zh-CN"/>
              </w:rPr>
              <w:t>。</w:t>
            </w:r>
          </w:p>
        </w:tc>
        <w:tc>
          <w:tcPr>
            <w:tcW w:w="3137" w:type="dxa"/>
            <w:noWrap w:val="0"/>
            <w:vAlign w:val="center"/>
          </w:tcPr>
          <w:p w14:paraId="545EB701">
            <w:pPr>
              <w:wordWrap w:val="0"/>
              <w:spacing w:line="360" w:lineRule="auto"/>
              <w:jc w:val="left"/>
              <w:textAlignment w:val="baseline"/>
              <w:rPr>
                <w:rFonts w:hint="eastAsia" w:ascii="宋体" w:hAnsi="宋体" w:eastAsia="宋体"/>
                <w:color w:val="000000"/>
                <w:szCs w:val="21"/>
                <w:highlight w:val="none"/>
                <w:lang w:val="en-US" w:eastAsia="zh-CN"/>
              </w:rPr>
            </w:pPr>
            <w:r>
              <w:rPr>
                <w:rFonts w:hint="eastAsia" w:ascii="宋体" w:hAnsi="宋体" w:eastAsia="宋体"/>
                <w:color w:val="000000"/>
                <w:szCs w:val="21"/>
                <w:highlight w:val="none"/>
                <w:lang w:val="en-US" w:eastAsia="zh-CN"/>
              </w:rPr>
              <w:t>提供信用信息报告（信用中国网址：https://www.creditchina.gov.cn/）</w:t>
            </w:r>
          </w:p>
        </w:tc>
        <w:tc>
          <w:tcPr>
            <w:tcW w:w="1089" w:type="dxa"/>
            <w:noWrap w:val="0"/>
            <w:vAlign w:val="center"/>
          </w:tcPr>
          <w:p w14:paraId="4DE094CA">
            <w:pPr>
              <w:spacing w:line="340" w:lineRule="exact"/>
              <w:ind w:firstLine="420" w:firstLineChars="200"/>
              <w:rPr>
                <w:rFonts w:ascii="宋体" w:hAnsi="宋体"/>
                <w:color w:val="000000"/>
                <w:szCs w:val="21"/>
                <w:highlight w:val="none"/>
              </w:rPr>
            </w:pPr>
          </w:p>
        </w:tc>
      </w:tr>
      <w:tr w14:paraId="4AF2A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563" w:type="dxa"/>
            <w:noWrap w:val="0"/>
            <w:vAlign w:val="center"/>
          </w:tcPr>
          <w:p w14:paraId="0002D0DB">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4</w:t>
            </w:r>
          </w:p>
        </w:tc>
        <w:tc>
          <w:tcPr>
            <w:tcW w:w="1377" w:type="dxa"/>
            <w:noWrap w:val="0"/>
            <w:vAlign w:val="center"/>
          </w:tcPr>
          <w:p w14:paraId="0114525F">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财务报表</w:t>
            </w:r>
          </w:p>
        </w:tc>
        <w:tc>
          <w:tcPr>
            <w:tcW w:w="3382" w:type="dxa"/>
            <w:noWrap w:val="0"/>
            <w:vAlign w:val="center"/>
          </w:tcPr>
          <w:p w14:paraId="7D0CEDBB">
            <w:pPr>
              <w:widowControl/>
              <w:wordWrap w:val="0"/>
              <w:spacing w:line="360" w:lineRule="auto"/>
              <w:ind w:firstLine="0" w:firstLineChars="0"/>
              <w:jc w:val="left"/>
              <w:textAlignment w:val="baseline"/>
              <w:rPr>
                <w:rFonts w:hint="eastAsia" w:ascii="宋体" w:hAnsi="宋体" w:eastAsia="宋体" w:cs="Times New Roman"/>
                <w:spacing w:val="0"/>
                <w:szCs w:val="24"/>
                <w:highlight w:val="none"/>
              </w:rPr>
            </w:pPr>
            <w:r>
              <w:rPr>
                <w:rFonts w:hint="eastAsia" w:ascii="宋体" w:hAnsi="宋体" w:eastAsia="宋体" w:cs="Times New Roman"/>
                <w:spacing w:val="0"/>
                <w:szCs w:val="24"/>
                <w:highlight w:val="none"/>
                <w:lang w:val="en-US" w:eastAsia="zh-CN"/>
              </w:rPr>
              <w:t>投标人</w:t>
            </w:r>
            <w:r>
              <w:rPr>
                <w:rFonts w:hint="eastAsia" w:ascii="宋体" w:hAnsi="宋体" w:eastAsia="宋体" w:cs="Times New Roman"/>
                <w:spacing w:val="0"/>
                <w:szCs w:val="24"/>
                <w:highlight w:val="none"/>
                <w:lang w:eastAsia="zh-CN"/>
              </w:rPr>
              <w:t>提供</w:t>
            </w:r>
            <w:r>
              <w:rPr>
                <w:rFonts w:hint="eastAsia" w:ascii="宋体" w:hAnsi="宋体" w:eastAsia="宋体" w:cs="Times New Roman"/>
                <w:spacing w:val="0"/>
                <w:szCs w:val="24"/>
                <w:highlight w:val="none"/>
                <w:lang w:val="en-US" w:eastAsia="zh-CN"/>
              </w:rPr>
              <w:t>由第三方出具的</w:t>
            </w:r>
            <w:r>
              <w:rPr>
                <w:rFonts w:hint="eastAsia" w:ascii="宋体" w:hAnsi="宋体" w:eastAsia="宋体" w:cs="Times New Roman"/>
                <w:spacing w:val="0"/>
                <w:szCs w:val="24"/>
                <w:highlight w:val="none"/>
                <w:lang w:eastAsia="zh-CN"/>
              </w:rPr>
              <w:t>2023或2024年度的财务报表（显示净利润</w:t>
            </w:r>
            <w:r>
              <w:rPr>
                <w:rFonts w:hint="eastAsia" w:ascii="宋体" w:hAnsi="宋体" w:eastAsia="宋体" w:cs="Times New Roman"/>
                <w:spacing w:val="0"/>
                <w:szCs w:val="24"/>
                <w:highlight w:val="none"/>
                <w:lang w:val="en-US" w:eastAsia="zh-CN"/>
              </w:rPr>
              <w:t>为正值）或</w:t>
            </w:r>
            <w:r>
              <w:rPr>
                <w:rFonts w:hint="eastAsia" w:ascii="宋体" w:hAnsi="宋体" w:eastAsia="宋体" w:cs="Times New Roman"/>
                <w:spacing w:val="0"/>
                <w:szCs w:val="24"/>
                <w:highlight w:val="none"/>
                <w:lang w:eastAsia="zh-CN"/>
              </w:rPr>
              <w:t>提供基本户开户银行在投标截止前30日内开具的资信证明。</w:t>
            </w:r>
          </w:p>
        </w:tc>
        <w:tc>
          <w:tcPr>
            <w:tcW w:w="3137" w:type="dxa"/>
            <w:noWrap w:val="0"/>
            <w:vAlign w:val="center"/>
          </w:tcPr>
          <w:p w14:paraId="5D2F9B64">
            <w:pPr>
              <w:wordWrap w:val="0"/>
              <w:spacing w:line="340" w:lineRule="exact"/>
              <w:jc w:val="left"/>
              <w:rPr>
                <w:rFonts w:hint="default" w:ascii="宋体" w:hAnsi="宋体"/>
                <w:color w:val="000000"/>
                <w:szCs w:val="21"/>
                <w:highlight w:val="none"/>
                <w:lang w:val="en-US" w:eastAsia="zh-CN"/>
              </w:rPr>
            </w:pPr>
            <w:r>
              <w:rPr>
                <w:rFonts w:hint="default" w:ascii="宋体" w:hAnsi="宋体"/>
                <w:color w:val="000000"/>
                <w:szCs w:val="21"/>
                <w:highlight w:val="none"/>
                <w:lang w:val="en-US" w:eastAsia="zh-CN"/>
              </w:rPr>
              <w:t>提供由第三方出具的2023或2024年度的财务报表（显示净利润为正值）或提供基本户开户银行在投标截止前30日内开具的资信证明。</w:t>
            </w:r>
          </w:p>
        </w:tc>
        <w:tc>
          <w:tcPr>
            <w:tcW w:w="1089" w:type="dxa"/>
            <w:noWrap w:val="0"/>
            <w:vAlign w:val="center"/>
          </w:tcPr>
          <w:p w14:paraId="05AB629C">
            <w:pPr>
              <w:spacing w:line="340" w:lineRule="exact"/>
              <w:ind w:firstLine="420" w:firstLineChars="200"/>
              <w:rPr>
                <w:rFonts w:ascii="宋体" w:hAnsi="宋体"/>
                <w:color w:val="000000"/>
                <w:szCs w:val="21"/>
                <w:highlight w:val="none"/>
              </w:rPr>
            </w:pPr>
          </w:p>
        </w:tc>
      </w:tr>
      <w:tr w14:paraId="5FF8C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jc w:val="center"/>
        </w:trPr>
        <w:tc>
          <w:tcPr>
            <w:tcW w:w="563" w:type="dxa"/>
            <w:noWrap w:val="0"/>
            <w:vAlign w:val="center"/>
          </w:tcPr>
          <w:p w14:paraId="4F179ABB">
            <w:pPr>
              <w:spacing w:line="340" w:lineRule="exact"/>
              <w:jc w:val="center"/>
              <w:rPr>
                <w:rFonts w:hint="eastAsia" w:ascii="宋体" w:hAnsi="宋体" w:eastAsia="宋体"/>
                <w:color w:val="000000"/>
                <w:szCs w:val="21"/>
                <w:highlight w:val="none"/>
                <w:lang w:eastAsia="zh-CN"/>
              </w:rPr>
            </w:pPr>
            <w:r>
              <w:rPr>
                <w:rFonts w:hint="eastAsia" w:ascii="宋体" w:hAnsi="宋体"/>
                <w:color w:val="000000"/>
                <w:szCs w:val="21"/>
                <w:highlight w:val="none"/>
                <w:lang w:val="en-US" w:eastAsia="zh-CN"/>
              </w:rPr>
              <w:t>5</w:t>
            </w:r>
          </w:p>
        </w:tc>
        <w:tc>
          <w:tcPr>
            <w:tcW w:w="1377" w:type="dxa"/>
            <w:noWrap w:val="0"/>
            <w:vAlign w:val="center"/>
          </w:tcPr>
          <w:p w14:paraId="7068D419">
            <w:pPr>
              <w:widowControl/>
              <w:spacing w:line="340" w:lineRule="exact"/>
              <w:jc w:val="left"/>
              <w:rPr>
                <w:color w:val="000000"/>
                <w:szCs w:val="21"/>
                <w:highlight w:val="none"/>
              </w:rPr>
            </w:pPr>
            <w:r>
              <w:rPr>
                <w:color w:val="000000"/>
                <w:szCs w:val="21"/>
                <w:highlight w:val="none"/>
              </w:rPr>
              <w:t>承诺书</w:t>
            </w:r>
          </w:p>
        </w:tc>
        <w:tc>
          <w:tcPr>
            <w:tcW w:w="3382" w:type="dxa"/>
            <w:noWrap w:val="0"/>
            <w:vAlign w:val="center"/>
          </w:tcPr>
          <w:p w14:paraId="507AA01A">
            <w:pPr>
              <w:widowControl/>
              <w:spacing w:line="340" w:lineRule="exact"/>
              <w:rPr>
                <w:color w:val="000000"/>
                <w:szCs w:val="21"/>
                <w:highlight w:val="none"/>
              </w:rPr>
            </w:pPr>
            <w:r>
              <w:rPr>
                <w:rFonts w:hint="eastAsia"/>
                <w:color w:val="000000"/>
                <w:szCs w:val="21"/>
                <w:highlight w:val="none"/>
              </w:rPr>
              <w:t>投标人没有处于被责令停业，或投标资格被行政主管部门取消，或财产被接管、冻结、破产状态，在投标截止前3年内没有骗取中标、严重违约或重大安全质量事故</w:t>
            </w:r>
            <w:r>
              <w:rPr>
                <w:color w:val="000000"/>
                <w:szCs w:val="21"/>
                <w:highlight w:val="none"/>
              </w:rPr>
              <w:t>。与其他投标人之间不存在单位负责人为同一人或者控股、管理关系的情况。</w:t>
            </w:r>
          </w:p>
        </w:tc>
        <w:tc>
          <w:tcPr>
            <w:tcW w:w="3137" w:type="dxa"/>
            <w:noWrap w:val="0"/>
            <w:vAlign w:val="center"/>
          </w:tcPr>
          <w:p w14:paraId="17D960D0">
            <w:pPr>
              <w:spacing w:line="340" w:lineRule="exact"/>
              <w:rPr>
                <w:rFonts w:ascii="宋体" w:hAnsi="宋体" w:cs="宋体"/>
                <w:color w:val="000000"/>
                <w:kern w:val="0"/>
                <w:szCs w:val="21"/>
                <w:highlight w:val="none"/>
              </w:rPr>
            </w:pPr>
            <w:r>
              <w:rPr>
                <w:color w:val="000000"/>
                <w:szCs w:val="21"/>
                <w:highlight w:val="none"/>
              </w:rPr>
              <w:t>按规定格式提供</w:t>
            </w:r>
            <w:r>
              <w:rPr>
                <w:rFonts w:hint="eastAsia" w:ascii="宋体" w:hAnsi="宋体" w:cs="宋体"/>
                <w:color w:val="000000"/>
                <w:kern w:val="0"/>
                <w:szCs w:val="21"/>
                <w:highlight w:val="none"/>
              </w:rPr>
              <w:t>承诺书原件</w:t>
            </w:r>
          </w:p>
        </w:tc>
        <w:tc>
          <w:tcPr>
            <w:tcW w:w="1089" w:type="dxa"/>
            <w:noWrap w:val="0"/>
            <w:vAlign w:val="center"/>
          </w:tcPr>
          <w:p w14:paraId="02EB2D27">
            <w:pPr>
              <w:spacing w:line="340" w:lineRule="exact"/>
              <w:ind w:firstLine="420" w:firstLineChars="200"/>
              <w:rPr>
                <w:rFonts w:ascii="宋体" w:hAnsi="宋体"/>
                <w:color w:val="000000"/>
                <w:szCs w:val="21"/>
                <w:highlight w:val="none"/>
              </w:rPr>
            </w:pPr>
          </w:p>
        </w:tc>
      </w:tr>
      <w:tr w14:paraId="6C69B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563" w:type="dxa"/>
            <w:shd w:val="clear" w:color="auto" w:fill="auto"/>
            <w:noWrap w:val="0"/>
            <w:vAlign w:val="center"/>
          </w:tcPr>
          <w:p w14:paraId="5764B72C">
            <w:pPr>
              <w:spacing w:line="340" w:lineRule="exact"/>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6</w:t>
            </w:r>
          </w:p>
        </w:tc>
        <w:tc>
          <w:tcPr>
            <w:tcW w:w="1377" w:type="dxa"/>
            <w:shd w:val="clear" w:color="auto" w:fill="auto"/>
            <w:noWrap w:val="0"/>
            <w:vAlign w:val="center"/>
          </w:tcPr>
          <w:p w14:paraId="129C9F28">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ascii="宋体" w:hAnsi="宋体"/>
                <w:color w:val="000000"/>
                <w:highlight w:val="none"/>
              </w:rPr>
              <w:t>联合体</w:t>
            </w:r>
          </w:p>
        </w:tc>
        <w:tc>
          <w:tcPr>
            <w:tcW w:w="3382" w:type="dxa"/>
            <w:shd w:val="clear" w:color="auto" w:fill="auto"/>
            <w:noWrap w:val="0"/>
            <w:vAlign w:val="center"/>
          </w:tcPr>
          <w:p w14:paraId="196C5B93">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本</w:t>
            </w:r>
            <w:r>
              <w:rPr>
                <w:rFonts w:hint="eastAsia"/>
                <w:color w:val="000000"/>
                <w:szCs w:val="21"/>
                <w:highlight w:val="none"/>
                <w:lang w:val="en-US" w:eastAsia="zh-CN"/>
              </w:rPr>
              <w:t>项目不</w:t>
            </w:r>
            <w:r>
              <w:rPr>
                <w:rFonts w:hint="eastAsia"/>
                <w:color w:val="000000"/>
                <w:szCs w:val="21"/>
                <w:highlight w:val="none"/>
              </w:rPr>
              <w:t>接受联合体投标</w:t>
            </w:r>
          </w:p>
        </w:tc>
        <w:tc>
          <w:tcPr>
            <w:tcW w:w="3137" w:type="dxa"/>
            <w:shd w:val="clear" w:color="auto" w:fill="auto"/>
            <w:noWrap w:val="0"/>
            <w:vAlign w:val="center"/>
          </w:tcPr>
          <w:p w14:paraId="4BD36AB1">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投标人为非联合体投标</w:t>
            </w:r>
          </w:p>
        </w:tc>
        <w:tc>
          <w:tcPr>
            <w:tcW w:w="1089" w:type="dxa"/>
            <w:noWrap w:val="0"/>
            <w:vAlign w:val="center"/>
          </w:tcPr>
          <w:p w14:paraId="545FAD93">
            <w:pPr>
              <w:spacing w:line="340" w:lineRule="exact"/>
              <w:ind w:firstLine="420" w:firstLineChars="200"/>
              <w:rPr>
                <w:rFonts w:ascii="宋体" w:hAnsi="宋体"/>
                <w:color w:val="000000"/>
                <w:szCs w:val="21"/>
                <w:highlight w:val="none"/>
              </w:rPr>
            </w:pPr>
          </w:p>
        </w:tc>
      </w:tr>
    </w:tbl>
    <w:p w14:paraId="2DAFA300">
      <w:pPr>
        <w:ind w:firstLine="422" w:firstLineChars="200"/>
        <w:rPr>
          <w:rFonts w:ascii="宋体" w:hAnsi="宋体"/>
          <w:b/>
          <w:color w:val="000000"/>
          <w:szCs w:val="21"/>
          <w:highlight w:val="none"/>
        </w:rPr>
      </w:pPr>
      <w:r>
        <w:rPr>
          <w:rFonts w:ascii="宋体" w:hAnsi="宋体"/>
          <w:b/>
          <w:color w:val="000000"/>
          <w:szCs w:val="21"/>
          <w:highlight w:val="none"/>
        </w:rPr>
        <w:t>注：</w:t>
      </w:r>
    </w:p>
    <w:p w14:paraId="500EA127">
      <w:pPr>
        <w:ind w:firstLine="422" w:firstLineChars="200"/>
        <w:rPr>
          <w:rFonts w:ascii="宋体" w:hAnsi="宋体"/>
          <w:b/>
          <w:color w:val="000000"/>
          <w:szCs w:val="21"/>
          <w:highlight w:val="none"/>
        </w:rPr>
      </w:pPr>
      <w:r>
        <w:rPr>
          <w:rFonts w:ascii="宋体" w:hAnsi="宋体"/>
          <w:b/>
          <w:color w:val="000000"/>
          <w:szCs w:val="21"/>
          <w:highlight w:val="none"/>
        </w:rPr>
        <w:t>1.</w:t>
      </w:r>
      <w:r>
        <w:rPr>
          <w:rFonts w:hint="eastAsia" w:ascii="宋体" w:hAnsi="宋体"/>
          <w:b/>
          <w:color w:val="000000"/>
          <w:szCs w:val="21"/>
          <w:highlight w:val="none"/>
        </w:rPr>
        <w:t>投标文件中的所有证明资料的复印件均应加盖投标人公章，原件备查；</w:t>
      </w:r>
    </w:p>
    <w:p w14:paraId="30B778F9">
      <w:pPr>
        <w:ind w:firstLine="422" w:firstLineChars="200"/>
        <w:rPr>
          <w:rFonts w:ascii="宋体" w:hAnsi="宋体"/>
          <w:b/>
          <w:color w:val="000000"/>
          <w:szCs w:val="21"/>
          <w:highlight w:val="none"/>
        </w:rPr>
      </w:pPr>
      <w:r>
        <w:rPr>
          <w:rFonts w:hint="eastAsia" w:ascii="宋体" w:hAnsi="宋体"/>
          <w:b/>
          <w:color w:val="000000"/>
          <w:szCs w:val="21"/>
          <w:highlight w:val="none"/>
        </w:rPr>
        <w:t>2</w:t>
      </w:r>
      <w:r>
        <w:rPr>
          <w:rFonts w:ascii="宋体" w:hAnsi="宋体"/>
          <w:b/>
          <w:color w:val="000000"/>
          <w:szCs w:val="21"/>
          <w:highlight w:val="none"/>
        </w:rPr>
        <w:t>. 评审结果填写</w:t>
      </w:r>
      <w:r>
        <w:rPr>
          <w:rFonts w:hint="eastAsia" w:ascii="宋体" w:hAnsi="宋体"/>
          <w:b/>
          <w:color w:val="000000"/>
          <w:szCs w:val="21"/>
          <w:highlight w:val="none"/>
        </w:rPr>
        <w:t>：</w:t>
      </w:r>
      <w:r>
        <w:rPr>
          <w:rFonts w:ascii="宋体" w:hAnsi="宋体"/>
          <w:b/>
          <w:color w:val="000000"/>
          <w:szCs w:val="21"/>
          <w:highlight w:val="none"/>
        </w:rPr>
        <w:t>合格打√，不合格打×，凡评审结果有一项不合格者，结论为不通过。</w:t>
      </w:r>
    </w:p>
    <w:p w14:paraId="5DA2B28A">
      <w:pPr>
        <w:ind w:firstLine="422" w:firstLineChars="200"/>
        <w:rPr>
          <w:rFonts w:ascii="宋体" w:hAnsi="宋体"/>
          <w:b/>
          <w:color w:val="000000"/>
          <w:szCs w:val="21"/>
          <w:highlight w:val="none"/>
        </w:rPr>
      </w:pPr>
      <w:r>
        <w:rPr>
          <w:rFonts w:ascii="宋体" w:hAnsi="宋体"/>
          <w:b/>
          <w:color w:val="000000"/>
          <w:szCs w:val="21"/>
          <w:highlight w:val="none"/>
        </w:rPr>
        <w:t>3.未通过</w:t>
      </w:r>
      <w:r>
        <w:rPr>
          <w:rFonts w:hint="eastAsia" w:ascii="宋体" w:hAnsi="宋体"/>
          <w:b/>
          <w:color w:val="000000"/>
          <w:szCs w:val="21"/>
          <w:highlight w:val="none"/>
        </w:rPr>
        <w:t>资格审查</w:t>
      </w:r>
      <w:r>
        <w:rPr>
          <w:rFonts w:ascii="宋体" w:hAnsi="宋体"/>
          <w:b/>
          <w:color w:val="000000"/>
          <w:szCs w:val="21"/>
          <w:highlight w:val="none"/>
        </w:rPr>
        <w:t>不得进入下一步评审。</w:t>
      </w:r>
    </w:p>
    <w:p w14:paraId="5B22C9E2">
      <w:pPr>
        <w:pStyle w:val="46"/>
        <w:rPr>
          <w:rFonts w:hint="eastAsia" w:eastAsia="宋体"/>
          <w:color w:val="000000"/>
          <w:highlight w:val="none"/>
          <w:lang w:eastAsia="zh-CN"/>
        </w:rPr>
        <w:sectPr>
          <w:footerReference r:id="rId6" w:type="default"/>
          <w:pgSz w:w="11905" w:h="16838"/>
          <w:pgMar w:top="1304" w:right="1417" w:bottom="1304" w:left="1417" w:header="850" w:footer="992" w:gutter="0"/>
          <w:pgNumType w:fmt="decimal"/>
          <w:cols w:space="720" w:num="1"/>
          <w:docGrid w:linePitch="319" w:charSpace="0"/>
        </w:sectPr>
      </w:pPr>
    </w:p>
    <w:p w14:paraId="1352C7CF">
      <w:pPr>
        <w:pStyle w:val="4"/>
        <w:rPr>
          <w:rFonts w:hint="eastAsia" w:ascii="Arial" w:hAnsi="Arial"/>
          <w:b/>
          <w:bCs/>
          <w:kern w:val="0"/>
          <w:sz w:val="24"/>
          <w:highlight w:val="none"/>
        </w:rPr>
      </w:pPr>
      <w:r>
        <w:rPr>
          <w:rFonts w:hint="eastAsia" w:ascii="Arial" w:hAnsi="Arial"/>
          <w:b/>
          <w:bCs/>
          <w:kern w:val="0"/>
          <w:sz w:val="24"/>
          <w:highlight w:val="none"/>
        </w:rPr>
        <w:t>附表二:  初步评审表</w:t>
      </w:r>
    </w:p>
    <w:p w14:paraId="7C9C5D1B">
      <w:pPr>
        <w:spacing w:line="360" w:lineRule="auto"/>
        <w:rPr>
          <w:rFonts w:ascii="Arial" w:hAnsi="Arial"/>
          <w:b/>
          <w:bCs/>
          <w:color w:val="000000"/>
          <w:kern w:val="0"/>
          <w:sz w:val="24"/>
          <w:szCs w:val="28"/>
          <w:highlight w:val="none"/>
        </w:rPr>
      </w:pPr>
    </w:p>
    <w:p w14:paraId="2845D3CF">
      <w:pPr>
        <w:jc w:val="center"/>
        <w:rPr>
          <w:b/>
          <w:color w:val="000000"/>
          <w:sz w:val="24"/>
          <w:highlight w:val="none"/>
        </w:rPr>
      </w:pPr>
      <w:r>
        <w:rPr>
          <w:rFonts w:hint="eastAsia" w:hAnsi="宋体"/>
          <w:b/>
          <w:color w:val="000000"/>
          <w:sz w:val="24"/>
          <w:highlight w:val="none"/>
        </w:rPr>
        <w:t>经济初步</w:t>
      </w:r>
      <w:r>
        <w:rPr>
          <w:rFonts w:hAnsi="宋体"/>
          <w:b/>
          <w:color w:val="000000"/>
          <w:sz w:val="24"/>
          <w:highlight w:val="none"/>
        </w:rPr>
        <w:t>评审表</w:t>
      </w:r>
    </w:p>
    <w:tbl>
      <w:tblPr>
        <w:tblStyle w:val="49"/>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45A484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noWrap w:val="0"/>
            <w:vAlign w:val="center"/>
          </w:tcPr>
          <w:p w14:paraId="78EFBA55">
            <w:pPr>
              <w:jc w:val="center"/>
              <w:rPr>
                <w:color w:val="000000"/>
                <w:highlight w:val="none"/>
              </w:rPr>
            </w:pPr>
            <w:r>
              <w:rPr>
                <w:color w:val="000000"/>
                <w:highlight w:val="none"/>
              </w:rPr>
              <w:t>序号</w:t>
            </w:r>
          </w:p>
        </w:tc>
        <w:tc>
          <w:tcPr>
            <w:tcW w:w="6096" w:type="dxa"/>
            <w:tcBorders>
              <w:top w:val="single" w:color="auto" w:sz="12" w:space="0"/>
            </w:tcBorders>
            <w:noWrap w:val="0"/>
            <w:vAlign w:val="center"/>
          </w:tcPr>
          <w:p w14:paraId="5C58AB4F">
            <w:pPr>
              <w:jc w:val="cente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1CD0FF1E">
            <w:pPr>
              <w:jc w:val="cente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468AECB3">
            <w:pPr>
              <w:jc w:val="center"/>
              <w:rPr>
                <w:color w:val="000000"/>
                <w:highlight w:val="none"/>
              </w:rPr>
            </w:pPr>
            <w:r>
              <w:rPr>
                <w:rFonts w:hint="eastAsia"/>
                <w:color w:val="000000"/>
                <w:highlight w:val="none"/>
              </w:rPr>
              <w:t>结论</w:t>
            </w:r>
          </w:p>
        </w:tc>
      </w:tr>
      <w:tr w14:paraId="3C1B12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noWrap w:val="0"/>
            <w:vAlign w:val="center"/>
          </w:tcPr>
          <w:p w14:paraId="09B78391">
            <w:pPr>
              <w:jc w:val="center"/>
              <w:rPr>
                <w:color w:val="000000"/>
                <w:highlight w:val="none"/>
              </w:rPr>
            </w:pPr>
            <w:r>
              <w:rPr>
                <w:color w:val="000000"/>
                <w:highlight w:val="none"/>
              </w:rPr>
              <w:t>1</w:t>
            </w:r>
          </w:p>
        </w:tc>
        <w:tc>
          <w:tcPr>
            <w:tcW w:w="6096" w:type="dxa"/>
            <w:noWrap w:val="0"/>
            <w:vAlign w:val="center"/>
          </w:tcPr>
          <w:p w14:paraId="2D0E67D0">
            <w:pPr>
              <w:spacing w:line="360" w:lineRule="auto"/>
              <w:rPr>
                <w:color w:val="000000"/>
                <w:highlight w:val="none"/>
              </w:rPr>
            </w:pPr>
            <w:r>
              <w:rPr>
                <w:snapToGrid w:val="0"/>
                <w:color w:val="000000"/>
                <w:highlight w:val="none"/>
              </w:rPr>
              <w:t>投标文件按规定签署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531C83A9">
            <w:pPr>
              <w:rPr>
                <w:color w:val="000000"/>
                <w:highlight w:val="none"/>
              </w:rPr>
            </w:pPr>
          </w:p>
        </w:tc>
        <w:tc>
          <w:tcPr>
            <w:tcW w:w="1098" w:type="dxa"/>
            <w:vMerge w:val="restart"/>
            <w:noWrap w:val="0"/>
            <w:vAlign w:val="center"/>
          </w:tcPr>
          <w:p w14:paraId="2D2A6DDA">
            <w:pPr>
              <w:rPr>
                <w:color w:val="000000"/>
                <w:highlight w:val="none"/>
              </w:rPr>
            </w:pPr>
          </w:p>
        </w:tc>
      </w:tr>
      <w:tr w14:paraId="3AC87D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noWrap w:val="0"/>
            <w:vAlign w:val="center"/>
          </w:tcPr>
          <w:p w14:paraId="236E1177">
            <w:pPr>
              <w:jc w:val="center"/>
              <w:rPr>
                <w:color w:val="000000"/>
                <w:highlight w:val="none"/>
              </w:rPr>
            </w:pPr>
            <w:r>
              <w:rPr>
                <w:color w:val="000000"/>
                <w:highlight w:val="none"/>
              </w:rPr>
              <w:t>2</w:t>
            </w:r>
          </w:p>
        </w:tc>
        <w:tc>
          <w:tcPr>
            <w:tcW w:w="6096" w:type="dxa"/>
            <w:noWrap w:val="0"/>
            <w:vAlign w:val="center"/>
          </w:tcPr>
          <w:p w14:paraId="3C0CAAF0">
            <w:pPr>
              <w:spacing w:line="360" w:lineRule="auto"/>
              <w:rPr>
                <w:color w:val="000000"/>
                <w:highlight w:val="none"/>
              </w:rPr>
            </w:pPr>
            <w:r>
              <w:rPr>
                <w:snapToGrid w:val="0"/>
                <w:color w:val="000000"/>
                <w:highlight w:val="none"/>
              </w:rPr>
              <w:t>投标文件按规定的格式填写，内容</w:t>
            </w:r>
            <w:r>
              <w:rPr>
                <w:rFonts w:hint="eastAsia"/>
                <w:snapToGrid w:val="0"/>
                <w:color w:val="000000"/>
                <w:highlight w:val="none"/>
              </w:rPr>
              <w:t>齐</w:t>
            </w:r>
            <w:r>
              <w:rPr>
                <w:snapToGrid w:val="0"/>
                <w:color w:val="000000"/>
                <w:highlight w:val="none"/>
              </w:rPr>
              <w:t>全；</w:t>
            </w:r>
            <w:r>
              <w:rPr>
                <w:rFonts w:hint="eastAsia"/>
                <w:snapToGrid w:val="0"/>
                <w:color w:val="000000"/>
                <w:highlight w:val="none"/>
              </w:rPr>
              <w:t>投标函中没有关键字迹模糊、无法辨认或含义不明确的（应按照招标文件规定第六章投标文件格式填写）。</w:t>
            </w:r>
          </w:p>
        </w:tc>
        <w:tc>
          <w:tcPr>
            <w:tcW w:w="1134" w:type="dxa"/>
            <w:noWrap w:val="0"/>
            <w:vAlign w:val="top"/>
          </w:tcPr>
          <w:p w14:paraId="59AFD83B">
            <w:pPr>
              <w:rPr>
                <w:color w:val="000000"/>
                <w:highlight w:val="none"/>
              </w:rPr>
            </w:pPr>
          </w:p>
        </w:tc>
        <w:tc>
          <w:tcPr>
            <w:tcW w:w="1098" w:type="dxa"/>
            <w:vMerge w:val="continue"/>
            <w:noWrap w:val="0"/>
            <w:vAlign w:val="center"/>
          </w:tcPr>
          <w:p w14:paraId="5A4B69E9">
            <w:pPr>
              <w:rPr>
                <w:color w:val="000000"/>
                <w:highlight w:val="none"/>
              </w:rPr>
            </w:pPr>
          </w:p>
        </w:tc>
      </w:tr>
      <w:tr w14:paraId="05C63B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1C89C7BD">
            <w:pPr>
              <w:jc w:val="center"/>
              <w:rPr>
                <w:color w:val="000000"/>
                <w:highlight w:val="none"/>
              </w:rPr>
            </w:pPr>
            <w:r>
              <w:rPr>
                <w:color w:val="000000"/>
                <w:highlight w:val="none"/>
              </w:rPr>
              <w:t>3</w:t>
            </w:r>
          </w:p>
        </w:tc>
        <w:tc>
          <w:tcPr>
            <w:tcW w:w="6096" w:type="dxa"/>
            <w:noWrap w:val="0"/>
            <w:vAlign w:val="center"/>
          </w:tcPr>
          <w:p w14:paraId="0305290B">
            <w:pPr>
              <w:spacing w:line="360" w:lineRule="auto"/>
              <w:rPr>
                <w:color w:val="000000"/>
                <w:highlight w:val="none"/>
              </w:rPr>
            </w:pPr>
            <w:r>
              <w:rPr>
                <w:snapToGrid w:val="0"/>
                <w:color w:val="000000"/>
                <w:highlight w:val="none"/>
              </w:rPr>
              <w:t>投标有效期</w:t>
            </w:r>
            <w:r>
              <w:rPr>
                <w:rFonts w:hint="eastAsia"/>
                <w:snapToGrid w:val="0"/>
                <w:color w:val="000000"/>
                <w:highlight w:val="none"/>
              </w:rPr>
              <w:t>满足招标文件要求。</w:t>
            </w:r>
          </w:p>
        </w:tc>
        <w:tc>
          <w:tcPr>
            <w:tcW w:w="1134" w:type="dxa"/>
            <w:noWrap w:val="0"/>
            <w:vAlign w:val="top"/>
          </w:tcPr>
          <w:p w14:paraId="3F7A5AAB">
            <w:pPr>
              <w:rPr>
                <w:color w:val="000000"/>
                <w:highlight w:val="none"/>
              </w:rPr>
            </w:pPr>
          </w:p>
        </w:tc>
        <w:tc>
          <w:tcPr>
            <w:tcW w:w="1098" w:type="dxa"/>
            <w:vMerge w:val="continue"/>
            <w:noWrap w:val="0"/>
            <w:vAlign w:val="center"/>
          </w:tcPr>
          <w:p w14:paraId="66FDB58B">
            <w:pPr>
              <w:rPr>
                <w:color w:val="000000"/>
                <w:highlight w:val="none"/>
              </w:rPr>
            </w:pPr>
          </w:p>
        </w:tc>
      </w:tr>
      <w:tr w14:paraId="12D45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50921F38">
            <w:pPr>
              <w:jc w:val="center"/>
              <w:rPr>
                <w:rFonts w:ascii="宋体" w:hAnsi="宋体"/>
                <w:color w:val="000000"/>
                <w:highlight w:val="none"/>
              </w:rPr>
            </w:pPr>
            <w:r>
              <w:rPr>
                <w:rFonts w:ascii="宋体" w:hAnsi="宋体"/>
                <w:color w:val="000000"/>
                <w:highlight w:val="none"/>
              </w:rPr>
              <w:t>4</w:t>
            </w:r>
          </w:p>
        </w:tc>
        <w:tc>
          <w:tcPr>
            <w:tcW w:w="6096" w:type="dxa"/>
            <w:noWrap w:val="0"/>
            <w:vAlign w:val="center"/>
          </w:tcPr>
          <w:p w14:paraId="4CEFD35E">
            <w:pPr>
              <w:spacing w:line="360" w:lineRule="auto"/>
              <w:rPr>
                <w:snapToGrid w:val="0"/>
                <w:color w:val="000000"/>
                <w:highlight w:val="none"/>
              </w:rPr>
            </w:pPr>
            <w:r>
              <w:rPr>
                <w:snapToGrid w:val="0"/>
                <w:color w:val="000000"/>
                <w:highlight w:val="none"/>
              </w:rPr>
              <w:t>投标报价</w:t>
            </w:r>
            <w:r>
              <w:rPr>
                <w:rFonts w:hint="eastAsia"/>
                <w:snapToGrid w:val="0"/>
                <w:color w:val="000000"/>
                <w:highlight w:val="none"/>
                <w:lang w:eastAsia="zh-CN"/>
              </w:rPr>
              <w:t>总价</w:t>
            </w:r>
            <w:r>
              <w:rPr>
                <w:rFonts w:hint="eastAsia"/>
                <w:snapToGrid w:val="0"/>
                <w:color w:val="000000"/>
                <w:highlight w:val="none"/>
              </w:rPr>
              <w:t>未</w:t>
            </w:r>
            <w:r>
              <w:rPr>
                <w:snapToGrid w:val="0"/>
                <w:color w:val="000000"/>
                <w:highlight w:val="none"/>
              </w:rPr>
              <w:t>超过</w:t>
            </w:r>
            <w:r>
              <w:rPr>
                <w:rFonts w:hint="eastAsia"/>
                <w:snapToGrid w:val="0"/>
                <w:color w:val="000000"/>
                <w:highlight w:val="none"/>
                <w:lang w:val="en-US" w:eastAsia="zh-CN"/>
              </w:rPr>
              <w:t>含税</w:t>
            </w:r>
            <w:r>
              <w:rPr>
                <w:rFonts w:hint="eastAsia"/>
                <w:snapToGrid w:val="0"/>
                <w:color w:val="000000"/>
                <w:highlight w:val="none"/>
                <w:lang w:eastAsia="zh-CN"/>
              </w:rPr>
              <w:t>招标控制价总价，</w:t>
            </w:r>
            <w:r>
              <w:rPr>
                <w:rFonts w:hint="eastAsia"/>
                <w:snapToGrid w:val="0"/>
                <w:color w:val="000000"/>
                <w:highlight w:val="none"/>
              </w:rPr>
              <w:t>或</w:t>
            </w:r>
            <w:r>
              <w:rPr>
                <w:rFonts w:hint="eastAsia"/>
                <w:snapToGrid w:val="0"/>
                <w:color w:val="000000"/>
                <w:highlight w:val="none"/>
                <w:lang w:eastAsia="zh-CN"/>
              </w:rPr>
              <w:t>投标报价单价未超过含税招标控制综合单价</w:t>
            </w:r>
            <w:r>
              <w:rPr>
                <w:snapToGrid w:val="0"/>
                <w:color w:val="000000"/>
                <w:highlight w:val="none"/>
              </w:rPr>
              <w:t>的</w:t>
            </w:r>
            <w:r>
              <w:rPr>
                <w:rFonts w:hint="eastAsia"/>
                <w:snapToGrid w:val="0"/>
                <w:color w:val="000000"/>
                <w:highlight w:val="none"/>
              </w:rPr>
              <w:t>。</w:t>
            </w:r>
          </w:p>
        </w:tc>
        <w:tc>
          <w:tcPr>
            <w:tcW w:w="1134" w:type="dxa"/>
            <w:noWrap w:val="0"/>
            <w:vAlign w:val="top"/>
          </w:tcPr>
          <w:p w14:paraId="04A9FC09">
            <w:pPr>
              <w:rPr>
                <w:color w:val="000000"/>
                <w:highlight w:val="none"/>
              </w:rPr>
            </w:pPr>
          </w:p>
        </w:tc>
        <w:tc>
          <w:tcPr>
            <w:tcW w:w="1098" w:type="dxa"/>
            <w:vMerge w:val="continue"/>
            <w:noWrap w:val="0"/>
            <w:vAlign w:val="center"/>
          </w:tcPr>
          <w:p w14:paraId="437F1603">
            <w:pPr>
              <w:rPr>
                <w:color w:val="000000"/>
                <w:highlight w:val="none"/>
              </w:rPr>
            </w:pPr>
          </w:p>
        </w:tc>
      </w:tr>
      <w:tr w14:paraId="59C5BB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328652BB">
            <w:pPr>
              <w:jc w:val="center"/>
              <w:rPr>
                <w:rFonts w:ascii="宋体" w:hAnsi="宋体"/>
                <w:color w:val="000000"/>
                <w:highlight w:val="none"/>
              </w:rPr>
            </w:pPr>
            <w:r>
              <w:rPr>
                <w:rFonts w:ascii="宋体" w:hAnsi="宋体"/>
                <w:color w:val="000000"/>
                <w:highlight w:val="none"/>
              </w:rPr>
              <w:t>5</w:t>
            </w:r>
          </w:p>
        </w:tc>
        <w:tc>
          <w:tcPr>
            <w:tcW w:w="6096" w:type="dxa"/>
            <w:noWrap w:val="0"/>
            <w:vAlign w:val="center"/>
          </w:tcPr>
          <w:p w14:paraId="702ECCD2">
            <w:pPr>
              <w:spacing w:line="360" w:lineRule="auto"/>
              <w:rPr>
                <w:color w:val="000000"/>
                <w:highlight w:val="none"/>
              </w:rPr>
            </w:pPr>
            <w:r>
              <w:rPr>
                <w:rFonts w:hint="eastAsia"/>
                <w:snapToGrid w:val="0"/>
                <w:color w:val="000000"/>
                <w:highlight w:val="none"/>
              </w:rPr>
              <w:t>投标人没有递交两份或多份内容不同的投标文件，或在一份投标文件中，虽有两个或多个报价但已书面声明哪一个有效（按招标文件规定提供可选择性方案报价的除外）。</w:t>
            </w:r>
          </w:p>
        </w:tc>
        <w:tc>
          <w:tcPr>
            <w:tcW w:w="1134" w:type="dxa"/>
            <w:noWrap w:val="0"/>
            <w:vAlign w:val="top"/>
          </w:tcPr>
          <w:p w14:paraId="0C1B3915">
            <w:pPr>
              <w:rPr>
                <w:color w:val="000000"/>
                <w:highlight w:val="none"/>
              </w:rPr>
            </w:pPr>
          </w:p>
        </w:tc>
        <w:tc>
          <w:tcPr>
            <w:tcW w:w="1098" w:type="dxa"/>
            <w:vMerge w:val="continue"/>
            <w:noWrap w:val="0"/>
            <w:vAlign w:val="center"/>
          </w:tcPr>
          <w:p w14:paraId="04315908">
            <w:pPr>
              <w:rPr>
                <w:color w:val="000000"/>
                <w:highlight w:val="none"/>
              </w:rPr>
            </w:pPr>
          </w:p>
        </w:tc>
      </w:tr>
      <w:tr w14:paraId="038E6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138321E0">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6</w:t>
            </w:r>
          </w:p>
        </w:tc>
        <w:tc>
          <w:tcPr>
            <w:tcW w:w="6096" w:type="dxa"/>
            <w:noWrap w:val="0"/>
            <w:vAlign w:val="center"/>
          </w:tcPr>
          <w:p w14:paraId="4FF70DE8">
            <w:pPr>
              <w:spacing w:line="360" w:lineRule="auto"/>
              <w:rPr>
                <w:color w:val="000000"/>
                <w:highlight w:val="none"/>
              </w:rPr>
            </w:pPr>
            <w:r>
              <w:rPr>
                <w:rFonts w:hint="eastAsia"/>
                <w:snapToGrid w:val="0"/>
                <w:color w:val="000000"/>
                <w:highlight w:val="none"/>
                <w:lang w:val="en-US" w:eastAsia="zh-CN"/>
              </w:rPr>
              <w:t>服务</w:t>
            </w:r>
            <w:r>
              <w:rPr>
                <w:rFonts w:hint="eastAsia"/>
                <w:snapToGrid w:val="0"/>
                <w:color w:val="000000"/>
                <w:highlight w:val="none"/>
              </w:rPr>
              <w:t>期满足招标文件要求。</w:t>
            </w:r>
          </w:p>
        </w:tc>
        <w:tc>
          <w:tcPr>
            <w:tcW w:w="1134" w:type="dxa"/>
            <w:noWrap w:val="0"/>
            <w:vAlign w:val="top"/>
          </w:tcPr>
          <w:p w14:paraId="7AE199B0">
            <w:pPr>
              <w:rPr>
                <w:color w:val="000000"/>
                <w:highlight w:val="none"/>
              </w:rPr>
            </w:pPr>
          </w:p>
        </w:tc>
        <w:tc>
          <w:tcPr>
            <w:tcW w:w="1098" w:type="dxa"/>
            <w:vMerge w:val="continue"/>
            <w:noWrap w:val="0"/>
            <w:vAlign w:val="center"/>
          </w:tcPr>
          <w:p w14:paraId="5EA2D98D">
            <w:pPr>
              <w:rPr>
                <w:color w:val="000000"/>
                <w:highlight w:val="none"/>
              </w:rPr>
            </w:pPr>
          </w:p>
        </w:tc>
      </w:tr>
      <w:tr w14:paraId="249DD8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3" w:hRule="atLeast"/>
          <w:jc w:val="center"/>
        </w:trPr>
        <w:tc>
          <w:tcPr>
            <w:tcW w:w="675" w:type="dxa"/>
            <w:noWrap w:val="0"/>
            <w:vAlign w:val="center"/>
          </w:tcPr>
          <w:p w14:paraId="1920D9EF">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7</w:t>
            </w:r>
          </w:p>
        </w:tc>
        <w:tc>
          <w:tcPr>
            <w:tcW w:w="6096" w:type="dxa"/>
            <w:noWrap w:val="0"/>
            <w:vAlign w:val="center"/>
          </w:tcPr>
          <w:p w14:paraId="101BD589">
            <w:pPr>
              <w:spacing w:line="360" w:lineRule="auto"/>
              <w:rPr>
                <w:color w:val="000000"/>
                <w:highlight w:val="none"/>
              </w:rPr>
            </w:pPr>
            <w:r>
              <w:rPr>
                <w:rFonts w:hint="eastAsia"/>
                <w:color w:val="000000"/>
                <w:highlight w:val="none"/>
              </w:rPr>
              <w:t>投标报价清单无缺、漏项。</w:t>
            </w:r>
          </w:p>
        </w:tc>
        <w:tc>
          <w:tcPr>
            <w:tcW w:w="1134" w:type="dxa"/>
            <w:noWrap w:val="0"/>
            <w:vAlign w:val="top"/>
          </w:tcPr>
          <w:p w14:paraId="003FFEB3">
            <w:pPr>
              <w:rPr>
                <w:color w:val="000000"/>
                <w:highlight w:val="none"/>
              </w:rPr>
            </w:pPr>
          </w:p>
        </w:tc>
        <w:tc>
          <w:tcPr>
            <w:tcW w:w="1098" w:type="dxa"/>
            <w:vMerge w:val="continue"/>
            <w:noWrap w:val="0"/>
            <w:vAlign w:val="center"/>
          </w:tcPr>
          <w:p w14:paraId="1421DF04">
            <w:pPr>
              <w:rPr>
                <w:color w:val="000000"/>
                <w:highlight w:val="none"/>
              </w:rPr>
            </w:pPr>
          </w:p>
        </w:tc>
      </w:tr>
      <w:tr w14:paraId="4121C1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71D4DF4E">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8</w:t>
            </w:r>
          </w:p>
        </w:tc>
        <w:tc>
          <w:tcPr>
            <w:tcW w:w="6096" w:type="dxa"/>
            <w:noWrap w:val="0"/>
            <w:vAlign w:val="center"/>
          </w:tcPr>
          <w:p w14:paraId="0CBBDEC5">
            <w:pPr>
              <w:spacing w:line="360" w:lineRule="auto"/>
              <w:rPr>
                <w:color w:val="000000"/>
                <w:highlight w:val="none"/>
              </w:rPr>
            </w:pPr>
            <w:r>
              <w:rPr>
                <w:rFonts w:hint="eastAsia"/>
                <w:color w:val="000000"/>
                <w:highlight w:val="none"/>
              </w:rPr>
              <w:t>无</w:t>
            </w:r>
            <w:r>
              <w:rPr>
                <w:color w:val="000000"/>
                <w:highlight w:val="none"/>
              </w:rPr>
              <w:t>招标文件、法律、法规规定的其他</w:t>
            </w:r>
            <w:r>
              <w:rPr>
                <w:rFonts w:hint="eastAsia"/>
                <w:color w:val="000000"/>
                <w:highlight w:val="none"/>
              </w:rPr>
              <w:t>否决投标情况。</w:t>
            </w:r>
          </w:p>
        </w:tc>
        <w:tc>
          <w:tcPr>
            <w:tcW w:w="1134" w:type="dxa"/>
            <w:noWrap w:val="0"/>
            <w:vAlign w:val="top"/>
          </w:tcPr>
          <w:p w14:paraId="2AFFD6C6">
            <w:pPr>
              <w:rPr>
                <w:color w:val="000000"/>
                <w:highlight w:val="none"/>
              </w:rPr>
            </w:pPr>
          </w:p>
        </w:tc>
        <w:tc>
          <w:tcPr>
            <w:tcW w:w="1098" w:type="dxa"/>
            <w:vMerge w:val="continue"/>
            <w:noWrap w:val="0"/>
            <w:vAlign w:val="center"/>
          </w:tcPr>
          <w:p w14:paraId="2A1F9603">
            <w:pPr>
              <w:rPr>
                <w:color w:val="000000"/>
                <w:highlight w:val="none"/>
              </w:rPr>
            </w:pPr>
          </w:p>
        </w:tc>
      </w:tr>
    </w:tbl>
    <w:p w14:paraId="6C7472AE">
      <w:pPr>
        <w:spacing w:line="276" w:lineRule="auto"/>
        <w:rPr>
          <w:rFonts w:hAnsi="宋体"/>
          <w:color w:val="000000"/>
          <w:highlight w:val="none"/>
        </w:rPr>
      </w:pPr>
      <w:r>
        <w:rPr>
          <w:rFonts w:hAnsi="宋体"/>
          <w:color w:val="000000"/>
          <w:highlight w:val="none"/>
        </w:rPr>
        <w:t>注：</w:t>
      </w:r>
      <w:r>
        <w:rPr>
          <w:rFonts w:hint="eastAsia" w:hAnsi="宋体"/>
          <w:color w:val="000000"/>
          <w:highlight w:val="none"/>
        </w:rPr>
        <w:t>1.</w:t>
      </w:r>
      <w:r>
        <w:rPr>
          <w:rFonts w:hAnsi="宋体"/>
          <w:color w:val="000000"/>
          <w:highlight w:val="none"/>
        </w:rPr>
        <w:t>评审结果填写合格打</w:t>
      </w:r>
      <w:r>
        <w:rPr>
          <w:color w:val="000000"/>
          <w:highlight w:val="none"/>
        </w:rPr>
        <w:t>√</w:t>
      </w:r>
      <w:r>
        <w:rPr>
          <w:rFonts w:hAnsi="宋体"/>
          <w:color w:val="000000"/>
          <w:highlight w:val="none"/>
        </w:rPr>
        <w:t>，不合格打</w:t>
      </w:r>
      <w:r>
        <w:rPr>
          <w:color w:val="000000"/>
          <w:highlight w:val="none"/>
        </w:rPr>
        <w:t>×</w:t>
      </w:r>
      <w:r>
        <w:rPr>
          <w:rFonts w:hAnsi="宋体"/>
          <w:color w:val="000000"/>
          <w:highlight w:val="none"/>
        </w:rPr>
        <w:t>，凡评审结果有一项不合格者，结论为不通过。本表内容由经济评审组评审使用。</w:t>
      </w:r>
    </w:p>
    <w:p w14:paraId="597E1F34">
      <w:pPr>
        <w:spacing w:line="276" w:lineRule="auto"/>
        <w:ind w:firstLine="200"/>
        <w:rPr>
          <w:rFonts w:hAnsi="宋体"/>
          <w:color w:val="000000"/>
          <w:highlight w:val="none"/>
        </w:rPr>
      </w:pPr>
      <w:r>
        <w:rPr>
          <w:rFonts w:hAnsi="宋体"/>
          <w:color w:val="000000"/>
          <w:highlight w:val="none"/>
        </w:rPr>
        <w:t>2.</w:t>
      </w:r>
      <w:r>
        <w:rPr>
          <w:rFonts w:hint="eastAsia" w:hAnsi="宋体"/>
          <w:color w:val="000000"/>
          <w:highlight w:val="none"/>
        </w:rPr>
        <w:t>“缺、漏项”是指投标人未按照招标人提供的清单项进行报价，投标人的报价清单中缺少某项清单或报价。</w:t>
      </w:r>
    </w:p>
    <w:p w14:paraId="3851B8A8">
      <w:pPr>
        <w:rPr>
          <w:color w:val="000000"/>
          <w:sz w:val="24"/>
          <w:highlight w:val="none"/>
        </w:rPr>
      </w:pPr>
    </w:p>
    <w:p w14:paraId="38620AC3">
      <w:pPr>
        <w:jc w:val="center"/>
        <w:rPr>
          <w:rFonts w:hAnsi="宋体"/>
          <w:b/>
          <w:color w:val="000000"/>
          <w:sz w:val="24"/>
          <w:highlight w:val="none"/>
        </w:rPr>
      </w:pPr>
    </w:p>
    <w:p w14:paraId="4E92A8F3">
      <w:pPr>
        <w:jc w:val="center"/>
        <w:rPr>
          <w:rFonts w:hAnsi="宋体"/>
          <w:b/>
          <w:color w:val="000000"/>
          <w:sz w:val="24"/>
          <w:highlight w:val="none"/>
        </w:rPr>
      </w:pPr>
      <w:r>
        <w:rPr>
          <w:color w:val="000000"/>
          <w:highlight w:val="none"/>
        </w:rPr>
        <w:br w:type="page"/>
      </w:r>
    </w:p>
    <w:p w14:paraId="6E1CE6BD">
      <w:pPr>
        <w:jc w:val="center"/>
        <w:rPr>
          <w:b/>
          <w:color w:val="000000"/>
          <w:sz w:val="24"/>
          <w:highlight w:val="none"/>
        </w:rPr>
      </w:pPr>
      <w:r>
        <w:rPr>
          <w:rFonts w:hint="eastAsia" w:hAnsi="宋体"/>
          <w:b/>
          <w:color w:val="000000"/>
          <w:sz w:val="24"/>
          <w:highlight w:val="none"/>
          <w:lang w:val="en-US" w:eastAsia="zh-CN"/>
        </w:rPr>
        <w:t>技术</w:t>
      </w:r>
      <w:r>
        <w:rPr>
          <w:rFonts w:hint="eastAsia" w:hAnsi="宋体"/>
          <w:b/>
          <w:color w:val="000000"/>
          <w:sz w:val="24"/>
          <w:highlight w:val="none"/>
        </w:rPr>
        <w:t>初步</w:t>
      </w:r>
      <w:r>
        <w:rPr>
          <w:rFonts w:hAnsi="宋体"/>
          <w:b/>
          <w:color w:val="000000"/>
          <w:sz w:val="24"/>
          <w:highlight w:val="none"/>
        </w:rPr>
        <w:t>评审表</w:t>
      </w:r>
    </w:p>
    <w:tbl>
      <w:tblPr>
        <w:tblStyle w:val="49"/>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333E2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19" w:hRule="atLeast"/>
          <w:tblHeader/>
          <w:jc w:val="center"/>
        </w:trPr>
        <w:tc>
          <w:tcPr>
            <w:tcW w:w="675" w:type="dxa"/>
            <w:tcBorders>
              <w:top w:val="single" w:color="auto" w:sz="12" w:space="0"/>
            </w:tcBorders>
            <w:noWrap w:val="0"/>
            <w:vAlign w:val="center"/>
          </w:tcPr>
          <w:p w14:paraId="149069E9">
            <w:pPr>
              <w:rPr>
                <w:color w:val="000000"/>
                <w:highlight w:val="none"/>
              </w:rPr>
            </w:pPr>
            <w:r>
              <w:rPr>
                <w:rFonts w:hint="eastAsia"/>
                <w:color w:val="000000"/>
                <w:highlight w:val="none"/>
              </w:rPr>
              <w:t>序号</w:t>
            </w:r>
          </w:p>
        </w:tc>
        <w:tc>
          <w:tcPr>
            <w:tcW w:w="6096" w:type="dxa"/>
            <w:tcBorders>
              <w:top w:val="single" w:color="auto" w:sz="12" w:space="0"/>
            </w:tcBorders>
            <w:noWrap w:val="0"/>
            <w:vAlign w:val="center"/>
          </w:tcPr>
          <w:p w14:paraId="2F4B1E20">
            <w:pP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4C4E3522">
            <w:pP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53F63795">
            <w:pPr>
              <w:rPr>
                <w:color w:val="000000"/>
                <w:highlight w:val="none"/>
              </w:rPr>
            </w:pPr>
            <w:r>
              <w:rPr>
                <w:rFonts w:hint="eastAsia"/>
                <w:color w:val="000000"/>
                <w:highlight w:val="none"/>
              </w:rPr>
              <w:t>结论</w:t>
            </w:r>
          </w:p>
        </w:tc>
      </w:tr>
      <w:tr w14:paraId="37D13B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49C04771">
            <w:pPr>
              <w:jc w:val="center"/>
              <w:rPr>
                <w:color w:val="000000"/>
                <w:highlight w:val="none"/>
              </w:rPr>
            </w:pPr>
            <w:r>
              <w:rPr>
                <w:color w:val="000000"/>
                <w:highlight w:val="none"/>
              </w:rPr>
              <w:t>1</w:t>
            </w:r>
          </w:p>
        </w:tc>
        <w:tc>
          <w:tcPr>
            <w:tcW w:w="6096" w:type="dxa"/>
            <w:noWrap w:val="0"/>
            <w:vAlign w:val="center"/>
          </w:tcPr>
          <w:p w14:paraId="75567A36">
            <w:pPr>
              <w:spacing w:line="360" w:lineRule="auto"/>
              <w:rPr>
                <w:color w:val="000000"/>
                <w:highlight w:val="none"/>
              </w:rPr>
            </w:pPr>
            <w:r>
              <w:rPr>
                <w:color w:val="000000"/>
                <w:highlight w:val="none"/>
              </w:rPr>
              <w:t>投标文件</w:t>
            </w:r>
            <w:r>
              <w:rPr>
                <w:snapToGrid w:val="0"/>
                <w:color w:val="000000"/>
                <w:highlight w:val="none"/>
              </w:rPr>
              <w:t>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0C0C991F">
            <w:pPr>
              <w:rPr>
                <w:color w:val="000000"/>
                <w:highlight w:val="none"/>
              </w:rPr>
            </w:pPr>
          </w:p>
        </w:tc>
        <w:tc>
          <w:tcPr>
            <w:tcW w:w="1098" w:type="dxa"/>
            <w:vMerge w:val="restart"/>
            <w:noWrap w:val="0"/>
            <w:vAlign w:val="center"/>
          </w:tcPr>
          <w:p w14:paraId="54A5D1C8">
            <w:pPr>
              <w:rPr>
                <w:color w:val="000000"/>
                <w:highlight w:val="none"/>
              </w:rPr>
            </w:pPr>
          </w:p>
        </w:tc>
      </w:tr>
      <w:tr w14:paraId="4B13FB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0566BF67">
            <w:pPr>
              <w:jc w:val="center"/>
              <w:rPr>
                <w:color w:val="000000"/>
                <w:highlight w:val="none"/>
              </w:rPr>
            </w:pPr>
            <w:r>
              <w:rPr>
                <w:color w:val="000000"/>
                <w:highlight w:val="none"/>
              </w:rPr>
              <w:t>2</w:t>
            </w:r>
          </w:p>
        </w:tc>
        <w:tc>
          <w:tcPr>
            <w:tcW w:w="6096" w:type="dxa"/>
            <w:noWrap w:val="0"/>
            <w:vAlign w:val="center"/>
          </w:tcPr>
          <w:p w14:paraId="5FEEABE1">
            <w:pPr>
              <w:spacing w:line="360" w:lineRule="auto"/>
              <w:rPr>
                <w:color w:val="000000"/>
                <w:highlight w:val="none"/>
              </w:rPr>
            </w:pPr>
            <w:r>
              <w:rPr>
                <w:rFonts w:hint="eastAsia"/>
                <w:color w:val="000000"/>
                <w:highlight w:val="none"/>
              </w:rPr>
              <w:t>投标文件的实质性内容按照规定的格式填写、内容齐全（应按照招标文件规定第</w:t>
            </w:r>
            <w:r>
              <w:rPr>
                <w:rFonts w:hint="eastAsia"/>
                <w:color w:val="000000"/>
                <w:highlight w:val="none"/>
                <w:lang w:val="en-US" w:eastAsia="zh-CN"/>
              </w:rPr>
              <w:t>六</w:t>
            </w:r>
            <w:r>
              <w:rPr>
                <w:rFonts w:hint="eastAsia"/>
                <w:color w:val="000000"/>
                <w:highlight w:val="none"/>
              </w:rPr>
              <w:t>章节格式填写）。</w:t>
            </w:r>
          </w:p>
        </w:tc>
        <w:tc>
          <w:tcPr>
            <w:tcW w:w="1134" w:type="dxa"/>
            <w:noWrap w:val="0"/>
            <w:vAlign w:val="top"/>
          </w:tcPr>
          <w:p w14:paraId="582A2706">
            <w:pPr>
              <w:rPr>
                <w:color w:val="000000"/>
                <w:highlight w:val="none"/>
              </w:rPr>
            </w:pPr>
          </w:p>
        </w:tc>
        <w:tc>
          <w:tcPr>
            <w:tcW w:w="1098" w:type="dxa"/>
            <w:vMerge w:val="continue"/>
            <w:noWrap w:val="0"/>
            <w:vAlign w:val="center"/>
          </w:tcPr>
          <w:p w14:paraId="3C6E1898">
            <w:pPr>
              <w:rPr>
                <w:color w:val="000000"/>
                <w:highlight w:val="none"/>
              </w:rPr>
            </w:pPr>
          </w:p>
        </w:tc>
      </w:tr>
      <w:tr w14:paraId="513F35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7AACD5B0">
            <w:pPr>
              <w:jc w:val="center"/>
              <w:rPr>
                <w:color w:val="000000"/>
                <w:highlight w:val="none"/>
              </w:rPr>
            </w:pPr>
            <w:r>
              <w:rPr>
                <w:color w:val="000000"/>
                <w:highlight w:val="none"/>
              </w:rPr>
              <w:t>3</w:t>
            </w:r>
          </w:p>
        </w:tc>
        <w:tc>
          <w:tcPr>
            <w:tcW w:w="6096" w:type="dxa"/>
            <w:noWrap w:val="0"/>
            <w:vAlign w:val="center"/>
          </w:tcPr>
          <w:p w14:paraId="1F0D326A">
            <w:pPr>
              <w:spacing w:line="360" w:lineRule="auto"/>
              <w:rPr>
                <w:color w:val="000000"/>
                <w:highlight w:val="none"/>
              </w:rPr>
            </w:pPr>
            <w:r>
              <w:rPr>
                <w:color w:val="000000"/>
                <w:highlight w:val="none"/>
              </w:rPr>
              <w:t>投标人在资格</w:t>
            </w:r>
            <w:r>
              <w:rPr>
                <w:rFonts w:hint="eastAsia"/>
                <w:color w:val="000000"/>
                <w:highlight w:val="none"/>
                <w:lang w:val="en-US" w:eastAsia="zh-CN"/>
              </w:rPr>
              <w:t>审查</w:t>
            </w:r>
            <w:r>
              <w:rPr>
                <w:rFonts w:hint="eastAsia"/>
                <w:color w:val="000000"/>
                <w:highlight w:val="none"/>
              </w:rPr>
              <w:t>文件</w:t>
            </w:r>
            <w:r>
              <w:rPr>
                <w:color w:val="000000"/>
                <w:highlight w:val="none"/>
              </w:rPr>
              <w:t>或</w:t>
            </w:r>
            <w:r>
              <w:rPr>
                <w:rFonts w:hint="eastAsia"/>
                <w:color w:val="000000"/>
                <w:highlight w:val="none"/>
                <w:lang w:val="en-US" w:eastAsia="zh-CN"/>
              </w:rPr>
              <w:t>技术文件</w:t>
            </w:r>
            <w:r>
              <w:rPr>
                <w:color w:val="000000"/>
                <w:highlight w:val="none"/>
              </w:rPr>
              <w:t>中</w:t>
            </w:r>
            <w:r>
              <w:rPr>
                <w:rFonts w:hint="eastAsia"/>
                <w:color w:val="000000"/>
                <w:highlight w:val="none"/>
              </w:rPr>
              <w:t>未</w:t>
            </w:r>
            <w:r>
              <w:rPr>
                <w:color w:val="000000"/>
                <w:highlight w:val="none"/>
              </w:rPr>
              <w:t>透露有关报价的信息</w:t>
            </w:r>
            <w:r>
              <w:rPr>
                <w:rFonts w:hint="eastAsia"/>
                <w:color w:val="000000"/>
                <w:highlight w:val="none"/>
              </w:rPr>
              <w:t>。</w:t>
            </w:r>
          </w:p>
        </w:tc>
        <w:tc>
          <w:tcPr>
            <w:tcW w:w="1134" w:type="dxa"/>
            <w:noWrap w:val="0"/>
            <w:vAlign w:val="top"/>
          </w:tcPr>
          <w:p w14:paraId="6D3DA54B">
            <w:pPr>
              <w:rPr>
                <w:color w:val="000000"/>
                <w:highlight w:val="none"/>
              </w:rPr>
            </w:pPr>
          </w:p>
        </w:tc>
        <w:tc>
          <w:tcPr>
            <w:tcW w:w="1098" w:type="dxa"/>
            <w:vMerge w:val="continue"/>
            <w:noWrap w:val="0"/>
            <w:vAlign w:val="center"/>
          </w:tcPr>
          <w:p w14:paraId="118954E6">
            <w:pPr>
              <w:rPr>
                <w:color w:val="000000"/>
                <w:highlight w:val="none"/>
              </w:rPr>
            </w:pPr>
          </w:p>
        </w:tc>
      </w:tr>
      <w:tr w14:paraId="080B90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39F439D7">
            <w:pPr>
              <w:jc w:val="center"/>
              <w:rPr>
                <w:color w:val="000000"/>
                <w:highlight w:val="none"/>
              </w:rPr>
            </w:pPr>
            <w:r>
              <w:rPr>
                <w:color w:val="000000"/>
                <w:highlight w:val="none"/>
              </w:rPr>
              <w:t>4</w:t>
            </w:r>
          </w:p>
        </w:tc>
        <w:tc>
          <w:tcPr>
            <w:tcW w:w="6096" w:type="dxa"/>
            <w:noWrap w:val="0"/>
            <w:vAlign w:val="center"/>
          </w:tcPr>
          <w:p w14:paraId="59C014EB">
            <w:pPr>
              <w:spacing w:line="360" w:lineRule="auto"/>
              <w:rPr>
                <w:strike w:val="0"/>
                <w:color w:val="000000"/>
                <w:highlight w:val="none"/>
              </w:rPr>
            </w:pPr>
            <w:r>
              <w:rPr>
                <w:rFonts w:hint="eastAsia"/>
                <w:strike w:val="0"/>
                <w:color w:val="000000"/>
                <w:highlight w:val="none"/>
              </w:rPr>
              <w:t>合同条款完全响应。</w:t>
            </w:r>
          </w:p>
        </w:tc>
        <w:tc>
          <w:tcPr>
            <w:tcW w:w="1134" w:type="dxa"/>
            <w:noWrap w:val="0"/>
            <w:vAlign w:val="top"/>
          </w:tcPr>
          <w:p w14:paraId="16CFB950">
            <w:pPr>
              <w:rPr>
                <w:color w:val="000000"/>
                <w:highlight w:val="none"/>
              </w:rPr>
            </w:pPr>
          </w:p>
        </w:tc>
        <w:tc>
          <w:tcPr>
            <w:tcW w:w="1098" w:type="dxa"/>
            <w:vMerge w:val="continue"/>
            <w:noWrap w:val="0"/>
            <w:vAlign w:val="center"/>
          </w:tcPr>
          <w:p w14:paraId="752DF6FC">
            <w:pPr>
              <w:rPr>
                <w:color w:val="000000"/>
                <w:highlight w:val="none"/>
              </w:rPr>
            </w:pPr>
          </w:p>
        </w:tc>
      </w:tr>
      <w:tr w14:paraId="7FD01A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69BBD444">
            <w:pPr>
              <w:jc w:val="center"/>
              <w:rPr>
                <w:color w:val="000000"/>
                <w:highlight w:val="none"/>
              </w:rPr>
            </w:pPr>
            <w:r>
              <w:rPr>
                <w:color w:val="000000"/>
                <w:highlight w:val="none"/>
              </w:rPr>
              <w:t>5</w:t>
            </w:r>
          </w:p>
        </w:tc>
        <w:tc>
          <w:tcPr>
            <w:tcW w:w="6096" w:type="dxa"/>
            <w:noWrap w:val="0"/>
            <w:vAlign w:val="center"/>
          </w:tcPr>
          <w:p w14:paraId="12FADC39">
            <w:pPr>
              <w:spacing w:line="360" w:lineRule="auto"/>
              <w:rPr>
                <w:strike w:val="0"/>
                <w:color w:val="000000"/>
                <w:highlight w:val="none"/>
              </w:rPr>
            </w:pPr>
            <w:r>
              <w:rPr>
                <w:rFonts w:hint="eastAsia"/>
                <w:strike w:val="0"/>
                <w:color w:val="000000"/>
                <w:highlight w:val="none"/>
              </w:rPr>
              <w:t>满足《用户需求书》</w:t>
            </w:r>
            <w:r>
              <w:rPr>
                <w:rFonts w:hint="eastAsia"/>
                <w:strike w:val="0"/>
                <w:color w:val="000000"/>
                <w:highlight w:val="none"/>
                <w:lang w:val="en-US" w:eastAsia="zh-CN"/>
              </w:rPr>
              <w:t>要求</w:t>
            </w:r>
            <w:r>
              <w:rPr>
                <w:rFonts w:hint="eastAsia"/>
                <w:strike w:val="0"/>
                <w:color w:val="000000"/>
                <w:highlight w:val="none"/>
              </w:rPr>
              <w:t>的。</w:t>
            </w:r>
          </w:p>
        </w:tc>
        <w:tc>
          <w:tcPr>
            <w:tcW w:w="1134" w:type="dxa"/>
            <w:noWrap w:val="0"/>
            <w:vAlign w:val="top"/>
          </w:tcPr>
          <w:p w14:paraId="4FF0ED75">
            <w:pPr>
              <w:rPr>
                <w:color w:val="000000"/>
                <w:highlight w:val="none"/>
              </w:rPr>
            </w:pPr>
          </w:p>
        </w:tc>
        <w:tc>
          <w:tcPr>
            <w:tcW w:w="1098" w:type="dxa"/>
            <w:vMerge w:val="continue"/>
            <w:noWrap w:val="0"/>
            <w:vAlign w:val="center"/>
          </w:tcPr>
          <w:p w14:paraId="1FFEFDF0">
            <w:pPr>
              <w:rPr>
                <w:color w:val="000000"/>
                <w:highlight w:val="none"/>
              </w:rPr>
            </w:pPr>
          </w:p>
        </w:tc>
      </w:tr>
      <w:tr w14:paraId="67D95A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413926E9">
            <w:pPr>
              <w:jc w:val="center"/>
              <w:rPr>
                <w:rFonts w:hint="eastAsia"/>
                <w:strike w:val="0"/>
                <w:color w:val="000000"/>
                <w:highlight w:val="none"/>
              </w:rPr>
            </w:pPr>
            <w:r>
              <w:rPr>
                <w:rFonts w:hint="default"/>
                <w:strike w:val="0"/>
                <w:color w:val="000000"/>
                <w:highlight w:val="none"/>
              </w:rPr>
              <w:t>6</w:t>
            </w:r>
          </w:p>
        </w:tc>
        <w:tc>
          <w:tcPr>
            <w:tcW w:w="6096" w:type="dxa"/>
            <w:noWrap w:val="0"/>
            <w:vAlign w:val="center"/>
          </w:tcPr>
          <w:p w14:paraId="1D4DD132">
            <w:pPr>
              <w:spacing w:line="360" w:lineRule="auto"/>
              <w:rPr>
                <w:strike w:val="0"/>
                <w:color w:val="000000"/>
                <w:highlight w:val="none"/>
              </w:rPr>
            </w:pPr>
            <w:r>
              <w:rPr>
                <w:rFonts w:hint="eastAsia"/>
                <w:strike w:val="0"/>
                <w:color w:val="000000"/>
                <w:highlight w:val="none"/>
                <w:lang w:val="en-US" w:eastAsia="zh-CN"/>
              </w:rPr>
              <w:t>技术条款</w:t>
            </w:r>
            <w:r>
              <w:rPr>
                <w:rFonts w:hint="eastAsia"/>
                <w:strike w:val="0"/>
                <w:color w:val="000000"/>
                <w:highlight w:val="none"/>
              </w:rPr>
              <w:t>响应表无负偏离的。</w:t>
            </w:r>
          </w:p>
        </w:tc>
        <w:tc>
          <w:tcPr>
            <w:tcW w:w="1134" w:type="dxa"/>
            <w:noWrap w:val="0"/>
            <w:vAlign w:val="top"/>
          </w:tcPr>
          <w:p w14:paraId="067E0BA6">
            <w:pPr>
              <w:rPr>
                <w:color w:val="000000"/>
                <w:highlight w:val="none"/>
              </w:rPr>
            </w:pPr>
          </w:p>
        </w:tc>
        <w:tc>
          <w:tcPr>
            <w:tcW w:w="1098" w:type="dxa"/>
            <w:vMerge w:val="continue"/>
            <w:noWrap w:val="0"/>
            <w:vAlign w:val="center"/>
          </w:tcPr>
          <w:p w14:paraId="21EA45B9">
            <w:pPr>
              <w:rPr>
                <w:color w:val="000000"/>
                <w:highlight w:val="none"/>
              </w:rPr>
            </w:pPr>
          </w:p>
        </w:tc>
      </w:tr>
      <w:tr w14:paraId="4CEC97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DF99995">
            <w:pPr>
              <w:jc w:val="center"/>
              <w:rPr>
                <w:rFonts w:hint="eastAsia"/>
                <w:strike w:val="0"/>
                <w:color w:val="000000"/>
                <w:highlight w:val="none"/>
              </w:rPr>
            </w:pPr>
            <w:r>
              <w:rPr>
                <w:rFonts w:hint="eastAsia"/>
                <w:strike w:val="0"/>
                <w:color w:val="000000"/>
                <w:highlight w:val="none"/>
                <w:lang w:val="en-US" w:eastAsia="zh-CN"/>
              </w:rPr>
              <w:t>7</w:t>
            </w:r>
          </w:p>
        </w:tc>
        <w:tc>
          <w:tcPr>
            <w:tcW w:w="6096" w:type="dxa"/>
            <w:noWrap w:val="0"/>
            <w:vAlign w:val="center"/>
          </w:tcPr>
          <w:p w14:paraId="0EF4E6FD">
            <w:pPr>
              <w:spacing w:line="360" w:lineRule="auto"/>
              <w:rPr>
                <w:strike w:val="0"/>
                <w:color w:val="000000"/>
                <w:highlight w:val="none"/>
              </w:rPr>
            </w:pPr>
            <w:r>
              <w:rPr>
                <w:rFonts w:hint="eastAsia" w:hAnsi="宋体"/>
                <w:strike w:val="0"/>
                <w:color w:val="000000"/>
                <w:highlight w:val="none"/>
              </w:rPr>
              <w:t>投标文件按招标文件要求提供按期交货承诺书。</w:t>
            </w:r>
          </w:p>
        </w:tc>
        <w:tc>
          <w:tcPr>
            <w:tcW w:w="1134" w:type="dxa"/>
            <w:noWrap w:val="0"/>
            <w:vAlign w:val="top"/>
          </w:tcPr>
          <w:p w14:paraId="121DC160">
            <w:pPr>
              <w:rPr>
                <w:color w:val="000000"/>
                <w:highlight w:val="none"/>
              </w:rPr>
            </w:pPr>
          </w:p>
        </w:tc>
        <w:tc>
          <w:tcPr>
            <w:tcW w:w="1098" w:type="dxa"/>
            <w:vMerge w:val="continue"/>
            <w:noWrap w:val="0"/>
            <w:vAlign w:val="center"/>
          </w:tcPr>
          <w:p w14:paraId="4DC12FAA">
            <w:pPr>
              <w:rPr>
                <w:color w:val="000000"/>
                <w:highlight w:val="none"/>
              </w:rPr>
            </w:pPr>
          </w:p>
        </w:tc>
      </w:tr>
      <w:tr w14:paraId="716D41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E273BF6">
            <w:pPr>
              <w:jc w:val="center"/>
              <w:rPr>
                <w:rFonts w:hint="eastAsia"/>
                <w:strike w:val="0"/>
                <w:color w:val="000000"/>
                <w:highlight w:val="none"/>
              </w:rPr>
            </w:pPr>
            <w:r>
              <w:rPr>
                <w:rFonts w:hint="eastAsia"/>
                <w:strike w:val="0"/>
                <w:color w:val="000000"/>
                <w:highlight w:val="none"/>
                <w:lang w:val="en-US" w:eastAsia="zh-CN"/>
              </w:rPr>
              <w:t>8</w:t>
            </w:r>
          </w:p>
        </w:tc>
        <w:tc>
          <w:tcPr>
            <w:tcW w:w="6096" w:type="dxa"/>
            <w:noWrap w:val="0"/>
            <w:vAlign w:val="center"/>
          </w:tcPr>
          <w:p w14:paraId="5D8CE347">
            <w:pPr>
              <w:spacing w:line="360" w:lineRule="auto"/>
              <w:rPr>
                <w:rFonts w:hAnsi="宋体"/>
                <w:strike w:val="0"/>
                <w:color w:val="000000"/>
                <w:highlight w:val="none"/>
              </w:rPr>
            </w:pPr>
            <w:r>
              <w:rPr>
                <w:rFonts w:hint="eastAsia" w:hAnsi="宋体"/>
                <w:strike w:val="0"/>
                <w:color w:val="000000"/>
                <w:highlight w:val="none"/>
              </w:rPr>
              <w:t>投标文件按招标文件要求提供售后服务承诺书。</w:t>
            </w:r>
          </w:p>
        </w:tc>
        <w:tc>
          <w:tcPr>
            <w:tcW w:w="1134" w:type="dxa"/>
            <w:noWrap w:val="0"/>
            <w:vAlign w:val="top"/>
          </w:tcPr>
          <w:p w14:paraId="3F185221">
            <w:pPr>
              <w:rPr>
                <w:color w:val="000000"/>
                <w:highlight w:val="none"/>
              </w:rPr>
            </w:pPr>
          </w:p>
        </w:tc>
        <w:tc>
          <w:tcPr>
            <w:tcW w:w="1098" w:type="dxa"/>
            <w:vMerge w:val="continue"/>
            <w:noWrap w:val="0"/>
            <w:vAlign w:val="center"/>
          </w:tcPr>
          <w:p w14:paraId="3D1DD104">
            <w:pPr>
              <w:rPr>
                <w:color w:val="000000"/>
                <w:highlight w:val="none"/>
              </w:rPr>
            </w:pPr>
          </w:p>
        </w:tc>
      </w:tr>
      <w:tr w14:paraId="38FA07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57DA48D8">
            <w:pPr>
              <w:jc w:val="center"/>
              <w:rPr>
                <w:rFonts w:hint="eastAsia" w:eastAsia="宋体"/>
                <w:color w:val="000000"/>
                <w:highlight w:val="none"/>
                <w:lang w:eastAsia="zh-CN"/>
              </w:rPr>
            </w:pPr>
            <w:r>
              <w:rPr>
                <w:rFonts w:hint="eastAsia"/>
                <w:color w:val="000000"/>
                <w:highlight w:val="none"/>
                <w:lang w:val="en-US" w:eastAsia="zh-CN"/>
              </w:rPr>
              <w:t>9</w:t>
            </w:r>
          </w:p>
        </w:tc>
        <w:tc>
          <w:tcPr>
            <w:tcW w:w="6096" w:type="dxa"/>
            <w:noWrap w:val="0"/>
            <w:vAlign w:val="center"/>
          </w:tcPr>
          <w:p w14:paraId="3C042D54">
            <w:pPr>
              <w:spacing w:line="360" w:lineRule="auto"/>
              <w:rPr>
                <w:color w:val="000000"/>
                <w:highlight w:val="none"/>
              </w:rPr>
            </w:pPr>
            <w:r>
              <w:rPr>
                <w:rFonts w:hint="eastAsia"/>
                <w:color w:val="000000"/>
                <w:highlight w:val="none"/>
              </w:rPr>
              <w:t>无招标文件、法律、法规规定的其他否决投标条件。</w:t>
            </w:r>
          </w:p>
        </w:tc>
        <w:tc>
          <w:tcPr>
            <w:tcW w:w="1134" w:type="dxa"/>
            <w:noWrap w:val="0"/>
            <w:vAlign w:val="top"/>
          </w:tcPr>
          <w:p w14:paraId="2606D347">
            <w:pPr>
              <w:rPr>
                <w:color w:val="000000"/>
                <w:highlight w:val="none"/>
              </w:rPr>
            </w:pPr>
          </w:p>
        </w:tc>
        <w:tc>
          <w:tcPr>
            <w:tcW w:w="1098" w:type="dxa"/>
            <w:vMerge w:val="continue"/>
            <w:noWrap w:val="0"/>
            <w:vAlign w:val="center"/>
          </w:tcPr>
          <w:p w14:paraId="47D74159">
            <w:pPr>
              <w:rPr>
                <w:color w:val="000000"/>
                <w:highlight w:val="none"/>
              </w:rPr>
            </w:pPr>
          </w:p>
        </w:tc>
      </w:tr>
    </w:tbl>
    <w:p w14:paraId="67C2D34C">
      <w:pPr>
        <w:jc w:val="left"/>
        <w:rPr>
          <w:color w:val="000000"/>
          <w:highlight w:val="none"/>
        </w:rPr>
      </w:pPr>
    </w:p>
    <w:p w14:paraId="329FE656">
      <w:pPr>
        <w:jc w:val="left"/>
        <w:rPr>
          <w:rFonts w:ascii="宋体" w:hAnsi="宋体"/>
          <w:color w:val="000000"/>
          <w:highlight w:val="none"/>
        </w:rPr>
        <w:sectPr>
          <w:pgSz w:w="11905" w:h="16838"/>
          <w:pgMar w:top="1304" w:right="1417" w:bottom="1304" w:left="1417" w:header="850" w:footer="992" w:gutter="0"/>
          <w:pgNumType w:fmt="decimal"/>
          <w:cols w:space="720" w:num="1"/>
          <w:docGrid w:linePitch="319" w:charSpace="0"/>
        </w:sectPr>
      </w:pPr>
      <w:r>
        <w:rPr>
          <w:rFonts w:hint="eastAsia"/>
          <w:color w:val="000000"/>
          <w:highlight w:val="none"/>
        </w:rPr>
        <w:t>注：评审结果填写合格打√，不合格打</w:t>
      </w:r>
      <w:r>
        <w:rPr>
          <w:color w:val="000000"/>
          <w:highlight w:val="none"/>
        </w:rPr>
        <w:t>×</w:t>
      </w:r>
      <w:r>
        <w:rPr>
          <w:rFonts w:hint="eastAsia"/>
          <w:color w:val="000000"/>
          <w:highlight w:val="none"/>
        </w:rPr>
        <w:t>，凡评审结果有一项不合格者，结论为不通过。本表内容由技术评审组评审使用。</w:t>
      </w:r>
    </w:p>
    <w:p w14:paraId="15583BA4">
      <w:pPr>
        <w:keepNext/>
        <w:keepLines/>
        <w:pageBreakBefore/>
        <w:spacing w:line="360" w:lineRule="auto"/>
        <w:ind w:left="482" w:hanging="482" w:hangingChars="200"/>
        <w:outlineLvl w:val="2"/>
        <w:rPr>
          <w:b/>
          <w:bCs/>
          <w:kern w:val="0"/>
          <w:sz w:val="24"/>
          <w:szCs w:val="28"/>
        </w:rPr>
      </w:pPr>
      <w:r>
        <w:rPr>
          <w:b/>
          <w:bCs/>
          <w:kern w:val="0"/>
          <w:sz w:val="24"/>
          <w:szCs w:val="28"/>
        </w:rPr>
        <w:t>附件</w:t>
      </w:r>
      <w:r>
        <w:rPr>
          <w:rFonts w:hint="eastAsia"/>
          <w:b/>
          <w:bCs/>
          <w:kern w:val="0"/>
          <w:sz w:val="24"/>
          <w:szCs w:val="28"/>
          <w:lang w:val="en-US" w:eastAsia="zh-CN"/>
        </w:rPr>
        <w:t>三</w:t>
      </w:r>
      <w:r>
        <w:rPr>
          <w:b/>
          <w:bCs/>
          <w:kern w:val="0"/>
          <w:sz w:val="24"/>
          <w:szCs w:val="28"/>
        </w:rPr>
        <w:t>：技术文件评分表</w:t>
      </w:r>
    </w:p>
    <w:tbl>
      <w:tblPr>
        <w:tblStyle w:val="344"/>
        <w:tblW w:w="9591" w:type="dxa"/>
        <w:tblInd w:w="-2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9"/>
        <w:gridCol w:w="1091"/>
        <w:gridCol w:w="817"/>
        <w:gridCol w:w="6517"/>
        <w:gridCol w:w="557"/>
      </w:tblGrid>
      <w:tr w14:paraId="2C8DE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09" w:type="dxa"/>
            <w:tcBorders>
              <w:top w:val="single" w:color="000000" w:sz="10" w:space="0"/>
              <w:left w:val="single" w:color="000000" w:sz="10" w:space="0"/>
            </w:tcBorders>
            <w:vAlign w:val="center"/>
          </w:tcPr>
          <w:p w14:paraId="4FE23806">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序号</w:t>
            </w:r>
          </w:p>
        </w:tc>
        <w:tc>
          <w:tcPr>
            <w:tcW w:w="1091" w:type="dxa"/>
            <w:tcBorders>
              <w:top w:val="single" w:color="000000" w:sz="10" w:space="0"/>
            </w:tcBorders>
            <w:vAlign w:val="center"/>
          </w:tcPr>
          <w:p w14:paraId="5018BD7E">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评审内容</w:t>
            </w:r>
          </w:p>
        </w:tc>
        <w:tc>
          <w:tcPr>
            <w:tcW w:w="817" w:type="dxa"/>
            <w:tcBorders>
              <w:top w:val="single" w:color="000000" w:sz="10" w:space="0"/>
            </w:tcBorders>
            <w:vAlign w:val="center"/>
          </w:tcPr>
          <w:p w14:paraId="3A272546">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标准分</w:t>
            </w:r>
          </w:p>
        </w:tc>
        <w:tc>
          <w:tcPr>
            <w:tcW w:w="6517" w:type="dxa"/>
            <w:tcBorders>
              <w:top w:val="single" w:color="000000" w:sz="10" w:space="0"/>
            </w:tcBorders>
            <w:vAlign w:val="center"/>
          </w:tcPr>
          <w:p w14:paraId="7EAA7B22">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评审标准</w:t>
            </w:r>
          </w:p>
        </w:tc>
        <w:tc>
          <w:tcPr>
            <w:tcW w:w="557" w:type="dxa"/>
            <w:tcBorders>
              <w:top w:val="single" w:color="000000" w:sz="10" w:space="0"/>
              <w:right w:val="single" w:color="000000" w:sz="10" w:space="0"/>
            </w:tcBorders>
            <w:vAlign w:val="center"/>
          </w:tcPr>
          <w:p w14:paraId="0A2A5405">
            <w:pPr>
              <w:spacing w:before="0" w:after="0" w:afterAutospacing="0" w:line="400" w:lineRule="exact"/>
              <w:ind w:left="0" w:right="0" w:firstLine="0"/>
              <w:jc w:val="center"/>
              <w:rPr>
                <w:rFonts w:hint="eastAsia" w:ascii="宋体" w:hAnsi="宋体" w:eastAsia="宋体" w:cs="宋体"/>
                <w:b/>
                <w:bCs/>
                <w:snapToGrid w:val="0"/>
                <w:color w:val="auto"/>
                <w:spacing w:val="6"/>
                <w:kern w:val="0"/>
                <w:sz w:val="24"/>
                <w:szCs w:val="24"/>
                <w:highlight w:val="none"/>
                <w:lang w:val="en-US" w:eastAsia="en-US" w:bidi="ar-SA"/>
              </w:rPr>
            </w:pPr>
            <w:r>
              <w:rPr>
                <w:rFonts w:hint="eastAsia" w:ascii="宋体" w:hAnsi="宋体" w:eastAsia="宋体" w:cs="宋体"/>
                <w:b/>
                <w:bCs/>
                <w:snapToGrid w:val="0"/>
                <w:color w:val="auto"/>
                <w:spacing w:val="6"/>
                <w:kern w:val="0"/>
                <w:sz w:val="22"/>
                <w:szCs w:val="22"/>
                <w:highlight w:val="none"/>
                <w:lang w:val="en-US" w:eastAsia="en-US" w:bidi="ar-SA"/>
              </w:rPr>
              <w:t>得分</w:t>
            </w:r>
          </w:p>
        </w:tc>
      </w:tr>
      <w:tr w14:paraId="6AC36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2" w:hRule="atLeast"/>
        </w:trPr>
        <w:tc>
          <w:tcPr>
            <w:tcW w:w="609" w:type="dxa"/>
            <w:tcBorders>
              <w:left w:val="single" w:color="000000" w:sz="10" w:space="0"/>
            </w:tcBorders>
            <w:vAlign w:val="center"/>
          </w:tcPr>
          <w:p w14:paraId="591611C4">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1</w:t>
            </w:r>
          </w:p>
        </w:tc>
        <w:tc>
          <w:tcPr>
            <w:tcW w:w="1091" w:type="dxa"/>
            <w:vAlign w:val="center"/>
          </w:tcPr>
          <w:p w14:paraId="46F73CE7">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spacing w:val="8"/>
                <w:kern w:val="0"/>
                <w:sz w:val="24"/>
                <w:szCs w:val="24"/>
                <w:highlight w:val="none"/>
                <w:lang w:val="en-US" w:eastAsia="en-US" w:bidi="ar-SA"/>
              </w:rPr>
            </w:pPr>
            <w:r>
              <w:rPr>
                <w:rFonts w:ascii="Times New Roman" w:hAnsi="Times New Roman" w:cs="Times New Roman"/>
                <w:color w:val="auto"/>
                <w:highlight w:val="none"/>
                <w:lang w:val="zh-CN"/>
              </w:rPr>
              <w:t>售后服务方案</w:t>
            </w:r>
          </w:p>
        </w:tc>
        <w:tc>
          <w:tcPr>
            <w:tcW w:w="817" w:type="dxa"/>
            <w:vAlign w:val="center"/>
          </w:tcPr>
          <w:p w14:paraId="134F78B8">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spacing w:val="1"/>
                <w:kern w:val="0"/>
                <w:sz w:val="21"/>
                <w:szCs w:val="21"/>
                <w:highlight w:val="none"/>
                <w:lang w:val="en-US" w:eastAsia="zh-CN" w:bidi="ar-SA"/>
              </w:rPr>
            </w:pPr>
            <w:r>
              <w:rPr>
                <w:rFonts w:hint="eastAsia" w:ascii="宋体" w:hAnsi="宋体" w:cs="宋体"/>
                <w:snapToGrid w:val="0"/>
                <w:color w:val="auto"/>
                <w:spacing w:val="1"/>
                <w:kern w:val="0"/>
                <w:sz w:val="21"/>
                <w:szCs w:val="21"/>
                <w:highlight w:val="none"/>
                <w:lang w:val="en-US" w:eastAsia="zh-CN" w:bidi="ar-SA"/>
              </w:rPr>
              <w:t>8</w:t>
            </w:r>
            <w:r>
              <w:rPr>
                <w:rFonts w:hint="eastAsia" w:ascii="宋体" w:hAnsi="宋体" w:eastAsia="宋体" w:cs="宋体"/>
                <w:snapToGrid w:val="0"/>
                <w:color w:val="auto"/>
                <w:spacing w:val="1"/>
                <w:kern w:val="0"/>
                <w:sz w:val="21"/>
                <w:szCs w:val="21"/>
                <w:highlight w:val="none"/>
                <w:lang w:val="en-US" w:eastAsia="zh-CN" w:bidi="ar-SA"/>
              </w:rPr>
              <w:t>分</w:t>
            </w:r>
          </w:p>
        </w:tc>
        <w:tc>
          <w:tcPr>
            <w:tcW w:w="6517" w:type="dxa"/>
            <w:vAlign w:val="top"/>
          </w:tcPr>
          <w:p w14:paraId="5DAC76B2">
            <w:pPr>
              <w:wordWrap w:val="0"/>
              <w:spacing w:before="0" w:beforeLines="0" w:after="0" w:afterLines="-2147483648" w:afterAutospacing="0" w:line="360" w:lineRule="auto"/>
              <w:ind w:left="0" w:right="0" w:firstLine="0"/>
              <w:jc w:val="left"/>
              <w:textAlignment w:val="top"/>
              <w:rPr>
                <w:rFonts w:ascii="Times New Roman" w:hAnsi="Times New Roman" w:cs="Times New Roman"/>
                <w:color w:val="auto"/>
                <w:highlight w:val="none"/>
                <w:lang w:val="zh-CN"/>
              </w:rPr>
            </w:pPr>
            <w:r>
              <w:rPr>
                <w:rFonts w:ascii="Times New Roman" w:hAnsi="Times New Roman" w:cs="Times New Roman"/>
                <w:color w:val="auto"/>
                <w:highlight w:val="none"/>
                <w:lang w:val="zh-CN"/>
              </w:rPr>
              <w:t>根据投标人提供的售后服务方案进行综合评审。售后服务方案</w:t>
            </w:r>
            <w:r>
              <w:rPr>
                <w:rFonts w:hint="default" w:ascii="Times New Roman" w:hAnsi="Times New Roman" w:cs="Times New Roman"/>
                <w:color w:val="auto"/>
                <w:highlight w:val="none"/>
                <w:lang w:val="zh-CN" w:eastAsia="zh-CN"/>
              </w:rPr>
              <w:t>包括但不限于：</w:t>
            </w:r>
            <w:r>
              <w:rPr>
                <w:rFonts w:ascii="Times New Roman" w:hAnsi="Times New Roman" w:cs="Times New Roman"/>
                <w:color w:val="auto"/>
                <w:highlight w:val="none"/>
                <w:lang w:val="zh-CN"/>
              </w:rPr>
              <w:t>服务响应时间、服务人员配备、服务便利程度</w:t>
            </w:r>
            <w:r>
              <w:rPr>
                <w:rFonts w:hint="default" w:ascii="Times New Roman" w:hAnsi="Times New Roman" w:cs="Times New Roman"/>
                <w:color w:val="auto"/>
                <w:highlight w:val="none"/>
                <w:lang w:val="zh-CN"/>
              </w:rPr>
              <w:t>、</w:t>
            </w:r>
            <w:r>
              <w:rPr>
                <w:rFonts w:ascii="Times New Roman" w:hAnsi="Times New Roman" w:cs="Times New Roman"/>
                <w:color w:val="auto"/>
                <w:highlight w:val="none"/>
                <w:lang w:val="zh-CN"/>
              </w:rPr>
              <w:t>服务承诺等。</w:t>
            </w:r>
          </w:p>
          <w:p w14:paraId="0D9D98B0">
            <w:pPr>
              <w:wordWrap w:val="0"/>
              <w:spacing w:before="0" w:beforeLines="0" w:after="0" w:afterLines="-2147483648" w:afterAutospacing="0" w:line="360" w:lineRule="auto"/>
              <w:ind w:left="0" w:right="0" w:firstLine="0"/>
              <w:jc w:val="left"/>
              <w:textAlignment w:val="top"/>
              <w:rPr>
                <w:rFonts w:ascii="Times New Roman" w:hAnsi="Times New Roman" w:cs="Times New Roman"/>
                <w:color w:val="auto"/>
                <w:highlight w:val="none"/>
                <w:lang w:val="zh-CN"/>
              </w:rPr>
            </w:pPr>
            <w:r>
              <w:rPr>
                <w:rFonts w:ascii="Times New Roman" w:hAnsi="Times New Roman" w:cs="Times New Roman"/>
                <w:color w:val="auto"/>
                <w:highlight w:val="none"/>
                <w:lang w:val="zh-CN"/>
              </w:rPr>
              <w:t>优</w:t>
            </w:r>
            <w:r>
              <w:rPr>
                <w:rFonts w:hint="eastAsia" w:cs="Times New Roman"/>
                <w:color w:val="auto"/>
                <w:highlight w:val="none"/>
                <w:lang w:val="en-US" w:eastAsia="zh-CN"/>
              </w:rPr>
              <w:t>(5</w:t>
            </w:r>
            <w:r>
              <w:rPr>
                <w:rFonts w:ascii="Times New Roman" w:hAnsi="Times New Roman" w:cs="Times New Roman"/>
                <w:color w:val="auto"/>
                <w:highlight w:val="none"/>
                <w:lang w:val="zh-CN"/>
              </w:rPr>
              <w:t>-</w:t>
            </w:r>
            <w:r>
              <w:rPr>
                <w:rFonts w:hint="eastAsia" w:cs="Times New Roman"/>
                <w:color w:val="auto"/>
                <w:highlight w:val="none"/>
                <w:lang w:val="en-US" w:eastAsia="zh-CN"/>
              </w:rPr>
              <w:t>8]</w:t>
            </w:r>
            <w:r>
              <w:rPr>
                <w:rFonts w:ascii="Times New Roman" w:hAnsi="Times New Roman" w:cs="Times New Roman"/>
                <w:color w:val="auto"/>
                <w:highlight w:val="none"/>
                <w:lang w:val="zh-CN"/>
              </w:rPr>
              <w:t>分）：响应及时，售后服务方案内容详细、全面、合理、具有很强的可行性及针对性，服务人员配备充足，服务便利较好，服务承诺全面；</w:t>
            </w:r>
          </w:p>
          <w:p w14:paraId="22EBCA68">
            <w:pPr>
              <w:wordWrap w:val="0"/>
              <w:spacing w:before="0" w:beforeLines="0" w:after="0" w:afterLines="-2147483648" w:afterAutospacing="0" w:line="360" w:lineRule="auto"/>
              <w:ind w:left="0" w:right="0" w:firstLine="0"/>
              <w:jc w:val="left"/>
              <w:textAlignment w:val="top"/>
              <w:rPr>
                <w:rFonts w:ascii="Times New Roman" w:hAnsi="Times New Roman" w:cs="Times New Roman"/>
                <w:color w:val="auto"/>
                <w:highlight w:val="none"/>
                <w:lang w:val="zh-CN"/>
              </w:rPr>
            </w:pPr>
            <w:r>
              <w:rPr>
                <w:rFonts w:ascii="Times New Roman" w:hAnsi="Times New Roman" w:cs="Times New Roman"/>
                <w:color w:val="auto"/>
                <w:highlight w:val="none"/>
                <w:lang w:val="zh-CN"/>
              </w:rPr>
              <w:t>中（</w:t>
            </w:r>
            <w:r>
              <w:rPr>
                <w:rFonts w:hint="eastAsia" w:cs="Times New Roman"/>
                <w:color w:val="auto"/>
                <w:highlight w:val="none"/>
                <w:lang w:val="en-US" w:eastAsia="zh-CN"/>
              </w:rPr>
              <w:t>2-5]</w:t>
            </w:r>
            <w:r>
              <w:rPr>
                <w:rFonts w:ascii="Times New Roman" w:hAnsi="Times New Roman" w:cs="Times New Roman"/>
                <w:color w:val="auto"/>
                <w:highlight w:val="none"/>
                <w:lang w:val="zh-CN"/>
              </w:rPr>
              <w:t>分：响应时间基本满足要求，售后服务方案内容欠佳、基本合理、具有一定的可行性及针对性，服务人员配备较充足，服务便利性一般，服务承诺较全面；</w:t>
            </w:r>
          </w:p>
          <w:p w14:paraId="66375215">
            <w:pPr>
              <w:wordWrap w:val="0"/>
              <w:spacing w:before="0" w:beforeLines="0" w:after="0" w:afterLines="-2147483648" w:afterAutospacing="0" w:line="360" w:lineRule="auto"/>
              <w:ind w:left="0" w:right="0" w:firstLine="0"/>
              <w:jc w:val="left"/>
              <w:textAlignment w:val="top"/>
              <w:rPr>
                <w:rFonts w:hint="eastAsia" w:ascii="宋体" w:hAnsi="宋体" w:eastAsia="宋体" w:cs="宋体"/>
                <w:snapToGrid w:val="0"/>
                <w:color w:val="auto"/>
                <w:spacing w:val="-30"/>
                <w:kern w:val="0"/>
                <w:sz w:val="24"/>
                <w:szCs w:val="24"/>
                <w:highlight w:val="none"/>
                <w:lang w:val="en-US" w:eastAsia="en-US" w:bidi="ar-SA"/>
              </w:rPr>
            </w:pPr>
            <w:r>
              <w:rPr>
                <w:rFonts w:ascii="Times New Roman" w:hAnsi="Times New Roman" w:cs="Times New Roman"/>
                <w:color w:val="auto"/>
                <w:highlight w:val="none"/>
                <w:lang w:val="zh-CN"/>
              </w:rPr>
              <w:t>差（0-</w:t>
            </w:r>
            <w:r>
              <w:rPr>
                <w:rFonts w:hint="eastAsia" w:cs="Times New Roman"/>
                <w:color w:val="auto"/>
                <w:highlight w:val="none"/>
                <w:lang w:val="en-US" w:eastAsia="zh-CN"/>
              </w:rPr>
              <w:t>2]</w:t>
            </w:r>
            <w:r>
              <w:rPr>
                <w:rFonts w:ascii="Times New Roman" w:hAnsi="Times New Roman" w:cs="Times New Roman"/>
                <w:color w:val="auto"/>
                <w:highlight w:val="none"/>
                <w:lang w:val="zh-CN"/>
              </w:rPr>
              <w:t>分：响应不及时，售后服务方案内容较差、无针对性，服务人员配备不足，服务便利性较差，服务承诺较差。</w:t>
            </w:r>
          </w:p>
        </w:tc>
        <w:tc>
          <w:tcPr>
            <w:tcW w:w="557" w:type="dxa"/>
            <w:tcBorders>
              <w:right w:val="single" w:color="000000" w:sz="10" w:space="0"/>
            </w:tcBorders>
            <w:vAlign w:val="top"/>
          </w:tcPr>
          <w:p w14:paraId="552A1148">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kern w:val="0"/>
                <w:sz w:val="24"/>
                <w:szCs w:val="24"/>
                <w:highlight w:val="none"/>
                <w:lang w:eastAsia="en-US"/>
              </w:rPr>
            </w:pPr>
          </w:p>
        </w:tc>
      </w:tr>
      <w:tr w14:paraId="28D42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09" w:type="dxa"/>
            <w:tcBorders>
              <w:left w:val="single" w:color="000000" w:sz="10" w:space="0"/>
            </w:tcBorders>
            <w:vAlign w:val="center"/>
          </w:tcPr>
          <w:p w14:paraId="3C325137">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2</w:t>
            </w:r>
          </w:p>
        </w:tc>
        <w:tc>
          <w:tcPr>
            <w:tcW w:w="1091" w:type="dxa"/>
            <w:vAlign w:val="center"/>
          </w:tcPr>
          <w:p w14:paraId="6AD01217">
            <w:pPr>
              <w:kinsoku/>
              <w:autoSpaceDE w:val="0"/>
              <w:autoSpaceDN w:val="0"/>
              <w:adjustRightInd/>
              <w:snapToGrid/>
              <w:spacing w:before="0" w:after="0" w:afterAutospacing="0" w:line="400" w:lineRule="exact"/>
              <w:ind w:left="0" w:right="0" w:firstLine="0"/>
              <w:jc w:val="center"/>
              <w:textAlignment w:val="auto"/>
              <w:rPr>
                <w:rFonts w:ascii="Times New Roman" w:hAnsi="Times New Roman" w:cs="Times New Roman"/>
                <w:color w:val="auto"/>
                <w:highlight w:val="none"/>
                <w:lang w:val="zh-CN"/>
              </w:rPr>
            </w:pPr>
            <w:r>
              <w:rPr>
                <w:rFonts w:ascii="Times New Roman" w:hAnsi="Times New Roman" w:cs="Times New Roman"/>
                <w:color w:val="auto"/>
                <w:highlight w:val="none"/>
                <w:lang w:val="zh-CN"/>
              </w:rPr>
              <w:t>应急供货服务方案</w:t>
            </w:r>
          </w:p>
        </w:tc>
        <w:tc>
          <w:tcPr>
            <w:tcW w:w="817" w:type="dxa"/>
            <w:vAlign w:val="center"/>
          </w:tcPr>
          <w:p w14:paraId="5768725B">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cs="宋体"/>
                <w:snapToGrid w:val="0"/>
                <w:color w:val="auto"/>
                <w:spacing w:val="1"/>
                <w:kern w:val="0"/>
                <w:sz w:val="21"/>
                <w:szCs w:val="21"/>
                <w:highlight w:val="none"/>
                <w:lang w:val="en-US" w:eastAsia="zh-CN" w:bidi="ar-SA"/>
              </w:rPr>
              <w:t>6分</w:t>
            </w:r>
          </w:p>
        </w:tc>
        <w:tc>
          <w:tcPr>
            <w:tcW w:w="6517" w:type="dxa"/>
            <w:vAlign w:val="top"/>
          </w:tcPr>
          <w:p w14:paraId="7EB79DA9">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根据投标人提供的应急供货服务方案</w:t>
            </w:r>
            <w:r>
              <w:rPr>
                <w:rFonts w:hint="default" w:ascii="Times New Roman" w:hAnsi="Times New Roman" w:eastAsia="宋体" w:cs="Times New Roman"/>
                <w:i w:val="0"/>
                <w:iCs w:val="0"/>
                <w:color w:val="auto"/>
                <w:kern w:val="2"/>
                <w:sz w:val="21"/>
                <w:szCs w:val="24"/>
                <w:highlight w:val="none"/>
                <w:u w:val="none"/>
                <w:lang w:val="zh-CN" w:eastAsia="zh-CN" w:bidi="ar"/>
              </w:rPr>
              <w:t>（如验收不合格、</w:t>
            </w:r>
            <w:r>
              <w:rPr>
                <w:rFonts w:hint="eastAsia" w:cs="Times New Roman"/>
                <w:i w:val="0"/>
                <w:iCs w:val="0"/>
                <w:color w:val="auto"/>
                <w:kern w:val="0"/>
                <w:sz w:val="21"/>
                <w:szCs w:val="21"/>
                <w:highlight w:val="none"/>
                <w:u w:val="none"/>
                <w:lang w:val="en-US" w:eastAsia="zh-CN" w:bidi="ar"/>
              </w:rPr>
              <w:t>钢筋</w:t>
            </w:r>
            <w:r>
              <w:rPr>
                <w:rFonts w:hint="default" w:ascii="Times New Roman" w:hAnsi="Times New Roman" w:eastAsia="宋体" w:cs="Times New Roman"/>
                <w:i w:val="0"/>
                <w:iCs w:val="0"/>
                <w:color w:val="auto"/>
                <w:kern w:val="2"/>
                <w:sz w:val="21"/>
                <w:szCs w:val="24"/>
                <w:highlight w:val="none"/>
                <w:u w:val="none"/>
                <w:lang w:val="zh-CN" w:eastAsia="zh-CN" w:bidi="ar"/>
              </w:rPr>
              <w:t>供应紧张等特殊情况）</w:t>
            </w:r>
            <w:r>
              <w:rPr>
                <w:rFonts w:ascii="Times New Roman" w:hAnsi="Times New Roman" w:cs="Times New Roman"/>
                <w:color w:val="auto"/>
                <w:highlight w:val="none"/>
                <w:u w:val="none"/>
                <w:lang w:val="zh-CN" w:bidi="ar"/>
              </w:rPr>
              <w:t>内容的详细性、全面性、可行性、合理性、针对性等进行综合评审。</w:t>
            </w:r>
          </w:p>
          <w:p w14:paraId="4563BDB8">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优（</w:t>
            </w:r>
            <w:r>
              <w:rPr>
                <w:rFonts w:hint="eastAsia" w:cs="Times New Roman"/>
                <w:color w:val="auto"/>
                <w:highlight w:val="none"/>
                <w:u w:val="none"/>
                <w:lang w:val="en-US" w:eastAsia="zh-CN" w:bidi="ar"/>
              </w:rPr>
              <w:t>4</w:t>
            </w:r>
            <w:r>
              <w:rPr>
                <w:rFonts w:ascii="Times New Roman" w:hAnsi="Times New Roman" w:cs="Times New Roman"/>
                <w:color w:val="auto"/>
                <w:highlight w:val="none"/>
                <w:u w:val="none"/>
                <w:lang w:val="zh-CN" w:bidi="ar"/>
              </w:rPr>
              <w:t>-</w:t>
            </w:r>
            <w:r>
              <w:rPr>
                <w:rFonts w:hint="eastAsia" w:cs="Times New Roman"/>
                <w:color w:val="auto"/>
                <w:highlight w:val="none"/>
                <w:u w:val="none"/>
                <w:lang w:val="en-US" w:eastAsia="zh-CN" w:bidi="ar"/>
              </w:rPr>
              <w:t>6]</w:t>
            </w:r>
            <w:r>
              <w:rPr>
                <w:rFonts w:ascii="Times New Roman" w:hAnsi="Times New Roman" w:cs="Times New Roman"/>
                <w:color w:val="auto"/>
                <w:highlight w:val="none"/>
                <w:u w:val="none"/>
                <w:lang w:val="zh-CN" w:bidi="ar"/>
              </w:rPr>
              <w:t>分：应急供货服务方案内容详细、全面、合理、具有很强的可行性及针对性；</w:t>
            </w:r>
          </w:p>
          <w:p w14:paraId="57FED5A9">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中（</w:t>
            </w:r>
            <w:r>
              <w:rPr>
                <w:rFonts w:hint="eastAsia" w:cs="Times New Roman"/>
                <w:color w:val="auto"/>
                <w:highlight w:val="none"/>
                <w:u w:val="none"/>
                <w:lang w:val="en-US" w:eastAsia="zh-CN" w:bidi="ar"/>
              </w:rPr>
              <w:t>2</w:t>
            </w:r>
            <w:r>
              <w:rPr>
                <w:rFonts w:hint="default" w:cs="Times New Roman"/>
                <w:color w:val="auto"/>
                <w:highlight w:val="none"/>
                <w:u w:val="none"/>
                <w:lang w:val="zh-CN" w:eastAsia="zh-CN" w:bidi="ar"/>
              </w:rPr>
              <w:t>-</w:t>
            </w:r>
            <w:r>
              <w:rPr>
                <w:rFonts w:hint="eastAsia" w:cs="Times New Roman"/>
                <w:color w:val="auto"/>
                <w:highlight w:val="none"/>
                <w:u w:val="none"/>
                <w:lang w:val="en-US" w:eastAsia="zh-CN" w:bidi="ar"/>
              </w:rPr>
              <w:t>4]</w:t>
            </w:r>
            <w:r>
              <w:rPr>
                <w:rFonts w:ascii="Times New Roman" w:hAnsi="Times New Roman" w:cs="Times New Roman"/>
                <w:color w:val="auto"/>
                <w:highlight w:val="none"/>
                <w:u w:val="none"/>
                <w:lang w:val="zh-CN" w:bidi="ar"/>
              </w:rPr>
              <w:t>分：应急供货服务方案内容欠佳、基本合理、具有一定的可行性及针对性；</w:t>
            </w:r>
          </w:p>
          <w:p w14:paraId="3C9AADBB">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lang w:val="zh-CN"/>
              </w:rPr>
            </w:pPr>
            <w:r>
              <w:rPr>
                <w:rFonts w:ascii="Times New Roman" w:hAnsi="Times New Roman" w:cs="Times New Roman"/>
                <w:color w:val="auto"/>
                <w:highlight w:val="none"/>
                <w:u w:val="none"/>
                <w:lang w:val="zh-CN" w:bidi="ar"/>
              </w:rPr>
              <w:t>差（0-</w:t>
            </w:r>
            <w:r>
              <w:rPr>
                <w:rFonts w:hint="default" w:cs="Times New Roman"/>
                <w:color w:val="auto"/>
                <w:highlight w:val="none"/>
                <w:u w:val="none"/>
                <w:lang w:val="zh-CN" w:eastAsia="zh-CN" w:bidi="ar"/>
              </w:rPr>
              <w:t>2</w:t>
            </w:r>
            <w:r>
              <w:rPr>
                <w:rFonts w:hint="eastAsia" w:cs="Times New Roman"/>
                <w:color w:val="auto"/>
                <w:highlight w:val="none"/>
                <w:u w:val="none"/>
                <w:lang w:val="en-US" w:eastAsia="zh-CN" w:bidi="ar"/>
              </w:rPr>
              <w:t>]</w:t>
            </w:r>
            <w:r>
              <w:rPr>
                <w:rFonts w:ascii="Times New Roman" w:hAnsi="Times New Roman" w:cs="Times New Roman"/>
                <w:color w:val="auto"/>
                <w:highlight w:val="none"/>
                <w:u w:val="none"/>
                <w:lang w:val="zh-CN" w:bidi="ar"/>
              </w:rPr>
              <w:t>分：应急供货服务方案内容较差、合理性及可行性较差，不具有针对性。</w:t>
            </w:r>
          </w:p>
        </w:tc>
        <w:tc>
          <w:tcPr>
            <w:tcW w:w="557" w:type="dxa"/>
            <w:tcBorders>
              <w:right w:val="single" w:color="000000" w:sz="10" w:space="0"/>
            </w:tcBorders>
            <w:vAlign w:val="top"/>
          </w:tcPr>
          <w:p w14:paraId="3463CB10">
            <w:pPr>
              <w:kinsoku/>
              <w:autoSpaceDE w:val="0"/>
              <w:autoSpaceDN w:val="0"/>
              <w:adjustRightInd/>
              <w:snapToGrid/>
              <w:spacing w:before="0" w:after="0" w:afterAutospacing="0" w:line="400" w:lineRule="exact"/>
              <w:ind w:left="0" w:right="0" w:firstLine="0"/>
              <w:jc w:val="center"/>
              <w:textAlignment w:val="auto"/>
              <w:rPr>
                <w:rFonts w:hint="eastAsia" w:ascii="宋体" w:hAnsi="宋体" w:cs="宋体"/>
                <w:snapToGrid w:val="0"/>
                <w:color w:val="auto"/>
                <w:kern w:val="0"/>
                <w:sz w:val="24"/>
                <w:szCs w:val="24"/>
                <w:highlight w:val="none"/>
                <w:lang w:val="en-US" w:eastAsia="zh-CN"/>
              </w:rPr>
            </w:pPr>
          </w:p>
        </w:tc>
      </w:tr>
      <w:tr w14:paraId="3BE9B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7" w:hRule="atLeast"/>
        </w:trPr>
        <w:tc>
          <w:tcPr>
            <w:tcW w:w="609" w:type="dxa"/>
            <w:tcBorders>
              <w:left w:val="single" w:color="000000" w:sz="10" w:space="0"/>
            </w:tcBorders>
            <w:vAlign w:val="center"/>
          </w:tcPr>
          <w:p w14:paraId="228AE18D">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p>
        </w:tc>
        <w:tc>
          <w:tcPr>
            <w:tcW w:w="1091" w:type="dxa"/>
            <w:vAlign w:val="center"/>
          </w:tcPr>
          <w:p w14:paraId="020D86B7">
            <w:pPr>
              <w:kinsoku/>
              <w:autoSpaceDE w:val="0"/>
              <w:autoSpaceDN w:val="0"/>
              <w:adjustRightInd/>
              <w:snapToGrid/>
              <w:spacing w:before="0" w:after="0" w:afterAutospacing="0" w:line="400" w:lineRule="exact"/>
              <w:ind w:left="0" w:right="0" w:firstLine="0"/>
              <w:jc w:val="center"/>
              <w:textAlignment w:val="auto"/>
              <w:rPr>
                <w:rFonts w:ascii="Times New Roman" w:hAnsi="Times New Roman" w:cs="Times New Roman"/>
                <w:color w:val="auto"/>
                <w:highlight w:val="none"/>
                <w:lang w:val="zh-CN"/>
              </w:rPr>
            </w:pPr>
            <w:r>
              <w:rPr>
                <w:rFonts w:hint="default" w:ascii="Times New Roman" w:hAnsi="Times New Roman" w:eastAsia="宋体" w:cs="Times New Roman"/>
                <w:i w:val="0"/>
                <w:iCs w:val="0"/>
                <w:color w:val="auto"/>
                <w:kern w:val="0"/>
                <w:sz w:val="21"/>
                <w:szCs w:val="21"/>
                <w:highlight w:val="none"/>
                <w:u w:val="none"/>
                <w:lang w:val="zh-CN" w:eastAsia="zh-CN" w:bidi="ar"/>
              </w:rPr>
              <w:t>质量保证措施、安全保证措施</w:t>
            </w:r>
          </w:p>
        </w:tc>
        <w:tc>
          <w:tcPr>
            <w:tcW w:w="817" w:type="dxa"/>
            <w:vAlign w:val="center"/>
          </w:tcPr>
          <w:p w14:paraId="557D3807">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cs="宋体"/>
                <w:snapToGrid w:val="0"/>
                <w:color w:val="auto"/>
                <w:spacing w:val="1"/>
                <w:kern w:val="0"/>
                <w:sz w:val="21"/>
                <w:szCs w:val="21"/>
                <w:highlight w:val="none"/>
                <w:lang w:val="en-US" w:eastAsia="zh-CN" w:bidi="ar-SA"/>
              </w:rPr>
              <w:t>6分</w:t>
            </w:r>
          </w:p>
        </w:tc>
        <w:tc>
          <w:tcPr>
            <w:tcW w:w="6517" w:type="dxa"/>
            <w:shd w:val="clear" w:color="auto" w:fill="auto"/>
            <w:vAlign w:val="center"/>
          </w:tcPr>
          <w:p w14:paraId="42339270">
            <w:pPr>
              <w:wordWrap w:val="0"/>
              <w:spacing w:before="0" w:beforeLines="-2147483648" w:after="0" w:afterLines="-2147483648" w:afterAutospacing="0" w:line="360" w:lineRule="auto"/>
              <w:ind w:left="0" w:right="0" w:firstLine="0"/>
              <w:jc w:val="left"/>
              <w:textAlignment w:val="auto"/>
              <w:rPr>
                <w:rFonts w:hint="eastAsia" w:ascii="Times New Roman" w:hAnsi="Times New Roman" w:cs="Times New Roman"/>
                <w:i w:val="0"/>
                <w:iCs w:val="0"/>
                <w:color w:val="auto"/>
                <w:kern w:val="0"/>
                <w:sz w:val="21"/>
                <w:szCs w:val="21"/>
                <w:highlight w:val="none"/>
                <w:u w:val="none"/>
                <w:lang w:val="zh-CN" w:eastAsia="zh-CN" w:bidi="ar"/>
              </w:rPr>
            </w:pPr>
            <w:r>
              <w:rPr>
                <w:rFonts w:hint="eastAsia" w:ascii="宋体" w:hAnsi="宋体" w:eastAsia="宋体" w:cs="宋体"/>
                <w:i w:val="0"/>
                <w:iCs w:val="0"/>
                <w:color w:val="auto"/>
                <w:kern w:val="0"/>
                <w:sz w:val="21"/>
                <w:szCs w:val="21"/>
                <w:highlight w:val="none"/>
                <w:u w:val="none"/>
                <w:lang w:val="en-US" w:eastAsia="zh-CN" w:bidi="ar"/>
              </w:rPr>
              <w:t>根据</w:t>
            </w:r>
            <w:r>
              <w:rPr>
                <w:rFonts w:hint="default" w:ascii="Times New Roman" w:hAnsi="Times New Roman" w:eastAsia="宋体" w:cs="Times New Roman"/>
                <w:i w:val="0"/>
                <w:iCs w:val="0"/>
                <w:color w:val="auto"/>
                <w:kern w:val="0"/>
                <w:sz w:val="21"/>
                <w:szCs w:val="21"/>
                <w:highlight w:val="none"/>
                <w:u w:val="none"/>
                <w:lang w:val="zh-CN" w:eastAsia="zh-CN" w:bidi="ar"/>
              </w:rPr>
              <w:t>投标人提供的质量保证措施、安全保证措施</w:t>
            </w:r>
            <w:r>
              <w:rPr>
                <w:rFonts w:ascii="Times New Roman" w:hAnsi="Times New Roman" w:cs="Times New Roman"/>
                <w:color w:val="auto"/>
                <w:highlight w:val="none"/>
                <w:u w:val="none"/>
                <w:lang w:val="zh-CN" w:bidi="ar"/>
              </w:rPr>
              <w:t>等进行综合评审</w:t>
            </w:r>
            <w:r>
              <w:rPr>
                <w:rFonts w:hint="eastAsia" w:ascii="Times New Roman" w:hAnsi="Times New Roman" w:cs="Times New Roman"/>
                <w:i w:val="0"/>
                <w:iCs w:val="0"/>
                <w:color w:val="auto"/>
                <w:kern w:val="0"/>
                <w:sz w:val="21"/>
                <w:szCs w:val="21"/>
                <w:highlight w:val="none"/>
                <w:u w:val="none"/>
                <w:lang w:val="zh-CN" w:eastAsia="zh-CN" w:bidi="ar"/>
              </w:rPr>
              <w:t>。</w:t>
            </w:r>
          </w:p>
          <w:p w14:paraId="625A1BEA">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优（</w:t>
            </w:r>
            <w:r>
              <w:rPr>
                <w:rFonts w:hint="eastAsia" w:cs="Times New Roman"/>
                <w:color w:val="auto"/>
                <w:highlight w:val="none"/>
                <w:u w:val="none"/>
                <w:lang w:val="en-US" w:eastAsia="zh-CN" w:bidi="ar"/>
              </w:rPr>
              <w:t>4-6]</w:t>
            </w:r>
            <w:r>
              <w:rPr>
                <w:rFonts w:ascii="Times New Roman" w:hAnsi="Times New Roman" w:cs="Times New Roman"/>
                <w:color w:val="auto"/>
                <w:highlight w:val="none"/>
                <w:u w:val="none"/>
                <w:lang w:val="zh-CN" w:bidi="ar"/>
              </w:rPr>
              <w:t>分：</w:t>
            </w:r>
            <w:r>
              <w:rPr>
                <w:rFonts w:hint="default" w:ascii="Times New Roman" w:hAnsi="Times New Roman" w:eastAsia="宋体" w:cs="Times New Roman"/>
                <w:i w:val="0"/>
                <w:iCs w:val="0"/>
                <w:color w:val="auto"/>
                <w:kern w:val="0"/>
                <w:sz w:val="21"/>
                <w:szCs w:val="21"/>
                <w:highlight w:val="none"/>
                <w:u w:val="none"/>
                <w:lang w:val="zh-CN" w:eastAsia="zh-CN" w:bidi="ar"/>
              </w:rPr>
              <w:t>有系统的质量管理体系、详细的质量控制流程（含检测记录、责任人）、创新性质量提升方案</w:t>
            </w:r>
            <w:r>
              <w:rPr>
                <w:rFonts w:ascii="Times New Roman" w:hAnsi="Times New Roman" w:cs="Times New Roman"/>
                <w:color w:val="auto"/>
                <w:highlight w:val="none"/>
                <w:u w:val="none"/>
                <w:lang w:val="zh-CN" w:bidi="ar"/>
              </w:rPr>
              <w:t>；</w:t>
            </w:r>
          </w:p>
          <w:p w14:paraId="6D8B4D30">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中（</w:t>
            </w:r>
            <w:r>
              <w:rPr>
                <w:rFonts w:hint="eastAsia" w:cs="Times New Roman"/>
                <w:color w:val="auto"/>
                <w:highlight w:val="none"/>
                <w:u w:val="none"/>
                <w:lang w:val="en-US" w:eastAsia="zh-CN" w:bidi="ar"/>
              </w:rPr>
              <w:t>1-4]</w:t>
            </w:r>
            <w:r>
              <w:rPr>
                <w:rFonts w:ascii="Times New Roman" w:hAnsi="Times New Roman" w:cs="Times New Roman"/>
                <w:color w:val="auto"/>
                <w:highlight w:val="none"/>
                <w:u w:val="none"/>
                <w:lang w:val="zh-CN" w:bidi="ar"/>
              </w:rPr>
              <w:t>分：</w:t>
            </w:r>
            <w:r>
              <w:rPr>
                <w:rFonts w:hint="default" w:ascii="Times New Roman" w:hAnsi="Times New Roman" w:eastAsia="宋体" w:cs="Times New Roman"/>
                <w:i w:val="0"/>
                <w:iCs w:val="0"/>
                <w:color w:val="auto"/>
                <w:kern w:val="0"/>
                <w:sz w:val="21"/>
                <w:szCs w:val="21"/>
                <w:highlight w:val="none"/>
                <w:u w:val="none"/>
                <w:lang w:val="zh-CN" w:eastAsia="zh-CN" w:bidi="ar"/>
              </w:rPr>
              <w:t>有质量管理体系、质量控制流程、质量提升方案</w:t>
            </w:r>
            <w:r>
              <w:rPr>
                <w:rFonts w:ascii="Times New Roman" w:hAnsi="Times New Roman" w:cs="Times New Roman"/>
                <w:color w:val="auto"/>
                <w:highlight w:val="none"/>
                <w:u w:val="none"/>
                <w:lang w:val="zh-CN" w:bidi="ar"/>
              </w:rPr>
              <w:t>；</w:t>
            </w:r>
          </w:p>
          <w:p w14:paraId="70306407">
            <w:pPr>
              <w:wordWrap w:val="0"/>
              <w:spacing w:before="0" w:after="0" w:afterAutospacing="0" w:line="360" w:lineRule="auto"/>
              <w:ind w:left="0" w:leftChars="0" w:right="0" w:firstLine="0" w:firstLineChars="0"/>
              <w:jc w:val="left"/>
              <w:rPr>
                <w:rFonts w:hint="eastAsia"/>
                <w:color w:val="auto"/>
                <w:highlight w:val="none"/>
                <w:lang w:val="en-US" w:eastAsia="zh-CN"/>
              </w:rPr>
            </w:pPr>
            <w:r>
              <w:rPr>
                <w:rFonts w:ascii="Times New Roman" w:hAnsi="Times New Roman" w:cs="Times New Roman"/>
                <w:color w:val="auto"/>
                <w:highlight w:val="none"/>
                <w:u w:val="none"/>
                <w:lang w:val="zh-CN" w:bidi="ar"/>
              </w:rPr>
              <w:t>差（0-</w:t>
            </w:r>
            <w:r>
              <w:rPr>
                <w:rFonts w:hint="eastAsia" w:cs="Times New Roman"/>
                <w:color w:val="auto"/>
                <w:highlight w:val="none"/>
                <w:u w:val="none"/>
                <w:lang w:val="en-US" w:eastAsia="zh-CN" w:bidi="ar"/>
              </w:rPr>
              <w:t>1]</w:t>
            </w:r>
            <w:r>
              <w:rPr>
                <w:rFonts w:ascii="Times New Roman" w:hAnsi="Times New Roman" w:cs="Times New Roman"/>
                <w:color w:val="auto"/>
                <w:highlight w:val="none"/>
                <w:u w:val="none"/>
                <w:lang w:val="zh-CN" w:bidi="ar"/>
              </w:rPr>
              <w:t>分：</w:t>
            </w:r>
            <w:r>
              <w:rPr>
                <w:rFonts w:hint="default" w:ascii="Times New Roman" w:hAnsi="Times New Roman" w:eastAsia="宋体" w:cs="Times New Roman"/>
                <w:i w:val="0"/>
                <w:iCs w:val="0"/>
                <w:color w:val="auto"/>
                <w:kern w:val="0"/>
                <w:sz w:val="21"/>
                <w:szCs w:val="21"/>
                <w:highlight w:val="none"/>
                <w:u w:val="none"/>
                <w:lang w:val="zh-CN" w:eastAsia="zh-CN" w:bidi="ar"/>
              </w:rPr>
              <w:t>质量管理体系较差、质量控制流程不细节</w:t>
            </w:r>
            <w:r>
              <w:rPr>
                <w:rFonts w:hint="eastAsia" w:ascii="宋体" w:hAnsi="宋体" w:eastAsia="宋体" w:cs="宋体"/>
                <w:i w:val="0"/>
                <w:iCs w:val="0"/>
                <w:color w:val="auto"/>
                <w:kern w:val="0"/>
                <w:sz w:val="21"/>
                <w:szCs w:val="21"/>
                <w:highlight w:val="none"/>
                <w:u w:val="none"/>
                <w:lang w:val="en-US" w:eastAsia="zh-CN" w:bidi="ar"/>
              </w:rPr>
              <w:t>。</w:t>
            </w:r>
          </w:p>
        </w:tc>
        <w:tc>
          <w:tcPr>
            <w:tcW w:w="557" w:type="dxa"/>
            <w:tcBorders>
              <w:right w:val="single" w:color="000000" w:sz="10" w:space="0"/>
            </w:tcBorders>
            <w:vAlign w:val="top"/>
          </w:tcPr>
          <w:p w14:paraId="476C62C1">
            <w:pPr>
              <w:kinsoku/>
              <w:autoSpaceDE w:val="0"/>
              <w:autoSpaceDN w:val="0"/>
              <w:adjustRightInd/>
              <w:snapToGrid/>
              <w:spacing w:before="0" w:after="0" w:afterAutospacing="0" w:line="400" w:lineRule="exact"/>
              <w:ind w:left="0" w:right="0" w:firstLine="0"/>
              <w:jc w:val="center"/>
              <w:textAlignment w:val="auto"/>
              <w:rPr>
                <w:rFonts w:hint="eastAsia" w:ascii="宋体" w:hAnsi="宋体" w:cs="宋体"/>
                <w:snapToGrid w:val="0"/>
                <w:color w:val="auto"/>
                <w:kern w:val="0"/>
                <w:sz w:val="24"/>
                <w:szCs w:val="24"/>
                <w:highlight w:val="none"/>
                <w:lang w:val="en-US" w:eastAsia="zh-CN"/>
              </w:rPr>
            </w:pPr>
          </w:p>
        </w:tc>
      </w:tr>
      <w:tr w14:paraId="7DFBF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700" w:type="dxa"/>
            <w:gridSpan w:val="2"/>
            <w:tcBorders>
              <w:left w:val="single" w:color="000000" w:sz="10" w:space="0"/>
              <w:bottom w:val="single" w:color="000000" w:sz="10" w:space="0"/>
            </w:tcBorders>
            <w:vAlign w:val="center"/>
          </w:tcPr>
          <w:p w14:paraId="261EECF1">
            <w:pPr>
              <w:kinsoku/>
              <w:wordWrap w:val="0"/>
              <w:autoSpaceDE/>
              <w:autoSpaceDN/>
              <w:adjustRightInd/>
              <w:snapToGrid/>
              <w:spacing w:before="0" w:after="0" w:afterAutospacing="0" w:line="360" w:lineRule="auto"/>
              <w:ind w:left="0" w:right="0" w:firstLine="0"/>
              <w:jc w:val="center"/>
              <w:textAlignment w:val="auto"/>
              <w:rPr>
                <w:rFonts w:hint="eastAsia" w:ascii="宋体" w:hAnsi="宋体" w:eastAsia="宋体" w:cs="宋体"/>
                <w:snapToGrid w:val="0"/>
                <w:color w:val="auto"/>
                <w:kern w:val="0"/>
                <w:sz w:val="22"/>
                <w:szCs w:val="22"/>
                <w:highlight w:val="none"/>
                <w:lang w:val="en-US" w:eastAsia="en-US" w:bidi="ar-SA"/>
              </w:rPr>
            </w:pPr>
            <w:r>
              <w:rPr>
                <w:rFonts w:hint="eastAsia" w:ascii="Times New Roman" w:hAnsi="Times New Roman" w:eastAsia="宋体" w:cs="Times New Roman"/>
                <w:snapToGrid/>
                <w:color w:val="auto"/>
                <w:spacing w:val="0"/>
                <w:kern w:val="2"/>
                <w:sz w:val="21"/>
                <w:szCs w:val="24"/>
                <w:highlight w:val="none"/>
                <w:u w:val="none"/>
                <w:lang w:val="en-US" w:eastAsia="zh-CN" w:bidi="ar"/>
              </w:rPr>
              <w:t>技术文件满分</w:t>
            </w:r>
          </w:p>
        </w:tc>
        <w:tc>
          <w:tcPr>
            <w:tcW w:w="817" w:type="dxa"/>
            <w:tcBorders>
              <w:bottom w:val="single" w:color="000000" w:sz="10" w:space="0"/>
            </w:tcBorders>
            <w:vAlign w:val="center"/>
          </w:tcPr>
          <w:p w14:paraId="5EF0F448">
            <w:pPr>
              <w:kinsoku/>
              <w:wordWrap w:val="0"/>
              <w:autoSpaceDE/>
              <w:autoSpaceDN/>
              <w:adjustRightInd/>
              <w:snapToGrid/>
              <w:spacing w:before="0" w:after="0" w:afterAutospacing="0" w:line="360" w:lineRule="auto"/>
              <w:ind w:left="0" w:right="0" w:firstLine="0"/>
              <w:jc w:val="center"/>
              <w:textAlignment w:val="auto"/>
              <w:rPr>
                <w:rFonts w:hint="eastAsia" w:ascii="宋体" w:hAnsi="宋体" w:eastAsia="宋体" w:cs="宋体"/>
                <w:snapToGrid w:val="0"/>
                <w:color w:val="auto"/>
                <w:kern w:val="0"/>
                <w:sz w:val="20"/>
                <w:szCs w:val="20"/>
                <w:highlight w:val="none"/>
                <w:lang w:val="en-US" w:eastAsia="en-US" w:bidi="ar-SA"/>
              </w:rPr>
            </w:pPr>
            <w:r>
              <w:rPr>
                <w:rFonts w:hint="eastAsia" w:cs="Times New Roman"/>
                <w:snapToGrid/>
                <w:color w:val="auto"/>
                <w:spacing w:val="0"/>
                <w:kern w:val="2"/>
                <w:sz w:val="21"/>
                <w:szCs w:val="24"/>
                <w:highlight w:val="none"/>
                <w:u w:val="none"/>
                <w:lang w:val="en-US" w:eastAsia="zh-CN" w:bidi="ar"/>
              </w:rPr>
              <w:t>2</w:t>
            </w:r>
            <w:r>
              <w:rPr>
                <w:rFonts w:hint="default" w:ascii="Times New Roman" w:hAnsi="Times New Roman" w:cs="Times New Roman"/>
                <w:snapToGrid/>
                <w:color w:val="auto"/>
                <w:spacing w:val="0"/>
                <w:kern w:val="2"/>
                <w:sz w:val="21"/>
                <w:szCs w:val="24"/>
                <w:highlight w:val="none"/>
                <w:u w:val="none"/>
                <w:lang w:val="zh-CN" w:eastAsia="zh-CN" w:bidi="ar"/>
              </w:rPr>
              <w:t>0</w:t>
            </w:r>
            <w:r>
              <w:rPr>
                <w:rFonts w:hint="default" w:ascii="Times New Roman" w:hAnsi="Times New Roman" w:eastAsia="宋体" w:cs="Times New Roman"/>
                <w:snapToGrid/>
                <w:color w:val="auto"/>
                <w:spacing w:val="0"/>
                <w:kern w:val="2"/>
                <w:sz w:val="21"/>
                <w:szCs w:val="24"/>
                <w:highlight w:val="none"/>
                <w:u w:val="none"/>
                <w:lang w:val="zh-CN" w:eastAsia="en-US" w:bidi="ar"/>
              </w:rPr>
              <w:t>分</w:t>
            </w:r>
          </w:p>
        </w:tc>
        <w:tc>
          <w:tcPr>
            <w:tcW w:w="6517" w:type="dxa"/>
            <w:tcBorders>
              <w:bottom w:val="single" w:color="000000" w:sz="10" w:space="0"/>
            </w:tcBorders>
            <w:vAlign w:val="top"/>
          </w:tcPr>
          <w:p w14:paraId="0D8878A8">
            <w:pPr>
              <w:kinsoku/>
              <w:autoSpaceDE w:val="0"/>
              <w:autoSpaceDN w:val="0"/>
              <w:adjustRightInd/>
              <w:snapToGrid/>
              <w:spacing w:before="0" w:after="0" w:afterAutospacing="0" w:line="400" w:lineRule="exact"/>
              <w:ind w:left="0" w:right="0" w:firstLine="0"/>
              <w:jc w:val="left"/>
              <w:textAlignment w:val="auto"/>
              <w:rPr>
                <w:rFonts w:hint="eastAsia" w:ascii="宋体" w:hAnsi="宋体" w:eastAsia="宋体" w:cs="宋体"/>
                <w:snapToGrid w:val="0"/>
                <w:color w:val="auto"/>
                <w:kern w:val="0"/>
                <w:sz w:val="24"/>
                <w:szCs w:val="24"/>
                <w:highlight w:val="none"/>
                <w:lang w:eastAsia="en-US"/>
              </w:rPr>
            </w:pPr>
          </w:p>
        </w:tc>
        <w:tc>
          <w:tcPr>
            <w:tcW w:w="557" w:type="dxa"/>
            <w:tcBorders>
              <w:bottom w:val="single" w:color="000000" w:sz="10" w:space="0"/>
              <w:right w:val="single" w:color="000000" w:sz="10" w:space="0"/>
            </w:tcBorders>
            <w:vAlign w:val="top"/>
          </w:tcPr>
          <w:p w14:paraId="7C99434D">
            <w:pPr>
              <w:kinsoku/>
              <w:autoSpaceDE w:val="0"/>
              <w:autoSpaceDN w:val="0"/>
              <w:adjustRightInd/>
              <w:snapToGrid/>
              <w:spacing w:before="0" w:after="0" w:afterAutospacing="0" w:line="400" w:lineRule="exact"/>
              <w:ind w:left="0" w:right="0" w:firstLine="0"/>
              <w:jc w:val="left"/>
              <w:textAlignment w:val="auto"/>
              <w:rPr>
                <w:rFonts w:hint="eastAsia" w:ascii="宋体" w:hAnsi="宋体" w:eastAsia="宋体" w:cs="宋体"/>
                <w:snapToGrid w:val="0"/>
                <w:color w:val="auto"/>
                <w:kern w:val="0"/>
                <w:sz w:val="24"/>
                <w:szCs w:val="24"/>
                <w:highlight w:val="none"/>
                <w:lang w:eastAsia="en-US"/>
              </w:rPr>
            </w:pPr>
          </w:p>
        </w:tc>
      </w:tr>
    </w:tbl>
    <w:p w14:paraId="7B9CBCB4">
      <w:pPr>
        <w:keepNext/>
        <w:keepLines/>
        <w:pageBreakBefore/>
        <w:spacing w:line="360" w:lineRule="auto"/>
        <w:ind w:left="482" w:hanging="482" w:hangingChars="200"/>
        <w:outlineLvl w:val="2"/>
        <w:rPr>
          <w:rFonts w:ascii="Arial" w:hAnsi="Arial"/>
          <w:b/>
          <w:bCs/>
          <w:color w:val="000000"/>
          <w:kern w:val="0"/>
          <w:sz w:val="24"/>
          <w:szCs w:val="28"/>
          <w:highlight w:val="none"/>
        </w:rPr>
      </w:pPr>
      <w:r>
        <w:rPr>
          <w:rFonts w:hint="eastAsia" w:ascii="Arial" w:hAnsi="Arial"/>
          <w:b/>
          <w:bCs/>
          <w:color w:val="000000"/>
          <w:kern w:val="0"/>
          <w:sz w:val="24"/>
          <w:szCs w:val="28"/>
          <w:highlight w:val="none"/>
        </w:rPr>
        <w:t>附表</w:t>
      </w:r>
      <w:r>
        <w:rPr>
          <w:rFonts w:hint="eastAsia" w:ascii="Arial" w:hAnsi="Arial"/>
          <w:b/>
          <w:bCs/>
          <w:color w:val="000000"/>
          <w:kern w:val="0"/>
          <w:sz w:val="24"/>
          <w:szCs w:val="28"/>
          <w:highlight w:val="none"/>
          <w:lang w:val="en-US" w:eastAsia="zh-CN"/>
        </w:rPr>
        <w:t>四</w:t>
      </w:r>
      <w:r>
        <w:rPr>
          <w:rFonts w:hint="eastAsia" w:ascii="Arial" w:hAnsi="Arial"/>
          <w:b/>
          <w:bCs/>
          <w:color w:val="000000"/>
          <w:kern w:val="0"/>
          <w:sz w:val="24"/>
          <w:szCs w:val="28"/>
          <w:highlight w:val="none"/>
        </w:rPr>
        <w:t>：</w:t>
      </w:r>
      <w:r>
        <w:rPr>
          <w:rFonts w:hint="eastAsia" w:ascii="Arial" w:hAnsi="Arial"/>
          <w:b/>
          <w:bCs/>
          <w:color w:val="000000"/>
          <w:kern w:val="0"/>
          <w:sz w:val="24"/>
          <w:szCs w:val="28"/>
          <w:highlight w:val="none"/>
          <w:lang w:val="en-US" w:eastAsia="zh-CN"/>
        </w:rPr>
        <w:t>商务</w:t>
      </w:r>
      <w:r>
        <w:rPr>
          <w:rFonts w:hint="eastAsia" w:ascii="Arial" w:hAnsi="Arial"/>
          <w:b/>
          <w:bCs/>
          <w:color w:val="000000"/>
          <w:kern w:val="0"/>
          <w:sz w:val="24"/>
          <w:szCs w:val="28"/>
          <w:highlight w:val="none"/>
        </w:rPr>
        <w:t>部分评分表</w:t>
      </w:r>
    </w:p>
    <w:tbl>
      <w:tblPr>
        <w:tblStyle w:val="49"/>
        <w:tblW w:w="514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070"/>
        <w:gridCol w:w="1720"/>
        <w:gridCol w:w="5340"/>
        <w:gridCol w:w="809"/>
      </w:tblGrid>
      <w:tr w14:paraId="4CC44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288" w:hRule="atLeast"/>
          <w:tblHeader/>
          <w:jc w:val="center"/>
        </w:trPr>
        <w:tc>
          <w:tcPr>
            <w:tcW w:w="319" w:type="pct"/>
            <w:noWrap w:val="0"/>
            <w:vAlign w:val="center"/>
          </w:tcPr>
          <w:p w14:paraId="0CED6616">
            <w:pPr>
              <w:spacing w:line="0" w:lineRule="atLeast"/>
              <w:jc w:val="center"/>
              <w:rPr>
                <w:rFonts w:hint="eastAsia" w:ascii="宋体" w:hAnsi="宋体" w:cs="宋体"/>
                <w:bCs/>
                <w:kern w:val="0"/>
              </w:rPr>
            </w:pPr>
            <w:r>
              <w:rPr>
                <w:rFonts w:hint="eastAsia" w:ascii="宋体" w:hAnsi="宋体" w:cs="宋体"/>
                <w:bCs/>
                <w:kern w:val="0"/>
              </w:rPr>
              <w:t>序号</w:t>
            </w:r>
          </w:p>
        </w:tc>
        <w:tc>
          <w:tcPr>
            <w:tcW w:w="560" w:type="pct"/>
            <w:noWrap w:val="0"/>
            <w:vAlign w:val="center"/>
          </w:tcPr>
          <w:p w14:paraId="465E458E">
            <w:pPr>
              <w:spacing w:line="0" w:lineRule="atLeast"/>
              <w:jc w:val="center"/>
              <w:rPr>
                <w:rFonts w:hint="eastAsia" w:ascii="宋体" w:hAnsi="宋体" w:cs="宋体"/>
                <w:bCs/>
                <w:kern w:val="0"/>
              </w:rPr>
            </w:pPr>
            <w:r>
              <w:rPr>
                <w:rFonts w:hint="eastAsia" w:ascii="宋体" w:hAnsi="宋体" w:cs="宋体"/>
                <w:bCs/>
                <w:kern w:val="0"/>
              </w:rPr>
              <w:t>评审内容</w:t>
            </w:r>
          </w:p>
        </w:tc>
        <w:tc>
          <w:tcPr>
            <w:tcW w:w="900" w:type="pct"/>
            <w:noWrap w:val="0"/>
            <w:vAlign w:val="center"/>
          </w:tcPr>
          <w:p w14:paraId="60F94D57">
            <w:pPr>
              <w:spacing w:line="0" w:lineRule="atLeast"/>
              <w:jc w:val="center"/>
              <w:rPr>
                <w:rFonts w:hint="eastAsia" w:ascii="宋体" w:hAnsi="宋体" w:cs="宋体"/>
                <w:bCs/>
                <w:kern w:val="0"/>
              </w:rPr>
            </w:pPr>
            <w:r>
              <w:rPr>
                <w:rFonts w:hint="eastAsia" w:ascii="宋体" w:hAnsi="宋体" w:cs="宋体"/>
                <w:bCs/>
                <w:kern w:val="0"/>
              </w:rPr>
              <w:t>分值（分）</w:t>
            </w:r>
          </w:p>
        </w:tc>
        <w:tc>
          <w:tcPr>
            <w:tcW w:w="2796" w:type="pct"/>
            <w:noWrap w:val="0"/>
            <w:vAlign w:val="center"/>
          </w:tcPr>
          <w:p w14:paraId="6D75EC6D">
            <w:pPr>
              <w:spacing w:line="0" w:lineRule="atLeast"/>
              <w:jc w:val="center"/>
              <w:rPr>
                <w:rFonts w:hint="eastAsia" w:ascii="宋体" w:hAnsi="宋体" w:cs="宋体"/>
                <w:bCs/>
                <w:kern w:val="0"/>
              </w:rPr>
            </w:pPr>
            <w:r>
              <w:rPr>
                <w:rFonts w:hint="eastAsia" w:ascii="宋体" w:hAnsi="宋体" w:cs="宋体"/>
                <w:bCs/>
                <w:kern w:val="0"/>
              </w:rPr>
              <w:t>评分标准</w:t>
            </w:r>
          </w:p>
        </w:tc>
        <w:tc>
          <w:tcPr>
            <w:tcW w:w="423" w:type="pct"/>
            <w:noWrap w:val="0"/>
            <w:vAlign w:val="center"/>
          </w:tcPr>
          <w:p w14:paraId="17686F4B">
            <w:pPr>
              <w:spacing w:line="0" w:lineRule="atLeast"/>
              <w:jc w:val="center"/>
              <w:rPr>
                <w:rFonts w:hint="eastAsia" w:ascii="宋体" w:hAnsi="宋体" w:cs="宋体"/>
                <w:bCs/>
                <w:kern w:val="0"/>
              </w:rPr>
            </w:pPr>
            <w:r>
              <w:rPr>
                <w:rFonts w:hint="eastAsia" w:ascii="宋体" w:hAnsi="宋体" w:cs="宋体"/>
                <w:bCs/>
                <w:kern w:val="0"/>
              </w:rPr>
              <w:t>得分（分）</w:t>
            </w:r>
          </w:p>
        </w:tc>
      </w:tr>
      <w:tr w14:paraId="5711B3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008" w:hRule="atLeast"/>
          <w:jc w:val="center"/>
        </w:trPr>
        <w:tc>
          <w:tcPr>
            <w:tcW w:w="319" w:type="pct"/>
            <w:noWrap w:val="0"/>
            <w:vAlign w:val="center"/>
          </w:tcPr>
          <w:p w14:paraId="0873D1F9">
            <w:pPr>
              <w:spacing w:line="0" w:lineRule="atLeast"/>
              <w:jc w:val="center"/>
              <w:rPr>
                <w:rFonts w:hint="eastAsia" w:ascii="宋体" w:hAnsi="宋体" w:cs="宋体"/>
                <w:bCs/>
                <w:kern w:val="0"/>
              </w:rPr>
            </w:pPr>
            <w:r>
              <w:rPr>
                <w:rFonts w:hint="eastAsia" w:ascii="宋体" w:hAnsi="宋体" w:cs="宋体"/>
                <w:bCs/>
                <w:kern w:val="0"/>
              </w:rPr>
              <w:t>1</w:t>
            </w:r>
          </w:p>
        </w:tc>
        <w:tc>
          <w:tcPr>
            <w:tcW w:w="560" w:type="pct"/>
            <w:noWrap w:val="0"/>
            <w:vAlign w:val="center"/>
          </w:tcPr>
          <w:p w14:paraId="29317A60">
            <w:pPr>
              <w:widowControl/>
              <w:jc w:val="center"/>
              <w:textAlignment w:val="center"/>
              <w:rPr>
                <w:rFonts w:hint="eastAsia" w:ascii="宋体" w:hAnsi="宋体" w:eastAsia="宋体" w:cs="宋体"/>
                <w:bCs/>
                <w:kern w:val="0"/>
                <w:lang w:eastAsia="zh-CN"/>
              </w:rPr>
            </w:pPr>
            <w:r>
              <w:rPr>
                <w:rFonts w:hint="eastAsia" w:eastAsia="宋体" w:cs="Times New Roman"/>
                <w:bCs/>
                <w:kern w:val="0"/>
                <w:sz w:val="21"/>
                <w:szCs w:val="21"/>
                <w:lang w:val="en-US" w:eastAsia="zh-CN" w:bidi="ar"/>
              </w:rPr>
              <w:t>下调金额</w:t>
            </w:r>
            <w:r>
              <w:rPr>
                <w:rFonts w:hint="eastAsia" w:ascii="宋体" w:hAnsi="宋体" w:cs="宋体"/>
                <w:bCs/>
                <w:kern w:val="0"/>
                <w:lang w:val="en-US" w:eastAsia="zh-CN" w:bidi="ar"/>
              </w:rPr>
              <w:t>报价</w:t>
            </w:r>
          </w:p>
        </w:tc>
        <w:tc>
          <w:tcPr>
            <w:tcW w:w="900" w:type="pct"/>
            <w:noWrap w:val="0"/>
            <w:vAlign w:val="center"/>
          </w:tcPr>
          <w:p w14:paraId="6778A215">
            <w:pPr>
              <w:widowControl/>
              <w:jc w:val="center"/>
              <w:textAlignment w:val="center"/>
              <w:rPr>
                <w:rFonts w:hint="default" w:ascii="宋体" w:hAnsi="宋体" w:eastAsia="宋体" w:cs="宋体"/>
                <w:bCs/>
                <w:kern w:val="0"/>
                <w:lang w:val="en-US" w:eastAsia="zh-CN"/>
              </w:rPr>
            </w:pPr>
            <w:r>
              <w:rPr>
                <w:rFonts w:hint="eastAsia" w:ascii="宋体" w:hAnsi="宋体" w:cs="宋体"/>
                <w:bCs/>
                <w:kern w:val="0"/>
                <w:lang w:val="en-US" w:eastAsia="zh-CN"/>
              </w:rPr>
              <w:t>满分60分</w:t>
            </w:r>
          </w:p>
        </w:tc>
        <w:tc>
          <w:tcPr>
            <w:tcW w:w="2796" w:type="pct"/>
            <w:noWrap w:val="0"/>
            <w:vAlign w:val="center"/>
          </w:tcPr>
          <w:p w14:paraId="7EE0DF68">
            <w:pPr>
              <w:pStyle w:val="342"/>
              <w:spacing w:line="360" w:lineRule="auto"/>
              <w:textAlignment w:val="center"/>
              <w:rPr>
                <w:rFonts w:ascii="Times New Roman" w:hAnsi="Times New Roman" w:eastAsia="宋体" w:cs="Times New Roman"/>
                <w:bCs/>
                <w:sz w:val="21"/>
                <w:szCs w:val="21"/>
                <w:lang w:bidi="ar"/>
              </w:rPr>
            </w:pPr>
            <w:r>
              <w:rPr>
                <w:rFonts w:ascii="Times New Roman" w:hAnsi="Times New Roman" w:eastAsia="宋体" w:cs="Times New Roman"/>
                <w:bCs/>
                <w:sz w:val="21"/>
                <w:szCs w:val="21"/>
                <w:lang w:bidi="ar"/>
              </w:rPr>
              <w:t>1、有效报价范围：通过初步评审且在</w:t>
            </w:r>
            <w:r>
              <w:rPr>
                <w:rFonts w:hint="eastAsia" w:eastAsia="宋体" w:cs="Times New Roman"/>
                <w:bCs/>
                <w:sz w:val="21"/>
                <w:szCs w:val="21"/>
                <w:lang w:val="en-US" w:eastAsia="zh-CN" w:bidi="ar"/>
              </w:rPr>
              <w:t>投标报价</w:t>
            </w:r>
            <w:r>
              <w:rPr>
                <w:rFonts w:ascii="Times New Roman" w:hAnsi="Times New Roman" w:eastAsia="宋体" w:cs="Times New Roman"/>
                <w:bCs/>
                <w:sz w:val="21"/>
                <w:szCs w:val="21"/>
                <w:lang w:bidi="ar"/>
              </w:rPr>
              <w:t>有效报价范围，并经评标委员会审定不存在严重不平衡、不合理、不低于其企业成本的投标人的投标报价才能作为有效报价，参与基准价计算。</w:t>
            </w:r>
          </w:p>
          <w:p w14:paraId="39380A81">
            <w:pPr>
              <w:pStyle w:val="342"/>
              <w:spacing w:line="360" w:lineRule="auto"/>
              <w:textAlignment w:val="center"/>
              <w:rPr>
                <w:rFonts w:hint="eastAsia" w:eastAsia="宋体" w:cs="Times New Roman"/>
                <w:bCs/>
                <w:sz w:val="21"/>
                <w:szCs w:val="21"/>
                <w:lang w:eastAsia="zh-CN" w:bidi="ar"/>
              </w:rPr>
            </w:pPr>
            <w:r>
              <w:rPr>
                <w:rFonts w:ascii="Times New Roman" w:hAnsi="Times New Roman" w:eastAsia="宋体" w:cs="Times New Roman"/>
                <w:bCs/>
                <w:sz w:val="21"/>
                <w:szCs w:val="21"/>
                <w:lang w:bidi="ar"/>
              </w:rPr>
              <w:t>2、基准价计算方式：</w:t>
            </w:r>
            <w:r>
              <w:rPr>
                <w:rFonts w:hint="eastAsia" w:ascii="Times New Roman" w:hAnsi="Times New Roman" w:eastAsia="宋体" w:cs="Times New Roman"/>
                <w:color w:val="000000"/>
                <w:kern w:val="2"/>
                <w:sz w:val="21"/>
                <w:szCs w:val="21"/>
                <w:lang w:bidi="ar"/>
              </w:rPr>
              <w:t>取</w:t>
            </w:r>
            <w:r>
              <w:rPr>
                <w:rFonts w:hint="eastAsia" w:eastAsia="宋体" w:cs="Times New Roman"/>
                <w:color w:val="000000"/>
                <w:kern w:val="2"/>
                <w:sz w:val="21"/>
                <w:szCs w:val="21"/>
                <w:lang w:val="en-US" w:eastAsia="zh-CN" w:bidi="ar"/>
              </w:rPr>
              <w:t>下调金额</w:t>
            </w:r>
            <w:r>
              <w:rPr>
                <w:rFonts w:hint="eastAsia" w:ascii="Times New Roman" w:hAnsi="Times New Roman" w:eastAsia="宋体" w:cs="Times New Roman"/>
                <w:color w:val="000000"/>
                <w:kern w:val="2"/>
                <w:sz w:val="21"/>
                <w:szCs w:val="21"/>
                <w:lang w:bidi="ar"/>
              </w:rPr>
              <w:t>的算术平均值作为评</w:t>
            </w:r>
            <w:r>
              <w:rPr>
                <w:rFonts w:hint="eastAsia" w:eastAsia="宋体" w:cs="Times New Roman"/>
                <w:color w:val="000000"/>
                <w:kern w:val="2"/>
                <w:sz w:val="21"/>
                <w:szCs w:val="21"/>
                <w:lang w:val="en-US" w:eastAsia="zh-CN" w:bidi="ar"/>
              </w:rPr>
              <w:t>标</w:t>
            </w:r>
            <w:r>
              <w:rPr>
                <w:rFonts w:hint="eastAsia" w:ascii="Times New Roman" w:hAnsi="Times New Roman" w:eastAsia="宋体" w:cs="Times New Roman"/>
                <w:color w:val="000000"/>
                <w:kern w:val="2"/>
                <w:sz w:val="21"/>
                <w:szCs w:val="21"/>
                <w:lang w:bidi="ar"/>
              </w:rPr>
              <w:t>基准价。基准价和</w:t>
            </w:r>
            <w:r>
              <w:rPr>
                <w:rFonts w:hint="eastAsia" w:ascii="Times New Roman" w:hAnsi="Times New Roman" w:eastAsia="宋体" w:cs="Times New Roman"/>
                <w:color w:val="000000"/>
                <w:kern w:val="2"/>
                <w:sz w:val="21"/>
                <w:szCs w:val="21"/>
                <w:lang w:val="en-US" w:eastAsia="zh-CN" w:bidi="ar"/>
              </w:rPr>
              <w:t>投标人</w:t>
            </w:r>
            <w:r>
              <w:rPr>
                <w:rFonts w:hint="eastAsia" w:eastAsia="宋体" w:cs="Times New Roman"/>
                <w:color w:val="000000"/>
                <w:kern w:val="2"/>
                <w:sz w:val="21"/>
                <w:szCs w:val="21"/>
                <w:lang w:val="en-US" w:eastAsia="zh-CN" w:bidi="ar"/>
              </w:rPr>
              <w:t>报价</w:t>
            </w:r>
            <w:r>
              <w:rPr>
                <w:rFonts w:hint="eastAsia" w:ascii="Times New Roman" w:hAnsi="Times New Roman" w:eastAsia="宋体" w:cs="Times New Roman"/>
                <w:color w:val="000000"/>
                <w:kern w:val="2"/>
                <w:sz w:val="21"/>
                <w:szCs w:val="21"/>
                <w:lang w:bidi="ar"/>
              </w:rPr>
              <w:t>得分计算结果均保留小数点后两位。</w:t>
            </w:r>
          </w:p>
          <w:p w14:paraId="7CBF807B">
            <w:pPr>
              <w:pStyle w:val="342"/>
              <w:spacing w:line="360" w:lineRule="auto"/>
              <w:textAlignment w:val="center"/>
              <w:rPr>
                <w:rFonts w:ascii="Times New Roman" w:hAnsi="Times New Roman" w:eastAsia="宋体" w:cs="Times New Roman"/>
                <w:bCs/>
                <w:kern w:val="0"/>
                <w:sz w:val="21"/>
                <w:szCs w:val="21"/>
                <w:lang w:bidi="ar"/>
              </w:rPr>
            </w:pPr>
            <w:r>
              <w:rPr>
                <w:rFonts w:ascii="Times New Roman" w:hAnsi="Times New Roman" w:eastAsia="宋体" w:cs="Times New Roman"/>
                <w:bCs/>
                <w:kern w:val="0"/>
                <w:sz w:val="21"/>
                <w:szCs w:val="21"/>
                <w:lang w:bidi="ar"/>
              </w:rPr>
              <w:t>3、</w:t>
            </w:r>
            <w:r>
              <w:rPr>
                <w:rFonts w:hint="eastAsia" w:eastAsia="宋体" w:cs="Times New Roman"/>
                <w:bCs/>
                <w:kern w:val="0"/>
                <w:sz w:val="21"/>
                <w:szCs w:val="21"/>
                <w:lang w:eastAsia="zh-CN" w:bidi="ar"/>
              </w:rPr>
              <w:t>下调金额报价</w:t>
            </w:r>
            <w:r>
              <w:rPr>
                <w:rFonts w:ascii="Times New Roman" w:hAnsi="Times New Roman" w:eastAsia="宋体" w:cs="Times New Roman"/>
                <w:bCs/>
                <w:kern w:val="0"/>
                <w:sz w:val="21"/>
                <w:szCs w:val="21"/>
                <w:lang w:bidi="ar"/>
              </w:rPr>
              <w:t>得分计算</w:t>
            </w:r>
            <w:r>
              <w:rPr>
                <w:rFonts w:hint="eastAsia" w:eastAsia="宋体" w:cs="Times New Roman"/>
                <w:bCs/>
                <w:kern w:val="0"/>
                <w:sz w:val="21"/>
                <w:szCs w:val="21"/>
                <w:lang w:val="en-US" w:eastAsia="zh-CN" w:bidi="ar"/>
              </w:rPr>
              <w:t>公式</w:t>
            </w:r>
            <w:r>
              <w:rPr>
                <w:rFonts w:ascii="Times New Roman" w:hAnsi="Times New Roman" w:eastAsia="宋体" w:cs="Times New Roman"/>
                <w:bCs/>
                <w:kern w:val="0"/>
                <w:sz w:val="21"/>
                <w:szCs w:val="21"/>
                <w:lang w:bidi="ar"/>
              </w:rPr>
              <w:t>：</w:t>
            </w:r>
          </w:p>
          <w:p w14:paraId="147A2182">
            <w:pPr>
              <w:pStyle w:val="342"/>
              <w:spacing w:line="360" w:lineRule="auto"/>
              <w:textAlignment w:val="center"/>
              <w:rPr>
                <w:rFonts w:hint="eastAsia" w:ascii="Times New Roman" w:hAnsi="Times New Roman" w:eastAsia="宋体" w:cs="Times New Roman"/>
                <w:bCs/>
                <w:kern w:val="0"/>
                <w:sz w:val="21"/>
                <w:szCs w:val="21"/>
                <w:lang w:bidi="ar"/>
              </w:rPr>
            </w:pPr>
            <w:r>
              <w:rPr>
                <w:rFonts w:hint="eastAsia" w:eastAsia="宋体" w:cs="Times New Roman"/>
                <w:bCs/>
                <w:kern w:val="0"/>
                <w:sz w:val="21"/>
                <w:szCs w:val="21"/>
                <w:lang w:val="en-US" w:eastAsia="zh-CN" w:bidi="ar"/>
              </w:rPr>
              <w:t>报价得分=</w:t>
            </w:r>
            <w:r>
              <w:rPr>
                <w:rFonts w:hint="eastAsia" w:ascii="Times New Roman" w:hAnsi="Times New Roman" w:eastAsia="宋体" w:cs="Times New Roman"/>
                <w:bCs/>
                <w:kern w:val="0"/>
                <w:sz w:val="21"/>
                <w:szCs w:val="21"/>
                <w:lang w:bidi="ar"/>
              </w:rPr>
              <w:t>60−</w:t>
            </w:r>
            <w:r>
              <w:rPr>
                <w:rFonts w:hint="eastAsia" w:eastAsia="宋体" w:cs="Times New Roman"/>
                <w:bCs/>
                <w:kern w:val="0"/>
                <w:sz w:val="21"/>
                <w:szCs w:val="21"/>
                <w:lang w:eastAsia="zh-CN" w:bidi="ar"/>
              </w:rPr>
              <w:t>（∣</w:t>
            </w:r>
            <w:r>
              <w:rPr>
                <w:rFonts w:hint="eastAsia" w:ascii="Times New Roman" w:hAnsi="Times New Roman" w:eastAsia="宋体" w:cs="Times New Roman"/>
                <w:bCs/>
                <w:kern w:val="0"/>
                <w:sz w:val="21"/>
                <w:szCs w:val="21"/>
                <w:lang w:bidi="ar"/>
              </w:rPr>
              <w:t>基准价−投标</w:t>
            </w:r>
            <w:r>
              <w:rPr>
                <w:rFonts w:hint="eastAsia" w:eastAsia="宋体" w:cs="Times New Roman"/>
                <w:bCs/>
                <w:kern w:val="0"/>
                <w:sz w:val="21"/>
                <w:szCs w:val="21"/>
                <w:lang w:val="en-US" w:eastAsia="zh-CN" w:bidi="ar"/>
              </w:rPr>
              <w:t>下调金额∣</w:t>
            </w:r>
            <w:r>
              <w:rPr>
                <w:rFonts w:hint="eastAsia" w:ascii="Times New Roman" w:hAnsi="Times New Roman" w:eastAsia="宋体" w:cs="Times New Roman"/>
                <w:bCs/>
                <w:kern w:val="0"/>
                <w:sz w:val="21"/>
                <w:szCs w:val="21"/>
                <w:lang w:bidi="ar"/>
              </w:rPr>
              <w:t>）/基准价×0.1×100</w:t>
            </w:r>
          </w:p>
          <w:p w14:paraId="3C1CB3C3">
            <w:pPr>
              <w:pStyle w:val="342"/>
              <w:spacing w:line="360" w:lineRule="auto"/>
              <w:textAlignment w:val="center"/>
              <w:rPr>
                <w:rFonts w:hint="default" w:ascii="Times New Roman" w:hAnsi="Times New Roman" w:eastAsia="宋体" w:cs="Times New Roman"/>
                <w:bCs/>
                <w:sz w:val="21"/>
                <w:szCs w:val="21"/>
                <w:lang w:bidi="ar"/>
              </w:rPr>
            </w:pPr>
            <w:r>
              <w:rPr>
                <w:rFonts w:hint="default" w:ascii="Times New Roman" w:hAnsi="Times New Roman" w:eastAsia="宋体" w:cs="Times New Roman"/>
                <w:bCs/>
                <w:sz w:val="21"/>
                <w:szCs w:val="21"/>
                <w:lang w:bidi="ar"/>
              </w:rPr>
              <w:t>计算结果保留2位小数。</w:t>
            </w:r>
          </w:p>
        </w:tc>
        <w:tc>
          <w:tcPr>
            <w:tcW w:w="423" w:type="pct"/>
            <w:noWrap w:val="0"/>
            <w:vAlign w:val="center"/>
          </w:tcPr>
          <w:p w14:paraId="22107339">
            <w:pPr>
              <w:spacing w:before="120" w:line="0" w:lineRule="atLeast"/>
              <w:ind w:right="-57"/>
              <w:rPr>
                <w:rFonts w:hint="eastAsia" w:ascii="宋体" w:hAnsi="宋体" w:cs="宋体"/>
                <w:bCs/>
                <w:kern w:val="0"/>
              </w:rPr>
            </w:pPr>
          </w:p>
        </w:tc>
      </w:tr>
      <w:tr w14:paraId="7C09F4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008" w:hRule="atLeast"/>
          <w:jc w:val="center"/>
        </w:trPr>
        <w:tc>
          <w:tcPr>
            <w:tcW w:w="319" w:type="pct"/>
            <w:noWrap w:val="0"/>
            <w:vAlign w:val="center"/>
          </w:tcPr>
          <w:p w14:paraId="1E8F74C9">
            <w:pPr>
              <w:spacing w:line="0" w:lineRule="atLeast"/>
              <w:jc w:val="center"/>
              <w:rPr>
                <w:rFonts w:hint="eastAsia" w:ascii="宋体" w:hAnsi="宋体" w:eastAsia="宋体" w:cs="宋体"/>
                <w:bCs/>
                <w:kern w:val="0"/>
                <w:lang w:val="en-US" w:eastAsia="zh-CN"/>
              </w:rPr>
            </w:pPr>
            <w:r>
              <w:rPr>
                <w:rFonts w:hint="eastAsia" w:ascii="宋体" w:hAnsi="宋体" w:cs="宋体"/>
                <w:bCs/>
                <w:kern w:val="0"/>
                <w:lang w:val="en-US" w:eastAsia="zh-CN"/>
              </w:rPr>
              <w:t>2</w:t>
            </w:r>
          </w:p>
        </w:tc>
        <w:tc>
          <w:tcPr>
            <w:tcW w:w="560" w:type="pct"/>
            <w:noWrap w:val="0"/>
            <w:vAlign w:val="center"/>
          </w:tcPr>
          <w:p w14:paraId="56338810">
            <w:pPr>
              <w:widowControl/>
              <w:jc w:val="center"/>
              <w:textAlignment w:val="center"/>
              <w:rPr>
                <w:rFonts w:hint="eastAsia" w:ascii="宋体" w:hAnsi="宋体" w:cs="宋体"/>
                <w:bCs/>
                <w:kern w:val="0"/>
                <w:lang w:bidi="ar"/>
              </w:rPr>
            </w:pPr>
            <w:r>
              <w:rPr>
                <w:rFonts w:hint="eastAsia" w:ascii="宋体" w:hAnsi="宋体"/>
                <w:color w:val="000000"/>
                <w:szCs w:val="21"/>
                <w:highlight w:val="none"/>
              </w:rPr>
              <w:t>类似项目</w:t>
            </w:r>
            <w:r>
              <w:rPr>
                <w:rFonts w:hint="eastAsia" w:ascii="宋体" w:hAnsi="宋体" w:cs="宋体"/>
                <w:color w:val="000000"/>
                <w:kern w:val="0"/>
                <w:szCs w:val="21"/>
                <w:highlight w:val="none"/>
              </w:rPr>
              <w:t>业绩相关证明材料</w:t>
            </w:r>
          </w:p>
        </w:tc>
        <w:tc>
          <w:tcPr>
            <w:tcW w:w="900" w:type="pct"/>
            <w:noWrap w:val="0"/>
            <w:vAlign w:val="center"/>
          </w:tcPr>
          <w:p w14:paraId="6345C5C9">
            <w:pPr>
              <w:widowControl/>
              <w:jc w:val="center"/>
              <w:textAlignment w:val="center"/>
              <w:rPr>
                <w:rFonts w:hint="default" w:ascii="宋体" w:hAnsi="宋体" w:cs="宋体"/>
                <w:bCs/>
                <w:kern w:val="0"/>
                <w:lang w:val="en-US" w:eastAsia="zh-CN"/>
              </w:rPr>
            </w:pPr>
            <w:r>
              <w:rPr>
                <w:rFonts w:hint="eastAsia" w:ascii="宋体" w:hAnsi="宋体" w:cs="宋体"/>
                <w:bCs/>
                <w:kern w:val="0"/>
                <w:lang w:val="en-US" w:eastAsia="zh-CN"/>
              </w:rPr>
              <w:t>满分20分</w:t>
            </w:r>
          </w:p>
        </w:tc>
        <w:tc>
          <w:tcPr>
            <w:tcW w:w="2796" w:type="pct"/>
            <w:noWrap w:val="0"/>
            <w:vAlign w:val="center"/>
          </w:tcPr>
          <w:p w14:paraId="201DD705">
            <w:pPr>
              <w:pStyle w:val="16"/>
              <w:spacing w:line="380" w:lineRule="exact"/>
              <w:jc w:val="both"/>
              <w:rPr>
                <w:rFonts w:ascii="宋体" w:hAnsi="宋体" w:cs="宋体"/>
                <w:color w:val="000000"/>
                <w:kern w:val="0"/>
                <w:szCs w:val="21"/>
                <w:highlight w:val="none"/>
                <w:lang w:val="en-US" w:eastAsia="zh-CN"/>
              </w:rPr>
            </w:pPr>
            <w:r>
              <w:rPr>
                <w:rFonts w:hint="eastAsia" w:ascii="宋体" w:hAnsi="宋体" w:cs="宋体"/>
                <w:color w:val="000000"/>
                <w:highlight w:val="none"/>
                <w:lang w:val="en-US" w:eastAsia="zh-CN"/>
              </w:rPr>
              <w:t>投标人自2022年1月1日</w:t>
            </w:r>
            <w:r>
              <w:rPr>
                <w:rFonts w:hint="eastAsia" w:ascii="宋体" w:hAnsi="宋体"/>
                <w:color w:val="000000"/>
                <w:szCs w:val="21"/>
                <w:highlight w:val="none"/>
                <w:lang w:val="en-US" w:eastAsia="zh-CN"/>
              </w:rPr>
              <w:t>至投标截止时间止承接过单项合同金额不小于1000万元的钢筋销售合同业绩</w:t>
            </w:r>
            <w:r>
              <w:rPr>
                <w:rFonts w:hint="eastAsia" w:ascii="宋体" w:hAnsi="宋体" w:cs="宋体"/>
                <w:color w:val="000000"/>
                <w:kern w:val="0"/>
                <w:szCs w:val="21"/>
                <w:highlight w:val="none"/>
                <w:lang w:val="en-US" w:eastAsia="zh-CN"/>
              </w:rPr>
              <w:t xml:space="preserve">，每个业绩得5分，满分20分。 </w:t>
            </w:r>
          </w:p>
          <w:p w14:paraId="703524B7">
            <w:pPr>
              <w:pStyle w:val="16"/>
              <w:spacing w:line="380" w:lineRule="exact"/>
              <w:jc w:val="both"/>
              <w:rPr>
                <w:color w:val="000000"/>
                <w:highlight w:val="none"/>
                <w:lang w:val="en-US" w:eastAsia="zh-CN"/>
              </w:rPr>
            </w:pPr>
            <w:r>
              <w:rPr>
                <w:rFonts w:hint="eastAsia" w:ascii="宋体" w:hAnsi="宋体" w:cs="宋体"/>
                <w:color w:val="000000"/>
                <w:kern w:val="0"/>
                <w:szCs w:val="21"/>
                <w:highlight w:val="none"/>
                <w:lang w:val="en-US" w:eastAsia="zh-CN"/>
              </w:rPr>
              <w:t>注：</w:t>
            </w:r>
            <w:r>
              <w:rPr>
                <w:rFonts w:hint="eastAsia" w:ascii="宋体" w:hAnsi="宋体" w:cs="宋体"/>
                <w:color w:val="000000"/>
                <w:highlight w:val="none"/>
                <w:lang w:val="en-US" w:eastAsia="zh-CN"/>
              </w:rPr>
              <w:t>1.</w:t>
            </w:r>
            <w:r>
              <w:rPr>
                <w:rFonts w:hint="eastAsia"/>
                <w:color w:val="000000"/>
                <w:highlight w:val="none"/>
                <w:lang w:val="en-US" w:eastAsia="zh-CN"/>
              </w:rPr>
              <w:t>以合同签订时间为准。</w:t>
            </w:r>
          </w:p>
          <w:p w14:paraId="327076AE">
            <w:pPr>
              <w:pStyle w:val="16"/>
              <w:spacing w:line="380" w:lineRule="exact"/>
              <w:jc w:val="both"/>
              <w:rPr>
                <w:color w:val="000000"/>
                <w:highlight w:val="none"/>
                <w:lang w:val="en-US" w:eastAsia="zh-CN"/>
              </w:rPr>
            </w:pPr>
            <w:r>
              <w:rPr>
                <w:rFonts w:hint="eastAsia"/>
                <w:color w:val="000000"/>
                <w:highlight w:val="none"/>
                <w:lang w:val="en-US" w:eastAsia="zh-CN"/>
              </w:rPr>
              <w:t>2.每个业绩不重复计分。</w:t>
            </w:r>
          </w:p>
          <w:p w14:paraId="352FE6E3">
            <w:pPr>
              <w:pStyle w:val="16"/>
              <w:spacing w:line="380" w:lineRule="exact"/>
              <w:jc w:val="both"/>
              <w:rPr>
                <w:rFonts w:ascii="Times New Roman" w:hAnsi="Times New Roman" w:eastAsia="宋体" w:cs="Times New Roman"/>
                <w:bCs/>
                <w:kern w:val="0"/>
                <w:sz w:val="21"/>
                <w:szCs w:val="21"/>
                <w:lang w:bidi="ar"/>
              </w:rPr>
            </w:pPr>
            <w:r>
              <w:rPr>
                <w:rFonts w:hint="eastAsia"/>
                <w:color w:val="000000"/>
                <w:highlight w:val="none"/>
                <w:lang w:val="en-US" w:eastAsia="zh-CN"/>
              </w:rPr>
              <w:t>3.</w:t>
            </w:r>
            <w:r>
              <w:rPr>
                <w:rFonts w:hint="eastAsia" w:ascii="宋体" w:hAnsi="宋体"/>
                <w:color w:val="000000"/>
                <w:szCs w:val="21"/>
                <w:highlight w:val="none"/>
                <w:lang w:val="en-US" w:eastAsia="zh-CN"/>
              </w:rPr>
              <w:t>投标人须提供业绩证明文件（</w:t>
            </w:r>
            <w:r>
              <w:rPr>
                <w:color w:val="000000"/>
                <w:szCs w:val="21"/>
                <w:highlight w:val="none"/>
                <w:lang w:val="en-US" w:eastAsia="zh-CN"/>
              </w:rPr>
              <w:t>业绩证明文件</w:t>
            </w:r>
            <w:r>
              <w:rPr>
                <w:rFonts w:hint="eastAsia"/>
                <w:color w:val="000000"/>
                <w:szCs w:val="21"/>
                <w:highlight w:val="none"/>
                <w:lang w:val="en-US" w:eastAsia="zh-CN"/>
              </w:rPr>
              <w:t>为</w:t>
            </w:r>
            <w:r>
              <w:rPr>
                <w:color w:val="000000"/>
                <w:szCs w:val="21"/>
                <w:highlight w:val="none"/>
                <w:lang w:val="en-US" w:eastAsia="zh-CN"/>
              </w:rPr>
              <w:t>合同</w:t>
            </w:r>
            <w:r>
              <w:rPr>
                <w:rFonts w:hint="eastAsia"/>
                <w:color w:val="000000"/>
                <w:szCs w:val="21"/>
                <w:highlight w:val="none"/>
                <w:lang w:val="en-US" w:eastAsia="zh-CN"/>
              </w:rPr>
              <w:t>关键页</w:t>
            </w:r>
            <w:r>
              <w:rPr>
                <w:color w:val="000000"/>
                <w:szCs w:val="21"/>
                <w:highlight w:val="none"/>
                <w:lang w:val="en-US" w:eastAsia="zh-CN"/>
              </w:rPr>
              <w:t>或</w:t>
            </w:r>
            <w:r>
              <w:rPr>
                <w:rFonts w:hint="eastAsia"/>
                <w:color w:val="000000"/>
                <w:szCs w:val="21"/>
                <w:highlight w:val="none"/>
                <w:lang w:val="en-US" w:eastAsia="zh-CN"/>
              </w:rPr>
              <w:t>买卖发票</w:t>
            </w:r>
            <w:r>
              <w:rPr>
                <w:color w:val="000000"/>
                <w:szCs w:val="21"/>
                <w:highlight w:val="none"/>
                <w:lang w:val="en-US" w:eastAsia="zh-CN"/>
              </w:rPr>
              <w:t>复印件，证明文件中须体现出合同双方、合同签订时间、</w:t>
            </w:r>
            <w:r>
              <w:rPr>
                <w:rFonts w:hint="eastAsia" w:ascii="宋体" w:hAnsi="宋体"/>
                <w:color w:val="000000"/>
                <w:szCs w:val="21"/>
                <w:highlight w:val="none"/>
                <w:lang w:val="en-US" w:eastAsia="zh-CN"/>
              </w:rPr>
              <w:t>合同服务内容</w:t>
            </w:r>
            <w:r>
              <w:rPr>
                <w:rFonts w:hint="eastAsia"/>
                <w:color w:val="000000"/>
                <w:szCs w:val="21"/>
                <w:highlight w:val="none"/>
                <w:lang w:val="en-US" w:eastAsia="zh-CN"/>
              </w:rPr>
              <w:t>、</w:t>
            </w:r>
            <w:r>
              <w:rPr>
                <w:color w:val="000000"/>
                <w:szCs w:val="21"/>
                <w:highlight w:val="none"/>
                <w:lang w:val="en-US" w:eastAsia="zh-CN"/>
              </w:rPr>
              <w:t>合同</w:t>
            </w:r>
            <w:r>
              <w:rPr>
                <w:rFonts w:hint="eastAsia"/>
                <w:color w:val="000000"/>
                <w:szCs w:val="21"/>
                <w:highlight w:val="none"/>
                <w:lang w:val="en-US" w:eastAsia="zh-CN"/>
              </w:rPr>
              <w:t>金额</w:t>
            </w:r>
            <w:r>
              <w:rPr>
                <w:color w:val="000000"/>
                <w:szCs w:val="21"/>
                <w:highlight w:val="none"/>
                <w:lang w:val="en-US" w:eastAsia="zh-CN"/>
              </w:rPr>
              <w:t>等</w:t>
            </w:r>
            <w:r>
              <w:rPr>
                <w:rFonts w:hint="default" w:ascii="Times New Roman" w:hAnsi="Times New Roman"/>
                <w:color w:val="000000"/>
                <w:szCs w:val="21"/>
                <w:highlight w:val="none"/>
                <w:lang w:val="en-US" w:eastAsia="zh-CN"/>
              </w:rPr>
              <w:t>信息；买卖发票必须体现“购买方信息、销售方信息、项目名称、金额、开票日期等”，否则视为无效证明文件）</w:t>
            </w:r>
            <w:r>
              <w:rPr>
                <w:rFonts w:hint="default"/>
                <w:color w:val="000000"/>
                <w:szCs w:val="21"/>
                <w:highlight w:val="none"/>
                <w:lang w:val="en-US" w:eastAsia="zh-CN"/>
              </w:rPr>
              <w:t>。</w:t>
            </w:r>
          </w:p>
        </w:tc>
        <w:tc>
          <w:tcPr>
            <w:tcW w:w="423" w:type="pct"/>
            <w:noWrap w:val="0"/>
            <w:vAlign w:val="center"/>
          </w:tcPr>
          <w:p w14:paraId="545FCAEB">
            <w:pPr>
              <w:spacing w:before="120" w:line="0" w:lineRule="atLeast"/>
              <w:ind w:right="-57"/>
              <w:rPr>
                <w:rFonts w:hint="eastAsia" w:ascii="宋体" w:hAnsi="宋体" w:cs="宋体"/>
                <w:bCs/>
                <w:kern w:val="0"/>
              </w:rPr>
            </w:pPr>
          </w:p>
        </w:tc>
      </w:tr>
      <w:tr w14:paraId="3EEF5A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879" w:type="pct"/>
            <w:gridSpan w:val="2"/>
            <w:noWrap w:val="0"/>
            <w:vAlign w:val="center"/>
          </w:tcPr>
          <w:p w14:paraId="7D2C7C20">
            <w:pPr>
              <w:spacing w:line="0" w:lineRule="atLeast"/>
              <w:jc w:val="center"/>
              <w:rPr>
                <w:rFonts w:hint="eastAsia" w:ascii="宋体" w:hAnsi="宋体" w:eastAsia="宋体" w:cs="宋体"/>
                <w:bCs/>
                <w:kern w:val="0"/>
                <w:lang w:eastAsia="zh-CN"/>
              </w:rPr>
            </w:pPr>
            <w:r>
              <w:rPr>
                <w:rFonts w:hint="eastAsia" w:ascii="宋体" w:hAnsi="宋体" w:cs="宋体"/>
                <w:bCs/>
                <w:kern w:val="0"/>
                <w:lang w:val="en-US" w:eastAsia="zh-CN"/>
              </w:rPr>
              <w:t>商务部分</w:t>
            </w:r>
            <w:r>
              <w:rPr>
                <w:rFonts w:hint="eastAsia" w:ascii="宋体" w:hAnsi="宋体" w:cs="宋体"/>
                <w:bCs/>
                <w:kern w:val="0"/>
                <w:lang w:eastAsia="zh-CN"/>
              </w:rPr>
              <w:t>满分</w:t>
            </w:r>
          </w:p>
        </w:tc>
        <w:tc>
          <w:tcPr>
            <w:tcW w:w="900" w:type="pct"/>
            <w:noWrap w:val="0"/>
            <w:vAlign w:val="center"/>
          </w:tcPr>
          <w:p w14:paraId="28DFAA72">
            <w:pPr>
              <w:spacing w:line="0" w:lineRule="atLeast"/>
              <w:jc w:val="center"/>
              <w:rPr>
                <w:rFonts w:hint="default" w:ascii="宋体" w:hAnsi="宋体" w:eastAsia="宋体" w:cs="宋体"/>
                <w:bCs/>
                <w:kern w:val="0"/>
                <w:lang w:val="en-US" w:eastAsia="zh-CN"/>
              </w:rPr>
            </w:pPr>
            <w:r>
              <w:rPr>
                <w:rFonts w:hint="eastAsia" w:ascii="宋体" w:hAnsi="宋体" w:cs="宋体"/>
                <w:bCs/>
                <w:kern w:val="0"/>
                <w:lang w:val="en-US" w:eastAsia="zh-CN"/>
              </w:rPr>
              <w:t>80</w:t>
            </w:r>
          </w:p>
        </w:tc>
        <w:tc>
          <w:tcPr>
            <w:tcW w:w="2796" w:type="pct"/>
            <w:noWrap w:val="0"/>
            <w:vAlign w:val="center"/>
          </w:tcPr>
          <w:p w14:paraId="1B2B5826">
            <w:pPr>
              <w:spacing w:line="288" w:lineRule="auto"/>
              <w:jc w:val="left"/>
              <w:rPr>
                <w:rFonts w:hint="eastAsia" w:ascii="宋体" w:hAnsi="宋体" w:cs="宋体"/>
                <w:bCs/>
              </w:rPr>
            </w:pPr>
          </w:p>
        </w:tc>
        <w:tc>
          <w:tcPr>
            <w:tcW w:w="423" w:type="pct"/>
            <w:noWrap w:val="0"/>
            <w:vAlign w:val="center"/>
          </w:tcPr>
          <w:p w14:paraId="0A6A6EF1">
            <w:pPr>
              <w:spacing w:before="120" w:line="0" w:lineRule="atLeast"/>
              <w:ind w:right="-57"/>
              <w:rPr>
                <w:rFonts w:hint="eastAsia" w:ascii="宋体" w:hAnsi="宋体" w:cs="宋体"/>
                <w:bCs/>
                <w:kern w:val="0"/>
              </w:rPr>
            </w:pPr>
          </w:p>
        </w:tc>
      </w:tr>
    </w:tbl>
    <w:p w14:paraId="3735FC5D">
      <w:pPr>
        <w:spacing w:line="360" w:lineRule="auto"/>
        <w:ind w:firstLine="420" w:firstLineChars="200"/>
        <w:rPr>
          <w:rFonts w:ascii="宋体" w:hAnsi="宋体"/>
          <w:color w:val="000000"/>
          <w:szCs w:val="21"/>
          <w:highlight w:val="none"/>
        </w:rPr>
      </w:pPr>
    </w:p>
    <w:p w14:paraId="10DA0E30">
      <w:pPr>
        <w:pStyle w:val="46"/>
        <w:rPr>
          <w:color w:val="000000"/>
          <w:highlight w:val="none"/>
        </w:rPr>
      </w:pPr>
    </w:p>
    <w:p w14:paraId="4B00F66E">
      <w:pPr>
        <w:pStyle w:val="46"/>
        <w:rPr>
          <w:color w:val="000000"/>
          <w:highlight w:val="none"/>
        </w:rPr>
        <w:sectPr>
          <w:pgSz w:w="11905" w:h="16838"/>
          <w:pgMar w:top="1304" w:right="1417" w:bottom="1304" w:left="1417" w:header="850" w:footer="992" w:gutter="0"/>
          <w:pgNumType w:fmt="decimal"/>
          <w:cols w:space="720" w:num="1"/>
          <w:docGrid w:linePitch="312" w:charSpace="0"/>
        </w:sectPr>
      </w:pPr>
    </w:p>
    <w:bookmarkEnd w:id="245"/>
    <w:bookmarkEnd w:id="246"/>
    <w:bookmarkEnd w:id="271"/>
    <w:p w14:paraId="782B8D5C">
      <w:pPr>
        <w:spacing w:line="312" w:lineRule="auto"/>
        <w:jc w:val="center"/>
        <w:outlineLvl w:val="0"/>
        <w:rPr>
          <w:rFonts w:eastAsia="黑体"/>
          <w:b/>
          <w:bCs/>
          <w:color w:val="000000"/>
          <w:kern w:val="0"/>
          <w:sz w:val="32"/>
          <w:szCs w:val="32"/>
          <w:highlight w:val="none"/>
        </w:rPr>
      </w:pPr>
      <w:bookmarkStart w:id="297" w:name="_Toc18539"/>
      <w:bookmarkStart w:id="298" w:name="_Toc530736581"/>
      <w:bookmarkStart w:id="299" w:name="_Toc12867"/>
      <w:bookmarkStart w:id="300" w:name="_Toc32377"/>
      <w:bookmarkStart w:id="301" w:name="_Toc19940"/>
      <w:bookmarkStart w:id="302" w:name="_Toc9080"/>
      <w:bookmarkStart w:id="303" w:name="_Toc234121074"/>
      <w:bookmarkStart w:id="304" w:name="_Toc19285"/>
      <w:bookmarkStart w:id="305" w:name="_Toc11866"/>
      <w:bookmarkStart w:id="306" w:name="_Toc19223"/>
      <w:bookmarkStart w:id="307" w:name="_Toc297"/>
      <w:bookmarkStart w:id="308" w:name="_Toc1443"/>
      <w:r>
        <w:rPr>
          <w:rStyle w:val="73"/>
          <w:rFonts w:hint="eastAsia"/>
          <w:color w:val="000000"/>
          <w:highlight w:val="none"/>
        </w:rPr>
        <w:t>第四章 合同条款及格式</w:t>
      </w:r>
      <w:bookmarkEnd w:id="297"/>
      <w:bookmarkEnd w:id="298"/>
      <w:bookmarkEnd w:id="299"/>
      <w:bookmarkEnd w:id="300"/>
      <w:bookmarkEnd w:id="301"/>
      <w:bookmarkEnd w:id="302"/>
      <w:bookmarkEnd w:id="303"/>
      <w:bookmarkEnd w:id="304"/>
      <w:bookmarkEnd w:id="305"/>
      <w:bookmarkEnd w:id="306"/>
      <w:bookmarkEnd w:id="307"/>
      <w:bookmarkEnd w:id="308"/>
      <w:bookmarkStart w:id="309" w:name="_Toc11777"/>
      <w:bookmarkStart w:id="310" w:name="_Toc14957"/>
      <w:bookmarkStart w:id="311" w:name="_Toc31316"/>
      <w:bookmarkStart w:id="312" w:name="_Toc530736602"/>
      <w:bookmarkStart w:id="313" w:name="_Toc1420"/>
      <w:bookmarkStart w:id="314" w:name="_Toc234121073"/>
    </w:p>
    <w:p w14:paraId="42A1A03C">
      <w:pPr>
        <w:spacing w:line="312" w:lineRule="auto"/>
        <w:rPr>
          <w:rFonts w:ascii="宋体" w:hAnsi="宋体" w:cs="宋体"/>
          <w:b/>
          <w:color w:val="000000"/>
          <w:sz w:val="22"/>
          <w:highlight w:val="none"/>
        </w:rPr>
      </w:pPr>
    </w:p>
    <w:p w14:paraId="799A02BC">
      <w:pPr>
        <w:spacing w:after="120" w:afterLines="50" w:line="360" w:lineRule="auto"/>
        <w:ind w:right="448"/>
        <w:jc w:val="right"/>
        <w:rPr>
          <w:rFonts w:ascii="宋体" w:hAnsi="宋体"/>
          <w:color w:val="000000"/>
          <w:sz w:val="30"/>
          <w:szCs w:val="30"/>
          <w:highlight w:val="none"/>
        </w:rPr>
      </w:pPr>
      <w:bookmarkStart w:id="315" w:name="_Toc9555"/>
      <w:r>
        <w:rPr>
          <w:rFonts w:hint="eastAsia" w:ascii="宋体" w:hAnsi="宋体"/>
          <w:color w:val="000000"/>
          <w:sz w:val="30"/>
          <w:szCs w:val="30"/>
          <w:highlight w:val="none"/>
        </w:rPr>
        <w:t>【×本】</w:t>
      </w:r>
    </w:p>
    <w:p w14:paraId="3CF10AF6">
      <w:pPr>
        <w:snapToGrid w:val="0"/>
        <w:spacing w:line="360" w:lineRule="auto"/>
        <w:ind w:left="1493" w:right="-28" w:hanging="1493" w:hangingChars="338"/>
        <w:jc w:val="center"/>
        <w:rPr>
          <w:rFonts w:ascii="楷体_GB2312" w:eastAsia="楷体_GB2312"/>
          <w:b/>
          <w:color w:val="000000"/>
          <w:sz w:val="44"/>
          <w:szCs w:val="44"/>
          <w:highlight w:val="none"/>
        </w:rPr>
      </w:pPr>
      <w:r>
        <w:rPr>
          <w:rFonts w:hint="eastAsia"/>
          <w:b/>
          <w:color w:val="000000"/>
          <w:sz w:val="44"/>
          <w:szCs w:val="44"/>
          <w:highlight w:val="none"/>
        </w:rPr>
        <w:t>××采购项目</w:t>
      </w:r>
    </w:p>
    <w:tbl>
      <w:tblPr>
        <w:tblStyle w:val="49"/>
        <w:tblW w:w="0" w:type="auto"/>
        <w:jc w:val="center"/>
        <w:tblLayout w:type="autofit"/>
        <w:tblCellMar>
          <w:top w:w="0" w:type="dxa"/>
          <w:left w:w="108" w:type="dxa"/>
          <w:bottom w:w="0" w:type="dxa"/>
          <w:right w:w="108" w:type="dxa"/>
        </w:tblCellMar>
      </w:tblPr>
      <w:tblGrid>
        <w:gridCol w:w="1869"/>
        <w:gridCol w:w="4761"/>
      </w:tblGrid>
      <w:tr w14:paraId="50F8980C">
        <w:tblPrEx>
          <w:tblCellMar>
            <w:top w:w="0" w:type="dxa"/>
            <w:left w:w="108" w:type="dxa"/>
            <w:bottom w:w="0" w:type="dxa"/>
            <w:right w:w="108" w:type="dxa"/>
          </w:tblCellMar>
        </w:tblPrEx>
        <w:trPr>
          <w:trHeight w:val="411" w:hRule="atLeast"/>
          <w:jc w:val="center"/>
        </w:trPr>
        <w:tc>
          <w:tcPr>
            <w:tcW w:w="1869" w:type="dxa"/>
            <w:noWrap w:val="0"/>
            <w:vAlign w:val="top"/>
          </w:tcPr>
          <w:p w14:paraId="5BB99036">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项目编号：</w:t>
            </w:r>
          </w:p>
        </w:tc>
        <w:tc>
          <w:tcPr>
            <w:tcW w:w="4761" w:type="dxa"/>
            <w:noWrap w:val="0"/>
            <w:vAlign w:val="top"/>
          </w:tcPr>
          <w:p w14:paraId="4F489CBA">
            <w:pPr>
              <w:spacing w:line="360" w:lineRule="auto"/>
              <w:jc w:val="left"/>
              <w:rPr>
                <w:rFonts w:ascii="宋体" w:hAnsi="宋体"/>
                <w:color w:val="000000"/>
                <w:sz w:val="28"/>
                <w:szCs w:val="30"/>
                <w:highlight w:val="none"/>
              </w:rPr>
            </w:pPr>
          </w:p>
        </w:tc>
      </w:tr>
      <w:tr w14:paraId="61A97E60">
        <w:tblPrEx>
          <w:tblCellMar>
            <w:top w:w="0" w:type="dxa"/>
            <w:left w:w="108" w:type="dxa"/>
            <w:bottom w:w="0" w:type="dxa"/>
            <w:right w:w="108" w:type="dxa"/>
          </w:tblCellMar>
        </w:tblPrEx>
        <w:trPr>
          <w:trHeight w:val="118" w:hRule="atLeast"/>
          <w:jc w:val="center"/>
        </w:trPr>
        <w:tc>
          <w:tcPr>
            <w:tcW w:w="1869" w:type="dxa"/>
            <w:noWrap w:val="0"/>
            <w:vAlign w:val="top"/>
          </w:tcPr>
          <w:p w14:paraId="647C232A">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合同编号：</w:t>
            </w:r>
          </w:p>
        </w:tc>
        <w:tc>
          <w:tcPr>
            <w:tcW w:w="4761" w:type="dxa"/>
            <w:noWrap w:val="0"/>
            <w:vAlign w:val="top"/>
          </w:tcPr>
          <w:p w14:paraId="3A3D1D3A">
            <w:pPr>
              <w:spacing w:line="360" w:lineRule="auto"/>
              <w:jc w:val="left"/>
              <w:rPr>
                <w:rFonts w:ascii="宋体" w:hAnsi="宋体"/>
                <w:color w:val="000000"/>
                <w:sz w:val="28"/>
                <w:szCs w:val="30"/>
                <w:highlight w:val="none"/>
              </w:rPr>
            </w:pPr>
          </w:p>
        </w:tc>
      </w:tr>
    </w:tbl>
    <w:p w14:paraId="0F9089F2">
      <w:pPr>
        <w:spacing w:line="360" w:lineRule="auto"/>
        <w:ind w:left="2443" w:right="-28" w:hanging="2443" w:hangingChars="338"/>
        <w:jc w:val="center"/>
        <w:rPr>
          <w:b/>
          <w:color w:val="000000"/>
          <w:sz w:val="72"/>
          <w:szCs w:val="52"/>
          <w:highlight w:val="none"/>
        </w:rPr>
      </w:pPr>
    </w:p>
    <w:p w14:paraId="1196B663">
      <w:pPr>
        <w:spacing w:line="360" w:lineRule="auto"/>
        <w:ind w:left="2443" w:right="-28" w:hanging="2443" w:hangingChars="338"/>
        <w:jc w:val="center"/>
        <w:rPr>
          <w:b/>
          <w:color w:val="000000"/>
          <w:sz w:val="72"/>
          <w:szCs w:val="52"/>
          <w:highlight w:val="none"/>
        </w:rPr>
      </w:pPr>
    </w:p>
    <w:p w14:paraId="31D5B2BF">
      <w:pPr>
        <w:spacing w:line="360" w:lineRule="auto"/>
        <w:ind w:left="2443" w:right="-28" w:hanging="2443" w:hangingChars="338"/>
        <w:jc w:val="center"/>
        <w:rPr>
          <w:rFonts w:ascii="楷体_GB2312" w:eastAsia="楷体_GB2312"/>
          <w:b/>
          <w:color w:val="000000"/>
          <w:sz w:val="72"/>
          <w:szCs w:val="52"/>
          <w:highlight w:val="none"/>
        </w:rPr>
      </w:pPr>
      <w:r>
        <w:rPr>
          <w:rFonts w:hint="eastAsia"/>
          <w:b/>
          <w:color w:val="000000"/>
          <w:sz w:val="72"/>
          <w:szCs w:val="52"/>
          <w:highlight w:val="none"/>
        </w:rPr>
        <w:t>合</w:t>
      </w:r>
    </w:p>
    <w:p w14:paraId="33B85355">
      <w:pPr>
        <w:spacing w:line="360" w:lineRule="auto"/>
        <w:ind w:left="2443" w:right="-28" w:hanging="2443" w:hangingChars="338"/>
        <w:jc w:val="center"/>
        <w:rPr>
          <w:rFonts w:ascii="宋体" w:hAnsi="宋体"/>
          <w:b/>
          <w:color w:val="000000"/>
          <w:sz w:val="72"/>
          <w:szCs w:val="52"/>
          <w:highlight w:val="none"/>
        </w:rPr>
      </w:pPr>
      <w:r>
        <w:rPr>
          <w:rFonts w:hint="eastAsia"/>
          <w:b/>
          <w:color w:val="000000"/>
          <w:sz w:val="72"/>
          <w:szCs w:val="52"/>
          <w:highlight w:val="none"/>
        </w:rPr>
        <w:t>同</w:t>
      </w:r>
    </w:p>
    <w:p w14:paraId="25329278">
      <w:pPr>
        <w:spacing w:line="360" w:lineRule="auto"/>
        <w:ind w:left="2443" w:right="-28" w:hanging="2443" w:hangingChars="338"/>
        <w:jc w:val="center"/>
        <w:rPr>
          <w:rFonts w:ascii="宋体" w:hAnsi="宋体"/>
          <w:b/>
          <w:color w:val="000000"/>
          <w:sz w:val="52"/>
          <w:highlight w:val="none"/>
        </w:rPr>
      </w:pPr>
      <w:r>
        <w:rPr>
          <w:rFonts w:hint="eastAsia"/>
          <w:b/>
          <w:color w:val="000000"/>
          <w:sz w:val="72"/>
          <w:szCs w:val="52"/>
          <w:highlight w:val="none"/>
        </w:rPr>
        <w:t>书</w:t>
      </w:r>
    </w:p>
    <w:p w14:paraId="2E58B2A0">
      <w:pPr>
        <w:pStyle w:val="46"/>
        <w:rPr>
          <w:color w:val="000000"/>
          <w:highlight w:val="none"/>
        </w:rPr>
      </w:pPr>
    </w:p>
    <w:p w14:paraId="7F5E596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甲    方：</w:t>
      </w:r>
    </w:p>
    <w:p w14:paraId="7B7D2ECD">
      <w:pPr>
        <w:snapToGrid w:val="0"/>
        <w:spacing w:line="360" w:lineRule="auto"/>
        <w:ind w:firstLine="1405" w:firstLineChars="500"/>
        <w:rPr>
          <w:color w:val="000000"/>
          <w:sz w:val="28"/>
          <w:szCs w:val="28"/>
          <w:highlight w:val="none"/>
        </w:rPr>
      </w:pPr>
      <w:r>
        <w:rPr>
          <w:rFonts w:hint="eastAsia" w:ascii="宋体" w:hAnsi="宋体"/>
          <w:b/>
          <w:color w:val="000000"/>
          <w:sz w:val="28"/>
          <w:szCs w:val="28"/>
          <w:highlight w:val="none"/>
        </w:rPr>
        <w:t>乙    方：</w:t>
      </w:r>
    </w:p>
    <w:p w14:paraId="284203D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签约日期：</w:t>
      </w:r>
      <w:r>
        <w:rPr>
          <w:rFonts w:hint="eastAsia" w:ascii="宋体" w:hAnsi="宋体"/>
          <w:color w:val="000000"/>
          <w:sz w:val="28"/>
          <w:szCs w:val="28"/>
          <w:highlight w:val="none"/>
        </w:rPr>
        <w:t>年</w:t>
      </w:r>
      <w:r>
        <w:rPr>
          <w:rFonts w:hint="eastAsia" w:ascii="宋体" w:hAnsi="宋体"/>
          <w:b/>
          <w:bCs/>
          <w:color w:val="000000"/>
          <w:sz w:val="28"/>
          <w:szCs w:val="28"/>
          <w:highlight w:val="none"/>
          <w:u w:val="single"/>
        </w:rPr>
        <w:t xml:space="preserve">　 </w:t>
      </w:r>
      <w:r>
        <w:rPr>
          <w:rFonts w:hint="eastAsia" w:ascii="宋体" w:hAnsi="宋体"/>
          <w:color w:val="000000"/>
          <w:sz w:val="28"/>
          <w:szCs w:val="28"/>
          <w:highlight w:val="none"/>
          <w:u w:val="single"/>
        </w:rPr>
        <w:t>　</w:t>
      </w:r>
      <w:r>
        <w:rPr>
          <w:rFonts w:hint="eastAsia" w:ascii="宋体" w:hAnsi="宋体"/>
          <w:color w:val="000000"/>
          <w:sz w:val="28"/>
          <w:szCs w:val="28"/>
          <w:highlight w:val="none"/>
        </w:rPr>
        <w:t>月</w:t>
      </w:r>
      <w:r>
        <w:rPr>
          <w:rFonts w:hint="eastAsia" w:ascii="宋体" w:hAnsi="宋体"/>
          <w:color w:val="000000"/>
          <w:sz w:val="28"/>
          <w:szCs w:val="28"/>
          <w:highlight w:val="none"/>
          <w:u w:val="single"/>
        </w:rPr>
        <w:t xml:space="preserve">　    </w:t>
      </w:r>
      <w:r>
        <w:rPr>
          <w:rFonts w:hint="eastAsia" w:ascii="宋体" w:hAnsi="宋体"/>
          <w:color w:val="000000"/>
          <w:sz w:val="28"/>
          <w:szCs w:val="28"/>
          <w:highlight w:val="none"/>
        </w:rPr>
        <w:t>日</w:t>
      </w:r>
    </w:p>
    <w:p w14:paraId="57DE164D">
      <w:pPr>
        <w:snapToGrid w:val="0"/>
        <w:spacing w:line="360" w:lineRule="auto"/>
        <w:ind w:right="-86" w:rightChars="-41" w:firstLine="1405" w:firstLineChars="500"/>
        <w:rPr>
          <w:rFonts w:ascii="宋体" w:hAnsi="宋体"/>
          <w:b/>
          <w:bCs/>
          <w:color w:val="000000"/>
          <w:sz w:val="28"/>
          <w:szCs w:val="28"/>
          <w:highlight w:val="none"/>
        </w:rPr>
      </w:pPr>
      <w:r>
        <w:rPr>
          <w:rFonts w:hint="eastAsia" w:ascii="宋体" w:hAnsi="宋体"/>
          <w:b/>
          <w:color w:val="000000"/>
          <w:sz w:val="28"/>
          <w:szCs w:val="28"/>
          <w:highlight w:val="none"/>
        </w:rPr>
        <w:t>签约</w:t>
      </w:r>
      <w:r>
        <w:rPr>
          <w:rFonts w:hint="eastAsia" w:ascii="宋体" w:hAnsi="宋体"/>
          <w:b/>
          <w:bCs/>
          <w:color w:val="000000"/>
          <w:sz w:val="28"/>
          <w:szCs w:val="28"/>
          <w:highlight w:val="none"/>
        </w:rPr>
        <w:t>地点：</w:t>
      </w:r>
      <w:r>
        <w:rPr>
          <w:rFonts w:hint="eastAsia" w:ascii="宋体" w:hAnsi="宋体"/>
          <w:color w:val="000000"/>
          <w:sz w:val="28"/>
          <w:szCs w:val="28"/>
          <w:highlight w:val="none"/>
        </w:rPr>
        <w:t>广西壮族自治区南宁市</w:t>
      </w:r>
      <w:bookmarkStart w:id="316" w:name="_Toc369787000"/>
      <w:bookmarkEnd w:id="316"/>
    </w:p>
    <w:p w14:paraId="26A8E1AA">
      <w:pPr>
        <w:pStyle w:val="37"/>
        <w:tabs>
          <w:tab w:val="right" w:leader="dot" w:pos="9069"/>
        </w:tabs>
        <w:snapToGrid w:val="0"/>
        <w:jc w:val="center"/>
        <w:rPr>
          <w:rFonts w:ascii="宋体" w:hAnsi="宋体"/>
          <w:b/>
          <w:bCs/>
          <w:color w:val="000000"/>
          <w:sz w:val="28"/>
          <w:szCs w:val="28"/>
          <w:highlight w:val="none"/>
        </w:rPr>
        <w:sectPr>
          <w:pgSz w:w="11905" w:h="16838"/>
          <w:pgMar w:top="1304" w:right="1417" w:bottom="1304" w:left="1417" w:header="850" w:footer="992" w:gutter="0"/>
          <w:pgNumType w:fmt="decimal"/>
          <w:cols w:space="720" w:num="1"/>
          <w:docGrid w:linePitch="312" w:charSpace="0"/>
        </w:sectPr>
      </w:pPr>
    </w:p>
    <w:p w14:paraId="14A2D74E">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b/>
          <w:bCs/>
          <w:color w:val="auto"/>
          <w:sz w:val="28"/>
          <w:szCs w:val="28"/>
          <w:lang w:eastAsia="zh-CN"/>
        </w:rPr>
      </w:pPr>
      <w:r>
        <w:rPr>
          <w:rFonts w:hint="eastAsia" w:asciiTheme="minorEastAsia" w:hAnsiTheme="minorEastAsia" w:eastAsiaTheme="minorEastAsia" w:cstheme="minorEastAsia"/>
          <w:b/>
          <w:bCs/>
          <w:color w:val="auto"/>
          <w:sz w:val="28"/>
          <w:szCs w:val="28"/>
          <w:lang w:eastAsia="zh-CN"/>
        </w:rPr>
        <w:t>2025年-2026年南宁轨道地产建筑工程有限责任公司钢筋集中采购项目</w:t>
      </w:r>
    </w:p>
    <w:p w14:paraId="44FF33F8">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购销合同</w:t>
      </w:r>
    </w:p>
    <w:p w14:paraId="584662B4">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b/>
          <w:color w:val="auto"/>
          <w:sz w:val="24"/>
          <w:szCs w:val="24"/>
        </w:rPr>
      </w:pPr>
    </w:p>
    <w:p w14:paraId="362028F7">
      <w:pPr>
        <w:spacing w:line="440" w:lineRule="exact"/>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甲方（购方）：</w:t>
      </w:r>
      <w:r>
        <w:rPr>
          <w:rFonts w:hint="eastAsia" w:ascii="宋体" w:hAnsi="宋体" w:eastAsia="宋体" w:cs="宋体"/>
          <w:b/>
          <w:color w:val="auto"/>
          <w:sz w:val="24"/>
          <w:szCs w:val="24"/>
          <w:highlight w:val="none"/>
          <w:u w:val="single"/>
        </w:rPr>
        <w:t>南宁轨道地产建筑工程有限责任公司</w:t>
      </w:r>
    </w:p>
    <w:p w14:paraId="224CFEB3">
      <w:pPr>
        <w:spacing w:line="440" w:lineRule="exact"/>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乙方（供方）：</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166AAE8E">
      <w:pPr>
        <w:spacing w:line="44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一、供应项目、生产厂、规格品种、等级、包装、价格</w:t>
      </w:r>
    </w:p>
    <w:p w14:paraId="09E7E57B">
      <w:pPr>
        <w:spacing w:line="440" w:lineRule="exact"/>
        <w:ind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1、供应项目：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u w:val="single"/>
        </w:rPr>
        <w:t>根据具体的项目而定</w:t>
      </w:r>
      <w:r>
        <w:rPr>
          <w:rFonts w:hint="eastAsia" w:ascii="宋体" w:hAnsi="宋体" w:eastAsia="宋体" w:cs="宋体"/>
          <w:color w:val="auto"/>
          <w:sz w:val="24"/>
          <w:szCs w:val="24"/>
          <w:highlight w:val="none"/>
          <w:u w:val="single"/>
        </w:rPr>
        <w:t xml:space="preserve">  </w:t>
      </w:r>
    </w:p>
    <w:p w14:paraId="788C7646">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u w:val="single"/>
        </w:rPr>
        <w:t>根据具体的项目而定</w:t>
      </w:r>
      <w:r>
        <w:rPr>
          <w:rFonts w:hint="eastAsia" w:ascii="宋体" w:hAnsi="宋体" w:eastAsia="宋体" w:cs="宋体"/>
          <w:color w:val="auto"/>
          <w:sz w:val="24"/>
          <w:szCs w:val="24"/>
          <w:highlight w:val="none"/>
          <w:u w:val="single"/>
        </w:rPr>
        <w:t xml:space="preserve">  </w:t>
      </w:r>
    </w:p>
    <w:p w14:paraId="5FD92727">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3、规格品种、等级、包装、采购单价、暂定采购量等：详见合同附件一 ，采购单价包含：</w:t>
      </w:r>
      <w:r>
        <w:rPr>
          <w:rFonts w:hint="eastAsia" w:ascii="宋体" w:hAnsi="宋体" w:eastAsia="宋体" w:cs="宋体"/>
          <w:color w:val="auto"/>
          <w:sz w:val="24"/>
          <w:szCs w:val="24"/>
          <w:highlight w:val="none"/>
          <w:u w:val="single"/>
        </w:rPr>
        <w:t xml:space="preserve"> 材料费、运费、卸车费、税金等</w:t>
      </w:r>
      <w:r>
        <w:rPr>
          <w:rFonts w:hint="eastAsia" w:ascii="宋体" w:hAnsi="宋体" w:eastAsia="宋体" w:cs="宋体"/>
          <w:color w:val="auto"/>
          <w:sz w:val="24"/>
          <w:szCs w:val="24"/>
          <w:highlight w:val="none"/>
        </w:rPr>
        <w:t>。</w:t>
      </w:r>
    </w:p>
    <w:p w14:paraId="7F2C8ED6">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4、发票要求：由乙方提供发票，发票要求是增值税专用发票。</w:t>
      </w:r>
    </w:p>
    <w:p w14:paraId="211A6D58">
      <w:pPr>
        <w:spacing w:line="440" w:lineRule="exact"/>
        <w:ind w:firstLine="424" w:firstLineChars="177"/>
        <w:jc w:val="lef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最终实际结算单价=</w:t>
      </w:r>
      <w:r>
        <w:rPr>
          <w:rFonts w:hint="eastAsia" w:ascii="宋体" w:hAnsi="宋体" w:eastAsia="宋体" w:cs="宋体"/>
          <w:color w:val="auto"/>
          <w:sz w:val="24"/>
          <w:szCs w:val="24"/>
          <w:highlight w:val="none"/>
          <w:u w:val="single"/>
          <w:lang w:val="en-US" w:eastAsia="zh-CN"/>
        </w:rPr>
        <w:t>下单</w:t>
      </w:r>
      <w:r>
        <w:rPr>
          <w:rFonts w:hint="eastAsia" w:ascii="宋体" w:hAnsi="宋体" w:eastAsia="宋体" w:cs="宋体"/>
          <w:color w:val="auto"/>
          <w:sz w:val="24"/>
          <w:szCs w:val="24"/>
          <w:highlight w:val="none"/>
          <w:u w:val="single"/>
        </w:rPr>
        <w:t>当日“我的钢铁网（www.mysteel.com）”公布的“南宁市场建筑钢材价格行情”中对应品牌、规格、材质的当天第一次报价（含税）-下调</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u w:val="single"/>
          <w:lang w:bidi="ar"/>
        </w:rPr>
        <w:t xml:space="preserve"> </w:t>
      </w:r>
      <w:r>
        <w:rPr>
          <w:rFonts w:hint="eastAsia" w:ascii="宋体" w:hAnsi="宋体" w:eastAsia="宋体" w:cs="宋体"/>
          <w:color w:val="auto"/>
          <w:sz w:val="24"/>
          <w:szCs w:val="24"/>
          <w:highlight w:val="none"/>
          <w:u w:val="single"/>
        </w:rPr>
        <w:t>元/吨</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如遇节假日《我的钢铁网》没有公布钢材价格的，以节假日前最后一天所公布的钢材价格作为基准价</w:t>
      </w:r>
      <w:r>
        <w:rPr>
          <w:rFonts w:hint="eastAsia" w:ascii="宋体" w:hAnsi="宋体" w:cs="宋体"/>
          <w:color w:val="auto"/>
          <w:sz w:val="24"/>
          <w:szCs w:val="24"/>
          <w:highlight w:val="none"/>
          <w:u w:val="single"/>
          <w:lang w:val="en-US" w:eastAsia="zh-CN"/>
        </w:rPr>
        <w:t>。</w:t>
      </w:r>
    </w:p>
    <w:p w14:paraId="41FE8D36">
      <w:pPr>
        <w:spacing w:line="440" w:lineRule="exact"/>
        <w:ind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、合同暂定金额：（大写）人民币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除税总价为：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元</w:t>
      </w:r>
      <w:r>
        <w:rPr>
          <w:rFonts w:hint="eastAsia" w:ascii="宋体" w:hAnsi="宋体" w:eastAsia="宋体" w:cs="宋体"/>
          <w:bCs/>
          <w:color w:val="auto"/>
          <w:sz w:val="24"/>
          <w:szCs w:val="24"/>
          <w:highlight w:val="none"/>
        </w:rPr>
        <w:t>，增值税为：</w:t>
      </w:r>
      <w:r>
        <w:rPr>
          <w:rFonts w:hint="eastAsia" w:ascii="宋体" w:hAnsi="宋体" w:eastAsia="宋体" w:cs="宋体"/>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元）</w:t>
      </w:r>
      <w:r>
        <w:rPr>
          <w:rFonts w:hint="eastAsia" w:ascii="宋体" w:hAnsi="宋体" w:eastAsia="宋体" w:cs="宋体"/>
          <w:bCs/>
          <w:color w:val="auto"/>
          <w:sz w:val="24"/>
          <w:szCs w:val="24"/>
          <w:highlight w:val="none"/>
        </w:rPr>
        <w:t>。合同综合单价暂按本次报价的价格确定，合同总价为含税价，税率为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，增值税和税率随着国家或地区政策的调整而调整。</w:t>
      </w:r>
    </w:p>
    <w:p w14:paraId="1C9C1BBC">
      <w:pPr>
        <w:spacing w:line="440" w:lineRule="exact"/>
        <w:ind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.甲方向乙方提出增加</w:t>
      </w:r>
      <w:r>
        <w:rPr>
          <w:rFonts w:hint="eastAsia" w:ascii="宋体" w:hAnsi="宋体" w:eastAsia="宋体" w:cs="宋体"/>
          <w:bCs/>
          <w:color w:val="auto"/>
          <w:sz w:val="24"/>
          <w:szCs w:val="24"/>
          <w:highlight w:val="none"/>
          <w:lang w:eastAsia="zh-CN"/>
        </w:rPr>
        <w:t>供应物资</w:t>
      </w:r>
      <w:r>
        <w:rPr>
          <w:rFonts w:hint="eastAsia" w:ascii="宋体" w:hAnsi="宋体" w:eastAsia="宋体" w:cs="宋体"/>
          <w:bCs/>
          <w:color w:val="auto"/>
          <w:sz w:val="24"/>
          <w:szCs w:val="24"/>
          <w:highlight w:val="none"/>
        </w:rPr>
        <w:t>内容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包括内容和数量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，乙方应无条件服从并按甲方的要求配合完成</w:t>
      </w:r>
      <w:r>
        <w:rPr>
          <w:rFonts w:hint="eastAsia" w:ascii="宋体" w:hAnsi="宋体" w:eastAsia="宋体" w:cs="宋体"/>
          <w:bCs/>
          <w:color w:val="auto"/>
          <w:sz w:val="24"/>
          <w:szCs w:val="24"/>
          <w:highlight w:val="none"/>
          <w:lang w:eastAsia="zh-CN"/>
        </w:rPr>
        <w:t>供应</w:t>
      </w:r>
      <w:r>
        <w:rPr>
          <w:rFonts w:hint="eastAsia" w:ascii="宋体" w:hAnsi="宋体" w:eastAsia="宋体" w:cs="宋体"/>
          <w:bCs/>
          <w:color w:val="auto"/>
          <w:sz w:val="24"/>
          <w:szCs w:val="24"/>
          <w:highlight w:val="none"/>
        </w:rPr>
        <w:t>。</w:t>
      </w:r>
    </w:p>
    <w:p w14:paraId="5AC1D186">
      <w:pPr>
        <w:spacing w:line="440" w:lineRule="exact"/>
        <w:ind w:firstLine="424" w:firstLineChars="177"/>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.乙方应根据合同中已确定单价的内容提供确保质量要求的物资（包括材料或设备的内容和数量），如有新增内容，双方另行协商确定单价，并可根据实际发生的数量提出结算和支付申请。</w:t>
      </w:r>
      <w:r>
        <w:rPr>
          <w:rFonts w:hint="eastAsia" w:ascii="宋体" w:hAnsi="宋体" w:eastAsia="宋体" w:cs="宋体"/>
          <w:bCs/>
          <w:color w:val="auto"/>
          <w:sz w:val="24"/>
          <w:szCs w:val="24"/>
          <w:highlight w:val="none"/>
          <w:lang w:val="en-US" w:eastAsia="zh-CN"/>
        </w:rPr>
        <w:t xml:space="preserve"> </w:t>
      </w:r>
    </w:p>
    <w:p w14:paraId="3170E51B">
      <w:pPr>
        <w:spacing w:line="440" w:lineRule="exact"/>
        <w:ind w:firstLine="426" w:firstLineChars="177"/>
        <w:jc w:val="left"/>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sz w:val="24"/>
          <w:szCs w:val="24"/>
          <w:highlight w:val="none"/>
          <w:lang w:val="en-US" w:eastAsia="zh-CN"/>
        </w:rPr>
        <w:t>9.乙方应充分考虑集中采购期间供货量的不确定性。若乙方在供货期间未能按要求时间供货，甲方有</w:t>
      </w:r>
      <w:r>
        <w:rPr>
          <w:rFonts w:hint="eastAsia" w:ascii="宋体" w:hAnsi="宋体" w:eastAsia="宋体" w:cs="宋体"/>
          <w:b/>
          <w:bCs w:val="0"/>
          <w:color w:val="auto"/>
          <w:kern w:val="2"/>
          <w:sz w:val="24"/>
          <w:szCs w:val="24"/>
          <w:highlight w:val="none"/>
          <w:lang w:val="en-US" w:eastAsia="zh-CN" w:bidi="ar-SA"/>
        </w:rPr>
        <w:t>权按中选人候选人的顺位选择供应商进行供货。</w:t>
      </w:r>
    </w:p>
    <w:p w14:paraId="179C32C4">
      <w:pPr>
        <w:spacing w:line="440" w:lineRule="exact"/>
        <w:ind w:firstLine="424" w:firstLineChars="177"/>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10.集中采购期间，甲方可视项目实际情况及乙方履约情况对乙方供货范围进行调整。</w:t>
      </w:r>
    </w:p>
    <w:p w14:paraId="3FF21F71">
      <w:pPr>
        <w:spacing w:line="44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二、供货时间及数量</w:t>
      </w:r>
    </w:p>
    <w:p w14:paraId="0BFEFB00">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1、甲方指定供货通知人：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，其他人员通知无效。</w:t>
      </w:r>
    </w:p>
    <w:p w14:paraId="417D5C71">
      <w:pPr>
        <w:spacing w:line="440" w:lineRule="exact"/>
        <w:ind w:left="1" w:firstLine="424" w:firstLineChars="177"/>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本合同甲方经办人：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，负责发送“供货通知书”给乙方，以及本合同的供货协调和管控。</w:t>
      </w:r>
    </w:p>
    <w:p w14:paraId="7D62C785">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计划供货时间：</w:t>
      </w:r>
      <w:r>
        <w:rPr>
          <w:rFonts w:hint="eastAsia" w:ascii="宋体" w:hAnsi="宋体" w:eastAsia="宋体" w:cs="宋体"/>
          <w:color w:val="auto"/>
          <w:sz w:val="24"/>
          <w:szCs w:val="24"/>
          <w:highlight w:val="none"/>
          <w:lang w:val="en-US" w:eastAsia="zh-CN"/>
        </w:rPr>
        <w:t>自合同签订之日起</w:t>
      </w:r>
      <w:r>
        <w:rPr>
          <w:rFonts w:hint="eastAsia" w:ascii="宋体" w:hAnsi="宋体" w:eastAsia="宋体" w:cs="宋体"/>
          <w:color w:val="auto"/>
          <w:sz w:val="24"/>
          <w:szCs w:val="24"/>
          <w:highlight w:val="none"/>
        </w:rPr>
        <w:t>，有效期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202   年 月 日至202 年  月  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在接到甲方供货通知后，48小时内乙方供货到甲方指定的项目现场。</w:t>
      </w:r>
    </w:p>
    <w:p w14:paraId="5BB7FA6A">
      <w:pPr>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36747B03">
      <w:pPr>
        <w:spacing w:line="44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三、质量标准、进场验收、资质资料、合格证明</w:t>
      </w:r>
    </w:p>
    <w:p w14:paraId="1DD08C52">
      <w:pPr>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1、质量标准：使用国标材料，每一批次材料进场时，均</w:t>
      </w:r>
      <w:r>
        <w:rPr>
          <w:rFonts w:hint="eastAsia" w:ascii="宋体" w:hAnsi="宋体" w:eastAsia="宋体" w:cs="宋体"/>
          <w:color w:val="auto"/>
          <w:sz w:val="24"/>
          <w:szCs w:val="24"/>
          <w:highlight w:val="none"/>
          <w:lang w:val="en-US" w:eastAsia="zh-CN"/>
        </w:rPr>
        <w:t>由</w:t>
      </w:r>
      <w:r>
        <w:rPr>
          <w:rFonts w:hint="eastAsia" w:ascii="宋体" w:hAnsi="宋体" w:eastAsia="宋体" w:cs="宋体"/>
          <w:color w:val="auto"/>
          <w:sz w:val="24"/>
          <w:szCs w:val="24"/>
          <w:highlight w:val="none"/>
        </w:rPr>
        <w:t>甲方、乙方共同委托建设方认可的有资质的检测机构检测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如发现不合格材料甲方可以要求退、换货，退、换货产生的费用（除材料货款外）全部由乙方承担，且此次换货材料货款打9折结算并承担相应责任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经鉴定仍不合格，检测费用由乙方承担，需进行结构处理时，乙方承担因供应</w:t>
      </w:r>
      <w:r>
        <w:rPr>
          <w:rFonts w:hint="eastAsia" w:ascii="宋体" w:hAnsi="宋体" w:eastAsia="宋体" w:cs="宋体"/>
          <w:color w:val="auto"/>
          <w:sz w:val="24"/>
          <w:szCs w:val="24"/>
          <w:highlight w:val="none"/>
          <w:lang w:val="en-US" w:eastAsia="zh-CN"/>
        </w:rPr>
        <w:t>钢筋</w:t>
      </w:r>
      <w:r>
        <w:rPr>
          <w:rFonts w:hint="eastAsia" w:ascii="宋体" w:hAnsi="宋体" w:eastAsia="宋体" w:cs="宋体"/>
          <w:color w:val="auto"/>
          <w:sz w:val="24"/>
          <w:szCs w:val="24"/>
          <w:highlight w:val="none"/>
        </w:rPr>
        <w:t>质量不合格造成的工期延误及发生的一切费用损失（包括但不限于律师代理费、诉讼费、甲方对客户的赔款等）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并依据本合同第七条的规定承担相应的违约责任。</w:t>
      </w:r>
    </w:p>
    <w:p w14:paraId="21798120">
      <w:pPr>
        <w:spacing w:line="440" w:lineRule="exact"/>
        <w:ind w:left="1"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2、乙方提供相关的厂家资质资料，以及产品合格证明：生产厂家营业执照（复印件）、生产厂家生产许可证（复印件）、所供各类规格材料的生产厂家出厂检验报告（复印件）、产品合格证（原件）或原</w:t>
      </w:r>
      <w:r>
        <w:rPr>
          <w:rFonts w:hint="eastAsia" w:ascii="宋体" w:hAnsi="宋体" w:eastAsia="宋体" w:cs="宋体"/>
          <w:color w:val="auto"/>
          <w:sz w:val="24"/>
          <w:szCs w:val="24"/>
          <w:highlight w:val="none"/>
          <w:lang w:eastAsia="zh-CN"/>
        </w:rPr>
        <w:t>材料</w:t>
      </w:r>
      <w:r>
        <w:rPr>
          <w:rFonts w:hint="eastAsia" w:ascii="宋体" w:hAnsi="宋体" w:eastAsia="宋体" w:cs="宋体"/>
          <w:color w:val="auto"/>
          <w:sz w:val="24"/>
          <w:szCs w:val="24"/>
          <w:highlight w:val="none"/>
        </w:rPr>
        <w:t>产品质量证明书（复印件）。所提供的资料按一式四份分别提供，复印件要求每页加盖生产厂家或供货商公章或骑缝章。</w:t>
      </w:r>
    </w:p>
    <w:p w14:paraId="4A1D79F6">
      <w:pPr>
        <w:spacing w:line="440" w:lineRule="exact"/>
        <w:ind w:left="482" w:hanging="482" w:hanging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四、交货地点、交货方式、收货签认、送货单要求：</w:t>
      </w:r>
    </w:p>
    <w:p w14:paraId="442F537F">
      <w:pPr>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1、甲方根据实际采购需求将采购的材料信息以“</w:t>
      </w:r>
      <w:r>
        <w:rPr>
          <w:rFonts w:hint="eastAsia" w:ascii="宋体" w:hAnsi="宋体" w:eastAsia="宋体" w:cs="宋体"/>
          <w:color w:val="auto"/>
          <w:sz w:val="24"/>
          <w:szCs w:val="24"/>
          <w:highlight w:val="none"/>
          <w:u w:val="single"/>
        </w:rPr>
        <w:t>供货通知”形式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详见合同附件</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）提交乙方，甲方应在“供货通知”中明确材料的产品名称、规格型号、数量、到货日期、工程项目、送货地址、</w:t>
      </w:r>
      <w:r>
        <w:rPr>
          <w:rFonts w:hint="eastAsia" w:ascii="宋体" w:hAnsi="宋体" w:eastAsia="宋体" w:cs="宋体"/>
          <w:color w:val="auto"/>
          <w:sz w:val="24"/>
          <w:szCs w:val="24"/>
          <w:highlight w:val="none"/>
          <w:u w:val="single"/>
          <w:lang w:val="en-US" w:eastAsia="zh-CN"/>
        </w:rPr>
        <w:t>收货人</w:t>
      </w:r>
      <w:r>
        <w:rPr>
          <w:rFonts w:hint="eastAsia" w:ascii="宋体" w:hAnsi="宋体" w:eastAsia="宋体" w:cs="宋体"/>
          <w:color w:val="auto"/>
          <w:sz w:val="24"/>
          <w:szCs w:val="24"/>
          <w:highlight w:val="none"/>
          <w:u w:val="single"/>
        </w:rPr>
        <w:t>及联系方式等</w:t>
      </w:r>
      <w:r>
        <w:rPr>
          <w:rFonts w:hint="eastAsia" w:ascii="宋体" w:hAnsi="宋体" w:eastAsia="宋体" w:cs="宋体"/>
          <w:color w:val="auto"/>
          <w:sz w:val="24"/>
          <w:szCs w:val="24"/>
          <w:highlight w:val="none"/>
        </w:rPr>
        <w:t>。</w:t>
      </w:r>
    </w:p>
    <w:p w14:paraId="401F551E">
      <w:pPr>
        <w:spacing w:line="440" w:lineRule="exact"/>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乙方须无条件按照甲方的“供货通知”要求进行供货，</w:t>
      </w:r>
      <w:r>
        <w:rPr>
          <w:rFonts w:hint="eastAsia" w:ascii="宋体" w:hAnsi="宋体" w:eastAsia="宋体" w:cs="宋体"/>
          <w:color w:val="auto"/>
          <w:sz w:val="24"/>
          <w:szCs w:val="24"/>
          <w:highlight w:val="none"/>
          <w:u w:val="single"/>
        </w:rPr>
        <w:t>乙方负责根据甲方的“供货通知”将材料运至甲方指定地点，</w:t>
      </w:r>
      <w:r>
        <w:rPr>
          <w:rFonts w:hint="eastAsia" w:ascii="宋体" w:hAnsi="宋体" w:eastAsia="宋体" w:cs="宋体"/>
          <w:color w:val="auto"/>
          <w:sz w:val="24"/>
          <w:szCs w:val="24"/>
          <w:highlight w:val="none"/>
        </w:rPr>
        <w:t>卸完清点后，甲乙双方就每一次供货的材料数量进行签认，以双方签字并盖章确认的实际供货数量作为支付依据和结算依据。</w:t>
      </w:r>
    </w:p>
    <w:p w14:paraId="46F6ABE0">
      <w:pPr>
        <w:spacing w:line="440" w:lineRule="exact"/>
        <w:ind w:lef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3、收货签认</w:t>
      </w:r>
    </w:p>
    <w:p w14:paraId="75093F8D">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（1）甲方指定收货人（即供货通知的收货人）：该人员负责验货、收货、签字确认供货情况和数量。</w:t>
      </w:r>
    </w:p>
    <w:p w14:paraId="3D894587">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（2）甲方指定项目负责人（即供货通知的项目负责人）：负责工程项目的供货协调和管控，对供货情况和供货数量进行项目部级别的最终签字确认。 </w:t>
      </w:r>
    </w:p>
    <w:p w14:paraId="5B57745A">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）乙方业务负责人：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，负责工程供货协调和管控，对供货情况和供货数量进行乙方公司级的最终签字确认。</w:t>
      </w:r>
    </w:p>
    <w:p w14:paraId="7802BB3A">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）乙方配送材料或设备到交货地点时，应随货配送</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给甲方。</w:t>
      </w:r>
    </w:p>
    <w:p w14:paraId="06F47AEE">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甲方只对合同约定的甲方指定收货人、甲方项目负责人在送</w:t>
      </w:r>
      <w:r>
        <w:rPr>
          <w:rFonts w:hint="eastAsia" w:ascii="宋体" w:hAnsi="宋体" w:eastAsia="宋体" w:cs="宋体"/>
          <w:b/>
          <w:color w:val="auto"/>
          <w:sz w:val="24"/>
          <w:szCs w:val="24"/>
          <w:highlight w:val="none"/>
        </w:rPr>
        <w:t>货原始单据</w:t>
      </w:r>
      <w:r>
        <w:rPr>
          <w:rFonts w:hint="eastAsia" w:ascii="宋体" w:hAnsi="宋体" w:eastAsia="宋体" w:cs="宋体"/>
          <w:color w:val="auto"/>
          <w:sz w:val="24"/>
          <w:szCs w:val="24"/>
          <w:highlight w:val="none"/>
        </w:rPr>
        <w:t>签字确认的材料或设备数量给予确认，单价按双方签订的合同或合同补充协议约定的单价执行。</w:t>
      </w:r>
    </w:p>
    <w:p w14:paraId="6E1881C1">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送货原始单据（收货联和送货联）应在验货、收货当天签认，逾期则无效。</w:t>
      </w:r>
    </w:p>
    <w:p w14:paraId="1526388F">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除甲方指定收货人、甲方项目负责人之外的甲方任何个人在</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或其他单据上签字或盖章均属无效，乙方不得以此要求甲方支付任何款项或承担任何责任。</w:t>
      </w:r>
    </w:p>
    <w:p w14:paraId="602283EE">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）如现场进行计算量的收方，甲乙双方须当天签认原始收方记录，逾期则无效。最终送货数量以原始收方记录为准。</w:t>
      </w:r>
    </w:p>
    <w:p w14:paraId="3167B122">
      <w:pPr>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4、送货原始单据</w:t>
      </w:r>
      <w:r>
        <w:rPr>
          <w:rFonts w:hint="eastAsia" w:ascii="宋体" w:hAnsi="宋体" w:eastAsia="宋体" w:cs="宋体"/>
          <w:color w:val="auto"/>
          <w:sz w:val="24"/>
          <w:szCs w:val="24"/>
          <w:highlight w:val="none"/>
          <w:lang w:val="en-US" w:eastAsia="zh-CN"/>
        </w:rPr>
        <w:t>一式三联</w:t>
      </w:r>
      <w:r>
        <w:rPr>
          <w:rFonts w:hint="eastAsia" w:ascii="宋体" w:hAnsi="宋体" w:eastAsia="宋体" w:cs="宋体"/>
          <w:color w:val="auto"/>
          <w:sz w:val="24"/>
          <w:szCs w:val="24"/>
          <w:highlight w:val="none"/>
        </w:rPr>
        <w:t>的基本要素：</w:t>
      </w:r>
    </w:p>
    <w:p w14:paraId="12F464DB">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（1）甲方名称“南宁轨道地产建筑工程有限责任公司” </w:t>
      </w:r>
    </w:p>
    <w:p w14:paraId="1D07012F">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（2）乙方名称（全称）、盖章</w:t>
      </w:r>
    </w:p>
    <w:p w14:paraId="41642E56">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（3）项目名称（全称）</w:t>
      </w:r>
    </w:p>
    <w:p w14:paraId="2693BA7B">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（4）合同编号、合同名称（全称）</w:t>
      </w:r>
    </w:p>
    <w:p w14:paraId="69C5D797">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（5）送货日期</w:t>
      </w:r>
    </w:p>
    <w:p w14:paraId="4032015E">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（6）物资名称、规格型号、计量单位、单价（含税）、数量、小计金额（含税）、合计金额（含税）</w:t>
      </w:r>
    </w:p>
    <w:p w14:paraId="43ACC0A7">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（7）甲方指定收货人签字、项目经理签字、乙方业务负责人签字。</w:t>
      </w:r>
    </w:p>
    <w:p w14:paraId="183C80BC">
      <w:pPr>
        <w:spacing w:line="44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五、支付条件、支付方式、结算方式、发票开具及收款方账户</w:t>
      </w:r>
    </w:p>
    <w:p w14:paraId="05670721">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1、支付条件：本合同支付条件按照下列第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29BF6ACD">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（1）货到工地并经甲方相关部门验收通过后，</w:t>
      </w:r>
      <w:r>
        <w:rPr>
          <w:rFonts w:hint="eastAsia" w:ascii="宋体" w:hAnsi="宋体" w:eastAsia="宋体" w:cs="宋体"/>
          <w:color w:val="auto"/>
          <w:sz w:val="24"/>
          <w:szCs w:val="24"/>
          <w:highlight w:val="none"/>
          <w:lang w:val="en-US" w:eastAsia="zh-CN"/>
        </w:rPr>
        <w:t>每月</w:t>
      </w:r>
      <w:r>
        <w:rPr>
          <w:rFonts w:hint="eastAsia" w:ascii="宋体" w:hAnsi="宋体" w:eastAsia="宋体" w:cs="宋体"/>
          <w:color w:val="auto"/>
          <w:sz w:val="24"/>
          <w:szCs w:val="24"/>
          <w:highlight w:val="none"/>
        </w:rPr>
        <w:t>支付上月累计供货金额的</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C1B08A7">
      <w:pPr>
        <w:spacing w:line="440" w:lineRule="exact"/>
        <w:ind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（2）合同签订后3个工作日内支付合同暂定金额的</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1D46FFC8">
      <w:pPr>
        <w:spacing w:line="440" w:lineRule="exact"/>
        <w:ind w:firstLine="424" w:firstLineChars="177"/>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）其他：</w:t>
      </w:r>
      <w:r>
        <w:rPr>
          <w:rFonts w:hint="eastAsia" w:ascii="宋体" w:hAnsi="宋体" w:eastAsia="宋体" w:cs="宋体"/>
          <w:color w:val="auto"/>
          <w:sz w:val="24"/>
          <w:szCs w:val="24"/>
          <w:u w:val="single"/>
        </w:rPr>
        <w:t xml:space="preserve">       /       。</w:t>
      </w:r>
    </w:p>
    <w:p w14:paraId="3D9079DC">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2、支付方式：公对公转账。</w:t>
      </w:r>
    </w:p>
    <w:p w14:paraId="307E5444">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3、结算方式：按照合同中约定的采购单价和甲乙双方签字确认的实际供货数量进行结算，如有新增内容，双方另行协商确定单价。</w:t>
      </w:r>
    </w:p>
    <w:p w14:paraId="26DBA857">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乙方必须按照甲方的要求完成结算审定工作并签字确认、盖章，否则甲方不予办理结算和支付余款。</w:t>
      </w:r>
    </w:p>
    <w:p w14:paraId="13815F34">
      <w:pPr>
        <w:spacing w:line="440" w:lineRule="exact"/>
        <w:ind w:left="1"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甲乙双方根据结算审定结果办理完成支付后，乙方不得以其他任何单据再要求甲方支付任何款项或承担任何责任。</w:t>
      </w:r>
    </w:p>
    <w:p w14:paraId="630EC473">
      <w:pPr>
        <w:spacing w:line="440" w:lineRule="exact"/>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4、发票开具：乙方按以下信息向甲方开具增值税专用发票：</w:t>
      </w:r>
    </w:p>
    <w:p w14:paraId="2E005020">
      <w:pPr>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单位名称：南宁轨道地产建筑工程有限责任公司</w:t>
      </w:r>
    </w:p>
    <w:p w14:paraId="2893802C">
      <w:pPr>
        <w:spacing w:line="440" w:lineRule="exact"/>
        <w:ind w:left="477" w:leftChars="22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cs="宋体"/>
          <w:color w:val="auto"/>
          <w:sz w:val="24"/>
          <w:szCs w:val="24"/>
          <w:highlight w:val="none"/>
          <w:lang w:eastAsia="zh-CN"/>
        </w:rPr>
        <w:t>南宁市青秀区凤岭北路111号南宁国际旅游中心3号楼38层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开户行：中国建设银行股份有限公司南宁金湖北路支行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账号：45001604264050702251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税号：91450100198466905E</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电话：0771-5857742</w:t>
      </w:r>
    </w:p>
    <w:p w14:paraId="49A8ED65">
      <w:pPr>
        <w:spacing w:line="440" w:lineRule="exact"/>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5、乙方收款账号：</w:t>
      </w:r>
    </w:p>
    <w:p w14:paraId="2DCE0A44">
      <w:pPr>
        <w:spacing w:line="440" w:lineRule="exact"/>
        <w:ind w:firstLine="523" w:firstLineChars="218"/>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户名：</w:t>
      </w:r>
      <w:r>
        <w:rPr>
          <w:rFonts w:hint="eastAsia" w:ascii="宋体" w:hAnsi="宋体" w:eastAsia="宋体" w:cs="宋体"/>
          <w:color w:val="auto"/>
          <w:sz w:val="24"/>
          <w:szCs w:val="24"/>
          <w:highlight w:val="none"/>
          <w:lang w:val="en-US" w:eastAsia="zh-CN"/>
        </w:rPr>
        <w:t xml:space="preserve">    </w:t>
      </w:r>
    </w:p>
    <w:p w14:paraId="5A806198">
      <w:pPr>
        <w:spacing w:line="440" w:lineRule="exact"/>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60F1B4AE">
      <w:pPr>
        <w:spacing w:line="440" w:lineRule="exact"/>
        <w:ind w:firstLine="523" w:firstLineChars="218"/>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银行账号：</w:t>
      </w:r>
      <w:r>
        <w:rPr>
          <w:rFonts w:hint="eastAsia" w:ascii="宋体" w:hAnsi="宋体" w:eastAsia="宋体" w:cs="宋体"/>
          <w:color w:val="auto"/>
          <w:sz w:val="24"/>
          <w:szCs w:val="24"/>
          <w:highlight w:val="none"/>
          <w:lang w:val="en-US" w:eastAsia="zh-CN"/>
        </w:rPr>
        <w:t xml:space="preserve"> </w:t>
      </w:r>
    </w:p>
    <w:p w14:paraId="3F4FDD48">
      <w:pPr>
        <w:spacing w:line="44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六、质保金金额、质保期限、质保要求</w:t>
      </w:r>
    </w:p>
    <w:p w14:paraId="2CC4AB72">
      <w:pPr>
        <w:spacing w:line="440" w:lineRule="exact"/>
        <w:ind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1、本合同质保金按照下列第（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）项的约定执行。</w:t>
      </w:r>
    </w:p>
    <w:p w14:paraId="69405B60">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（1）质保金金额</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；质保期限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EDEFC80">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（2）预留结算金额的</w:t>
      </w:r>
      <w:r>
        <w:rPr>
          <w:rFonts w:hint="eastAsia" w:ascii="宋体" w:hAnsi="宋体" w:eastAsia="宋体" w:cs="宋体"/>
          <w:color w:val="auto"/>
          <w:sz w:val="24"/>
          <w:szCs w:val="24"/>
          <w:highlight w:val="none"/>
          <w:lang w:val="en-US" w:eastAsia="zh-CN"/>
        </w:rPr>
        <w:t xml:space="preserve"> / </w:t>
      </w:r>
      <w:r>
        <w:rPr>
          <w:rFonts w:hint="eastAsia" w:ascii="宋体" w:hAnsi="宋体" w:eastAsia="宋体" w:cs="宋体"/>
          <w:color w:val="auto"/>
          <w:sz w:val="24"/>
          <w:szCs w:val="24"/>
          <w:highlight w:val="none"/>
        </w:rPr>
        <w:t>%作为质保金；质保期限为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，从供货完成并</w:t>
      </w:r>
      <w:r>
        <w:rPr>
          <w:rFonts w:hint="eastAsia" w:ascii="宋体" w:hAnsi="宋体" w:eastAsia="宋体" w:cs="宋体"/>
          <w:color w:val="auto"/>
          <w:sz w:val="24"/>
          <w:szCs w:val="24"/>
          <w:highlight w:val="none"/>
          <w:lang w:eastAsia="zh-CN"/>
        </w:rPr>
        <w:t>经</w:t>
      </w:r>
      <w:r>
        <w:rPr>
          <w:rFonts w:hint="eastAsia" w:ascii="宋体" w:hAnsi="宋体" w:eastAsia="宋体" w:cs="宋体"/>
          <w:color w:val="auto"/>
          <w:sz w:val="24"/>
          <w:szCs w:val="24"/>
          <w:highlight w:val="none"/>
        </w:rPr>
        <w:t>甲方相关部门验收通过，且按甲方要求提供合格资料之日计起。</w:t>
      </w:r>
    </w:p>
    <w:p w14:paraId="48D44328">
      <w:pPr>
        <w:spacing w:line="4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2、质保要求：</w:t>
      </w:r>
    </w:p>
    <w:p w14:paraId="1D6B1620">
      <w:pPr>
        <w:spacing w:line="40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（1）质保期内，凡因产品造成的质量事故和质量缺陷、脱落</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由乙方负责无偿保修和承担甲方及客户的一切损失损害赔偿责任</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货物或产品</w:t>
      </w:r>
      <w:r>
        <w:rPr>
          <w:rFonts w:hint="eastAsia" w:ascii="宋体" w:hAnsi="宋体" w:eastAsia="宋体" w:cs="宋体"/>
          <w:color w:val="auto"/>
          <w:sz w:val="24"/>
          <w:szCs w:val="24"/>
          <w:highlight w:val="none"/>
        </w:rPr>
        <w:t>保修条件、范围等按甲方确认的质保书和国家有关规定执行。</w:t>
      </w:r>
    </w:p>
    <w:p w14:paraId="1CEC735F">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（2）乙方应在接到甲方或用户通知后24小时之内到现场进行免费维修，否则甲方有权扣收质保金，并自行维修处理，相关费用由乙方承担。</w:t>
      </w:r>
    </w:p>
    <w:p w14:paraId="0BDC3048">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（3）质保期满后，甲方在收到乙方退保申请后的7个工作日内办理质保金退还手续，将质保金金额（扣除违约金、赔偿金）退给乙方。</w:t>
      </w:r>
    </w:p>
    <w:p w14:paraId="195D74C2">
      <w:pPr>
        <w:spacing w:line="44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七、违约责任</w:t>
      </w:r>
    </w:p>
    <w:p w14:paraId="5550B6BD">
      <w:pPr>
        <w:spacing w:line="4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rPr>
        <w:t>如因乙方原因，未能按照甲方要求的时限</w:t>
      </w:r>
      <w:r>
        <w:rPr>
          <w:rFonts w:hint="eastAsia" w:ascii="宋体" w:hAnsi="宋体" w:eastAsia="宋体" w:cs="宋体"/>
          <w:color w:val="auto"/>
          <w:sz w:val="24"/>
          <w:szCs w:val="24"/>
          <w:lang w:val="en-US" w:eastAsia="zh-CN"/>
        </w:rPr>
        <w:t>供货</w:t>
      </w:r>
      <w:r>
        <w:rPr>
          <w:rFonts w:hint="eastAsia" w:ascii="宋体" w:hAnsi="宋体" w:eastAsia="宋体" w:cs="宋体"/>
          <w:color w:val="auto"/>
          <w:sz w:val="24"/>
          <w:szCs w:val="24"/>
        </w:rPr>
        <w:t>，预计必将影响后续目标实现的，甲方有权采取立即组织委托第三方</w:t>
      </w:r>
      <w:r>
        <w:rPr>
          <w:rFonts w:hint="eastAsia" w:ascii="宋体" w:hAnsi="宋体" w:eastAsia="宋体" w:cs="宋体"/>
          <w:color w:val="auto"/>
          <w:sz w:val="24"/>
          <w:szCs w:val="24"/>
          <w:lang w:val="en-US" w:eastAsia="zh-CN"/>
        </w:rPr>
        <w:t>供货</w:t>
      </w:r>
      <w:r>
        <w:rPr>
          <w:rFonts w:hint="eastAsia" w:ascii="宋体" w:hAnsi="宋体" w:eastAsia="宋体" w:cs="宋体"/>
          <w:color w:val="auto"/>
          <w:sz w:val="24"/>
          <w:szCs w:val="24"/>
        </w:rPr>
        <w:t>。乙方同意甲方在其当期</w:t>
      </w:r>
      <w:r>
        <w:rPr>
          <w:rFonts w:hint="eastAsia" w:ascii="宋体" w:hAnsi="宋体" w:eastAsia="宋体" w:cs="宋体"/>
          <w:color w:val="auto"/>
          <w:sz w:val="24"/>
          <w:szCs w:val="24"/>
          <w:lang w:val="en-US" w:eastAsia="zh-CN"/>
        </w:rPr>
        <w:t>货</w:t>
      </w:r>
      <w:r>
        <w:rPr>
          <w:rFonts w:hint="eastAsia" w:ascii="宋体" w:hAnsi="宋体" w:eastAsia="宋体" w:cs="宋体"/>
          <w:color w:val="auto"/>
          <w:sz w:val="24"/>
          <w:szCs w:val="24"/>
        </w:rPr>
        <w:t>款或结算款支付时按照甲方认定的第三方</w:t>
      </w:r>
      <w:r>
        <w:rPr>
          <w:rFonts w:hint="eastAsia" w:ascii="宋体" w:hAnsi="宋体" w:eastAsia="宋体" w:cs="宋体"/>
          <w:color w:val="auto"/>
          <w:sz w:val="24"/>
          <w:szCs w:val="24"/>
          <w:lang w:val="en-US" w:eastAsia="zh-CN"/>
        </w:rPr>
        <w:t>供货</w:t>
      </w:r>
      <w:r>
        <w:rPr>
          <w:rFonts w:hint="eastAsia" w:ascii="宋体" w:hAnsi="宋体" w:eastAsia="宋体" w:cs="宋体"/>
          <w:color w:val="auto"/>
          <w:sz w:val="24"/>
          <w:szCs w:val="24"/>
        </w:rPr>
        <w:t>产生费用的1.5倍进行扣除</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并赔偿由此给甲方造成的损失（</w:t>
      </w:r>
      <w:r>
        <w:rPr>
          <w:rFonts w:hint="eastAsia" w:ascii="宋体" w:hAnsi="宋体" w:eastAsia="宋体" w:cs="宋体"/>
          <w:color w:val="auto"/>
          <w:sz w:val="24"/>
          <w:szCs w:val="24"/>
          <w:lang w:val="en-US" w:eastAsia="zh-CN"/>
        </w:rPr>
        <w:t>包括但不限于甲方支出的行政处罚费用、工期延期索赔、安全及质量扣款等费用；人身及财产损失赔偿费用、律师费、诉讼费、执行费、保全费、公告费、保全保险费、评估鉴定等各项费用</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p>
    <w:p w14:paraId="73E02420">
      <w:pPr>
        <w:widowControl/>
        <w:spacing w:before="0" w:beforeAutospacing="0" w:after="0" w:afterAutospacing="0" w:line="400" w:lineRule="exact"/>
        <w:ind w:firstLine="484" w:firstLineChars="202"/>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2"/>
          <w:sz w:val="24"/>
          <w:szCs w:val="24"/>
          <w:lang w:val="en-US" w:eastAsia="zh-CN" w:bidi="ar-SA"/>
        </w:rPr>
        <w:t>2、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20D00271">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、乙方超出合同约定的供货时间</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个工作日，甲方有权解除合同，若合同约定有预付款，乙方须双倍返还预付款并承担由此给甲方带来的任何一切损失和赔偿，包括且不限于退换货费用、检测费、返工费、业主索赔费用等。</w:t>
      </w:r>
    </w:p>
    <w:p w14:paraId="72207CDC">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、乙方超出合同约定的供货要求时间但达不到解除合同条件的，应到未到批次货款按9.5折进行结算</w:t>
      </w:r>
    </w:p>
    <w:p w14:paraId="4421A1BE">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、如乙方在结算完成后甲方支付结算款前不提供相应足额的增值税专用发票的，甲方有权拒绝付款，且不用承担任何违约责任。</w:t>
      </w:r>
    </w:p>
    <w:p w14:paraId="3EDBF2B4">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、若乙方材料送检不合格，乙方应及时将合格产品送至现场并承担由此给甲方带来的任何一切损失和赔偿，包括且不限于退换货费用、检测费、返工费、业主索赔费用等。</w:t>
      </w:r>
    </w:p>
    <w:p w14:paraId="0DE7C55F">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、如因乙方原因发生税务风险，则乙方应承担税务风险给甲方带来的一切损失。</w:t>
      </w:r>
    </w:p>
    <w:p w14:paraId="65E45CF7">
      <w:pPr>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jc w:val="both"/>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b/>
          <w:color w:val="auto"/>
          <w:kern w:val="2"/>
          <w:sz w:val="24"/>
          <w:szCs w:val="24"/>
          <w:highlight w:val="none"/>
          <w:lang w:val="en-US" w:eastAsia="zh-CN" w:bidi="ar-SA"/>
        </w:rPr>
        <w:t>八、</w:t>
      </w:r>
      <w:r>
        <w:rPr>
          <w:rFonts w:hint="eastAsia" w:ascii="宋体" w:hAnsi="宋体" w:eastAsia="宋体" w:cs="宋体"/>
          <w:b/>
          <w:color w:val="auto"/>
          <w:kern w:val="0"/>
          <w:sz w:val="24"/>
          <w:szCs w:val="24"/>
          <w:highlight w:val="none"/>
          <w:lang w:val="en-US" w:eastAsia="zh-CN" w:bidi="ar-SA"/>
        </w:rPr>
        <w:t>通知与送达：</w:t>
      </w:r>
      <w:r>
        <w:rPr>
          <w:rFonts w:hint="eastAsia" w:ascii="宋体" w:hAnsi="宋体" w:eastAsia="宋体" w:cs="宋体"/>
          <w:color w:val="auto"/>
          <w:kern w:val="2"/>
          <w:sz w:val="24"/>
          <w:szCs w:val="24"/>
          <w:lang w:val="en-US" w:eastAsia="zh-CN" w:bidi="ar-SA"/>
        </w:rPr>
        <w:t xml:space="preserve"> </w:t>
      </w:r>
    </w:p>
    <w:p w14:paraId="4F2BCF43">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26A12AD9">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2.以专人送达的，由指定联系人签字之日为送达日；以信件或快递方式送达的，以发</w:t>
      </w:r>
      <w:r>
        <w:rPr>
          <w:rFonts w:hint="eastAsia" w:ascii="宋体" w:hAnsi="宋体" w:eastAsia="宋体" w:cs="宋体"/>
          <w:color w:val="auto"/>
          <w:sz w:val="24"/>
          <w:szCs w:val="24"/>
          <w:highlight w:val="none"/>
        </w:rPr>
        <w:t xml:space="preserve">邮后第三日视为送达；以电子邮件方式送达的，以发送一方系统显示的发送成功之日为送达日；发出方同时采取上述方式送达的，以最先实现送达的方式确定送达日期。 </w:t>
      </w:r>
    </w:p>
    <w:p w14:paraId="48B18E83">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1AEA5DD1">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合同送达条款为独立条款，不受合同整体或其他条款的效力的影响。 </w:t>
      </w:r>
    </w:p>
    <w:p w14:paraId="7E1E25D7">
      <w:pPr>
        <w:spacing w:line="440" w:lineRule="exact"/>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其他约定事项：</w:t>
      </w:r>
      <w:r>
        <w:rPr>
          <w:rFonts w:hint="eastAsia" w:ascii="宋体" w:hAnsi="宋体" w:eastAsia="宋体" w:cs="宋体"/>
          <w:color w:val="auto"/>
          <w:sz w:val="24"/>
          <w:szCs w:val="24"/>
          <w:highlight w:val="none"/>
          <w:u w:val="single"/>
        </w:rPr>
        <w:t xml:space="preserve"> 无。</w:t>
      </w:r>
    </w:p>
    <w:p w14:paraId="517D7A84">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未尽事宜，双方协商解决；协调不成，依法向签约所在地人民法院起诉。</w:t>
      </w:r>
    </w:p>
    <w:p w14:paraId="5EEC3D8E">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本合同有效期自甲乙双方签字盖章日起生效，直至对供应项目供货完成且最终结算为止。</w:t>
      </w:r>
    </w:p>
    <w:p w14:paraId="5C97C383">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sectPr>
          <w:footerReference r:id="rId7" w:type="default"/>
          <w:pgSz w:w="11906" w:h="16838"/>
          <w:pgMar w:top="1440" w:right="1474" w:bottom="1440" w:left="1474" w:header="851" w:footer="992" w:gutter="0"/>
          <w:pgNumType w:fmt="decimal"/>
          <w:cols w:space="720" w:num="1"/>
          <w:docGrid w:type="lines" w:linePitch="312" w:charSpace="0"/>
        </w:sect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本合同一式四份，甲方执三份，乙方执一份，双方签字盖章后生效</w:t>
      </w:r>
    </w:p>
    <w:p w14:paraId="26F3AB09">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sectPr>
          <w:footerReference r:id="rId8" w:type="default"/>
          <w:type w:val="continuous"/>
          <w:pgSz w:w="11906" w:h="16838"/>
          <w:pgMar w:top="1440" w:right="1474" w:bottom="1440" w:left="1474" w:header="851" w:footer="992" w:gutter="0"/>
          <w:pgNumType w:fmt="decimal"/>
          <w:cols w:space="720" w:num="1"/>
          <w:docGrid w:type="lines" w:linePitch="312" w:charSpace="0"/>
        </w:sectPr>
      </w:pPr>
    </w:p>
    <w:p w14:paraId="0C2F5D7D">
      <w:pPr>
        <w:spacing w:line="360" w:lineRule="auto"/>
        <w:jc w:val="left"/>
        <w:rPr>
          <w:rFonts w:hint="eastAsia" w:ascii="宋体" w:hAnsi="宋体" w:eastAsia="宋体" w:cs="宋体"/>
          <w:b/>
          <w:bCs/>
          <w:color w:val="auto"/>
          <w:sz w:val="24"/>
          <w:szCs w:val="24"/>
          <w:highlight w:val="none"/>
        </w:rPr>
      </w:pPr>
    </w:p>
    <w:p w14:paraId="5DA23036">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合同附件：</w:t>
      </w:r>
    </w:p>
    <w:p w14:paraId="6FD691F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附件一：合同清单</w:t>
      </w:r>
    </w:p>
    <w:p w14:paraId="426F9A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附件二：工程建设项目廉政责任书</w:t>
      </w:r>
    </w:p>
    <w:p w14:paraId="258995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附件三：供货通知</w:t>
      </w:r>
    </w:p>
    <w:p w14:paraId="2AD0A584">
      <w:pPr>
        <w:spacing w:line="360" w:lineRule="auto"/>
        <w:rPr>
          <w:rFonts w:hint="eastAsia" w:ascii="宋体" w:hAnsi="宋体" w:eastAsia="宋体" w:cs="宋体"/>
          <w:color w:val="auto"/>
          <w:sz w:val="24"/>
          <w:szCs w:val="24"/>
          <w:highlight w:val="none"/>
        </w:rPr>
        <w:sectPr>
          <w:footerReference r:id="rId9" w:type="default"/>
          <w:type w:val="continuous"/>
          <w:pgSz w:w="11906" w:h="16838"/>
          <w:pgMar w:top="1440" w:right="1474" w:bottom="1440" w:left="1474" w:header="851" w:footer="992" w:gutter="0"/>
          <w:pgNumType w:fmt="decimal"/>
          <w:cols w:space="425" w:num="1"/>
          <w:docGrid w:type="lines" w:linePitch="312" w:charSpace="0"/>
        </w:sectPr>
      </w:pPr>
    </w:p>
    <w:p w14:paraId="7CF419A7">
      <w:pPr>
        <w:keepNext w:val="0"/>
        <w:keepLines w:val="0"/>
        <w:pageBreakBefore w:val="0"/>
        <w:kinsoku/>
        <w:wordWrap/>
        <w:overflowPunct/>
        <w:topLinePunct w:val="0"/>
        <w:autoSpaceDE/>
        <w:autoSpaceDN/>
        <w:bidi w:val="0"/>
        <w:spacing w:afterAutospacing="0" w:line="360" w:lineRule="auto"/>
        <w:ind w:left="0" w:leftChars="0" w:right="0" w:rightChars="0" w:firstLine="0" w:firstLine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pgNumType w:fmt="decimal"/>
          <w:cols w:space="425" w:num="2"/>
          <w:docGrid w:type="lines" w:linePitch="312" w:charSpace="0"/>
        </w:sectPr>
      </w:pPr>
    </w:p>
    <w:p w14:paraId="46F4D786">
      <w:pPr>
        <w:keepNext w:val="0"/>
        <w:keepLines w:val="0"/>
        <w:pageBreakBefore w:val="0"/>
        <w:kinsoku/>
        <w:wordWrap/>
        <w:overflowPunct/>
        <w:topLinePunct w:val="0"/>
        <w:autoSpaceDE/>
        <w:autoSpaceDN/>
        <w:bidi w:val="0"/>
        <w:spacing w:afterAutospacing="0" w:line="360" w:lineRule="auto"/>
        <w:ind w:left="0" w:leftChars="0" w:right="0" w:rightChars="0" w:firstLine="0" w:firstLineChars="0"/>
        <w:jc w:val="left"/>
        <w:rPr>
          <w:rFonts w:hint="eastAsia" w:ascii="仿宋_GB2312" w:hAnsi="仿宋_GB2312" w:eastAsia="仿宋_GB2312" w:cs="仿宋_GB2312"/>
          <w:color w:val="auto"/>
          <w:sz w:val="28"/>
          <w:szCs w:val="28"/>
        </w:rPr>
      </w:pPr>
      <w:r>
        <w:rPr>
          <w:rFonts w:hint="eastAsia" w:ascii="宋体" w:hAnsi="宋体" w:eastAsia="宋体" w:cs="宋体"/>
          <w:color w:val="auto"/>
          <w:sz w:val="24"/>
          <w:szCs w:val="24"/>
          <w:highlight w:val="none"/>
        </w:rPr>
        <w:t>（以下无正文）</w:t>
      </w:r>
    </w:p>
    <w:p w14:paraId="218596AB">
      <w:pPr>
        <w:keepNext w:val="0"/>
        <w:keepLines w:val="0"/>
        <w:pageBreakBefore w:val="0"/>
        <w:kinsoku/>
        <w:wordWrap/>
        <w:overflowPunct/>
        <w:topLinePunct w:val="0"/>
        <w:autoSpaceDE/>
        <w:autoSpaceDN/>
        <w:bidi w:val="0"/>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rPr>
      </w:pPr>
    </w:p>
    <w:p w14:paraId="492217F6">
      <w:pPr>
        <w:keepNext w:val="0"/>
        <w:keepLines w:val="0"/>
        <w:pageBreakBefore w:val="0"/>
        <w:kinsoku/>
        <w:wordWrap/>
        <w:overflowPunct/>
        <w:topLinePunct w:val="0"/>
        <w:autoSpaceDE/>
        <w:autoSpaceDN/>
        <w:bidi w:val="0"/>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rPr>
      </w:pPr>
    </w:p>
    <w:p w14:paraId="474FCF61">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pPr>
    </w:p>
    <w:p w14:paraId="773D3AD8">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sectPr>
          <w:pgSz w:w="11906" w:h="16838"/>
          <w:pgMar w:top="1440" w:right="1474" w:bottom="1440" w:left="1474" w:header="851" w:footer="992" w:gutter="0"/>
          <w:pgNumType w:fmt="decimal"/>
          <w:cols w:space="425" w:num="2"/>
          <w:docGrid w:type="lines" w:linePitch="312" w:charSpace="0"/>
        </w:sectPr>
      </w:pPr>
    </w:p>
    <w:p w14:paraId="2FF96382">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4A3E7A24">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6A31FB19">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1632D75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单位地址：南宁市青秀区凤岭北路111号南宁国际旅游中心3号楼3601-3603、3605-3607、3701-3703、3705-3713、3715-1716、3801-3803、3805-3813、3815-3816</w:t>
      </w:r>
    </w:p>
    <w:p w14:paraId="650A61AA">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21529B79">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74F16F71">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银行账号：4500 1604 2640 5070 2251</w:t>
      </w:r>
    </w:p>
    <w:p w14:paraId="12FF5378">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640F56F9">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56773BC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4C0509CD">
      <w:pPr>
        <w:pStyle w:val="29"/>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03CF381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2907368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乙方名称（公章）：</w:t>
      </w:r>
    </w:p>
    <w:p w14:paraId="3292F5A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8C2E6F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E016FC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p w14:paraId="375A744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p w14:paraId="63D3245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168722F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57DF484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法人联系电话：</w:t>
      </w:r>
    </w:p>
    <w:p w14:paraId="725BACAF">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139B271D">
      <w:pPr>
        <w:keepNext w:val="0"/>
        <w:keepLines w:val="0"/>
        <w:pageBreakBefore w:val="0"/>
        <w:tabs>
          <w:tab w:val="center" w:pos="4153"/>
          <w:tab w:val="right" w:pos="8306"/>
        </w:tabs>
        <w:kinsoku/>
        <w:overflowPunct/>
        <w:topLinePunct w:val="0"/>
        <w:autoSpaceDE/>
        <w:autoSpaceDN/>
        <w:bidi w:val="0"/>
        <w:adjustRightInd/>
        <w:spacing w:afterAutospacing="0"/>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3D873501">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pgNumType w:fmt="decimal"/>
          <w:cols w:space="425" w:num="2"/>
          <w:docGrid w:type="lines" w:linePitch="312" w:charSpace="0"/>
        </w:sectPr>
      </w:pPr>
    </w:p>
    <w:p w14:paraId="022E8AE7">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附件一：合同清单（包括但不限于以下内容）</w:t>
      </w:r>
    </w:p>
    <w:tbl>
      <w:tblPr>
        <w:tblStyle w:val="49"/>
        <w:tblW w:w="5101" w:type="pct"/>
        <w:tblInd w:w="-190" w:type="dxa"/>
        <w:tblLayout w:type="fixed"/>
        <w:tblCellMar>
          <w:top w:w="0" w:type="dxa"/>
          <w:left w:w="108" w:type="dxa"/>
          <w:bottom w:w="0" w:type="dxa"/>
          <w:right w:w="108" w:type="dxa"/>
        </w:tblCellMar>
      </w:tblPr>
      <w:tblGrid>
        <w:gridCol w:w="766"/>
        <w:gridCol w:w="1374"/>
        <w:gridCol w:w="878"/>
        <w:gridCol w:w="797"/>
        <w:gridCol w:w="1216"/>
        <w:gridCol w:w="1350"/>
        <w:gridCol w:w="1082"/>
        <w:gridCol w:w="1228"/>
        <w:gridCol w:w="785"/>
      </w:tblGrid>
      <w:tr w14:paraId="1522498A">
        <w:tblPrEx>
          <w:tblCellMar>
            <w:top w:w="0" w:type="dxa"/>
            <w:left w:w="108" w:type="dxa"/>
            <w:bottom w:w="0" w:type="dxa"/>
            <w:right w:w="108" w:type="dxa"/>
          </w:tblCellMar>
        </w:tblPrEx>
        <w:trPr>
          <w:trHeight w:val="1275" w:hRule="atLeast"/>
        </w:trPr>
        <w:tc>
          <w:tcPr>
            <w:tcW w:w="404" w:type="pct"/>
            <w:tcBorders>
              <w:top w:val="single" w:color="auto" w:sz="4" w:space="0"/>
              <w:left w:val="single" w:color="auto" w:sz="4" w:space="0"/>
              <w:bottom w:val="single" w:color="000000" w:sz="4" w:space="0"/>
              <w:right w:val="single" w:color="auto" w:sz="4" w:space="0"/>
            </w:tcBorders>
            <w:vAlign w:val="center"/>
          </w:tcPr>
          <w:p w14:paraId="4F0B155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序号</w:t>
            </w:r>
          </w:p>
        </w:tc>
        <w:tc>
          <w:tcPr>
            <w:tcW w:w="724" w:type="pct"/>
            <w:tcBorders>
              <w:top w:val="single" w:color="auto" w:sz="4" w:space="0"/>
              <w:left w:val="single" w:color="auto" w:sz="4" w:space="0"/>
              <w:bottom w:val="single" w:color="000000" w:sz="4" w:space="0"/>
              <w:right w:val="single" w:color="auto" w:sz="4" w:space="0"/>
            </w:tcBorders>
            <w:vAlign w:val="center"/>
          </w:tcPr>
          <w:p w14:paraId="1C3E129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材料或设备名称</w:t>
            </w:r>
          </w:p>
        </w:tc>
        <w:tc>
          <w:tcPr>
            <w:tcW w:w="463" w:type="pct"/>
            <w:tcBorders>
              <w:top w:val="single" w:color="auto" w:sz="4" w:space="0"/>
              <w:left w:val="single" w:color="auto" w:sz="4" w:space="0"/>
              <w:bottom w:val="single" w:color="auto" w:sz="4" w:space="0"/>
              <w:right w:val="single" w:color="auto" w:sz="4" w:space="0"/>
            </w:tcBorders>
            <w:vAlign w:val="center"/>
          </w:tcPr>
          <w:p w14:paraId="2682C6F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规格</w:t>
            </w:r>
          </w:p>
        </w:tc>
        <w:tc>
          <w:tcPr>
            <w:tcW w:w="420" w:type="pct"/>
            <w:tcBorders>
              <w:top w:val="single" w:color="auto" w:sz="4" w:space="0"/>
              <w:left w:val="single" w:color="auto" w:sz="4" w:space="0"/>
              <w:bottom w:val="single" w:color="auto" w:sz="4" w:space="0"/>
              <w:right w:val="single" w:color="auto" w:sz="4" w:space="0"/>
            </w:tcBorders>
            <w:vAlign w:val="center"/>
          </w:tcPr>
          <w:p w14:paraId="7BE52E8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型号</w:t>
            </w:r>
          </w:p>
        </w:tc>
        <w:tc>
          <w:tcPr>
            <w:tcW w:w="641" w:type="pct"/>
            <w:tcBorders>
              <w:top w:val="single" w:color="auto" w:sz="4" w:space="0"/>
              <w:left w:val="single" w:color="auto" w:sz="4" w:space="0"/>
              <w:bottom w:val="single" w:color="000000" w:sz="4" w:space="0"/>
              <w:right w:val="single" w:color="auto" w:sz="4" w:space="0"/>
            </w:tcBorders>
            <w:vAlign w:val="center"/>
          </w:tcPr>
          <w:p w14:paraId="1336AFA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采购量</w:t>
            </w:r>
          </w:p>
        </w:tc>
        <w:tc>
          <w:tcPr>
            <w:tcW w:w="712" w:type="pct"/>
            <w:tcBorders>
              <w:top w:val="single" w:color="auto" w:sz="4" w:space="0"/>
              <w:left w:val="single" w:color="auto" w:sz="4" w:space="0"/>
              <w:bottom w:val="single" w:color="000000" w:sz="4" w:space="0"/>
              <w:right w:val="single" w:color="auto" w:sz="4" w:space="0"/>
            </w:tcBorders>
            <w:vAlign w:val="center"/>
          </w:tcPr>
          <w:p w14:paraId="093DCFE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计量单位</w:t>
            </w:r>
          </w:p>
        </w:tc>
        <w:tc>
          <w:tcPr>
            <w:tcW w:w="570" w:type="pct"/>
            <w:tcBorders>
              <w:top w:val="single" w:color="auto" w:sz="4" w:space="0"/>
              <w:left w:val="single" w:color="auto" w:sz="4" w:space="0"/>
              <w:bottom w:val="single" w:color="auto" w:sz="4" w:space="0"/>
              <w:right w:val="single" w:color="auto" w:sz="4" w:space="0"/>
            </w:tcBorders>
            <w:vAlign w:val="center"/>
          </w:tcPr>
          <w:p w14:paraId="5E53D1F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综合单价（元）</w:t>
            </w:r>
          </w:p>
        </w:tc>
        <w:tc>
          <w:tcPr>
            <w:tcW w:w="647" w:type="pct"/>
            <w:tcBorders>
              <w:top w:val="single" w:color="auto" w:sz="4" w:space="0"/>
              <w:left w:val="single" w:color="auto" w:sz="4" w:space="0"/>
              <w:bottom w:val="single" w:color="auto" w:sz="4" w:space="0"/>
              <w:right w:val="single" w:color="auto" w:sz="4" w:space="0"/>
            </w:tcBorders>
            <w:vAlign w:val="center"/>
          </w:tcPr>
          <w:p w14:paraId="5456740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宋体" w:hAnsi="宋体" w:eastAsia="宋体" w:cs="宋体"/>
                <w:color w:val="auto"/>
                <w:kern w:val="0"/>
                <w:sz w:val="24"/>
                <w:szCs w:val="24"/>
                <w:highlight w:val="none"/>
                <w:lang w:val="en-US" w:eastAsia="zh-CN"/>
              </w:rPr>
              <w:t>合价</w:t>
            </w:r>
            <w:r>
              <w:rPr>
                <w:rFonts w:hint="eastAsia" w:ascii="宋体" w:hAnsi="宋体" w:eastAsia="宋体" w:cs="宋体"/>
                <w:color w:val="auto"/>
                <w:kern w:val="0"/>
                <w:sz w:val="24"/>
                <w:szCs w:val="24"/>
                <w:highlight w:val="none"/>
              </w:rPr>
              <w:t>（元）</w:t>
            </w:r>
          </w:p>
        </w:tc>
        <w:tc>
          <w:tcPr>
            <w:tcW w:w="414" w:type="pct"/>
            <w:tcBorders>
              <w:top w:val="single" w:color="auto" w:sz="4" w:space="0"/>
              <w:left w:val="single" w:color="auto" w:sz="4" w:space="0"/>
              <w:bottom w:val="single" w:color="auto" w:sz="4" w:space="0"/>
              <w:right w:val="single" w:color="auto" w:sz="4" w:space="0"/>
            </w:tcBorders>
            <w:vAlign w:val="center"/>
          </w:tcPr>
          <w:p w14:paraId="2421AF2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备注</w:t>
            </w:r>
          </w:p>
        </w:tc>
      </w:tr>
      <w:tr w14:paraId="449ED7E8">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32B146C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2C25016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3459C7F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22B6BC6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3765D02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069D44F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3C21ED9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449998A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7BEAA5E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79905C87">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6392032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1788DDD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7255078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235B19E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1095C4D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026ADF5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4F5837A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B0030C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EFBE61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5ECF6B3">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11F23B6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29318CB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3091BB4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7AF1780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67DC687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391DDFE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021CAFC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7AC0DE2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4AD855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B7EA96B">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03E7D12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2D06984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1E9E59A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239180E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0F9185F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556B1CE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620C996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200AF06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046910E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1143C83B">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4E0EA48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45E4A12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40F22E0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6774BB9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6577D35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5163724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37034F1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15EFA0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5F12730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6CA0153">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7FBF4D6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153BE72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5A2462E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2ABF9A5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6EC85A8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1EA8B66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3502FDA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459AAFB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E67189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27768C7D">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3FBF92B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0F50916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353A3DB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18734E4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75AFDD9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4FCDC04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19F0AFD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E45DB9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6980691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174B0DF">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3205606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52CA5B9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71FB947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7A7BF81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47DE3A1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11D4CDC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5CCE0EB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CAF908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5CA2178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62C150E1">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405DAA8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497A973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7BE0CFA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36E469D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1819E0C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1345C94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067932A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57EB965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C4FBEA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7F1B0D11">
        <w:tblPrEx>
          <w:tblCellMar>
            <w:top w:w="0" w:type="dxa"/>
            <w:left w:w="108" w:type="dxa"/>
            <w:bottom w:w="0" w:type="dxa"/>
            <w:right w:w="108" w:type="dxa"/>
          </w:tblCellMar>
        </w:tblPrEx>
        <w:trPr>
          <w:trHeight w:val="402" w:hRule="atLeast"/>
        </w:trPr>
        <w:tc>
          <w:tcPr>
            <w:tcW w:w="404" w:type="pct"/>
            <w:tcBorders>
              <w:top w:val="single" w:color="auto" w:sz="4" w:space="0"/>
              <w:left w:val="single" w:color="auto" w:sz="4" w:space="0"/>
              <w:bottom w:val="single" w:color="auto" w:sz="4" w:space="0"/>
              <w:right w:val="single" w:color="auto" w:sz="4" w:space="0"/>
            </w:tcBorders>
            <w:vAlign w:val="center"/>
          </w:tcPr>
          <w:p w14:paraId="585A580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single" w:color="auto" w:sz="4" w:space="0"/>
              <w:left w:val="nil"/>
              <w:bottom w:val="single" w:color="auto" w:sz="4" w:space="0"/>
              <w:right w:val="single" w:color="auto" w:sz="4" w:space="0"/>
            </w:tcBorders>
            <w:vAlign w:val="center"/>
          </w:tcPr>
          <w:p w14:paraId="4F0F20E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0AA3314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46D08E5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single" w:color="auto" w:sz="4" w:space="0"/>
              <w:left w:val="nil"/>
              <w:bottom w:val="single" w:color="auto" w:sz="4" w:space="0"/>
              <w:right w:val="single" w:color="auto" w:sz="4" w:space="0"/>
            </w:tcBorders>
            <w:vAlign w:val="center"/>
          </w:tcPr>
          <w:p w14:paraId="4B00F07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single" w:color="auto" w:sz="4" w:space="0"/>
              <w:left w:val="nil"/>
              <w:bottom w:val="single" w:color="auto" w:sz="4" w:space="0"/>
              <w:right w:val="single" w:color="auto" w:sz="4" w:space="0"/>
            </w:tcBorders>
            <w:vAlign w:val="center"/>
          </w:tcPr>
          <w:p w14:paraId="6BC84A3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single" w:color="auto" w:sz="4" w:space="0"/>
              <w:left w:val="nil"/>
              <w:bottom w:val="single" w:color="auto" w:sz="4" w:space="0"/>
              <w:right w:val="single" w:color="auto" w:sz="4" w:space="0"/>
            </w:tcBorders>
            <w:vAlign w:val="center"/>
          </w:tcPr>
          <w:p w14:paraId="114D3C2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single" w:color="auto" w:sz="4" w:space="0"/>
              <w:left w:val="nil"/>
              <w:bottom w:val="single" w:color="auto" w:sz="4" w:space="0"/>
              <w:right w:val="single" w:color="auto" w:sz="4" w:space="0"/>
            </w:tcBorders>
            <w:vAlign w:val="center"/>
          </w:tcPr>
          <w:p w14:paraId="7A007F0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single" w:color="auto" w:sz="4" w:space="0"/>
              <w:left w:val="nil"/>
              <w:bottom w:val="single" w:color="auto" w:sz="4" w:space="0"/>
              <w:right w:val="single" w:color="auto" w:sz="4" w:space="0"/>
            </w:tcBorders>
            <w:vAlign w:val="center"/>
          </w:tcPr>
          <w:p w14:paraId="1DDA284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6CE0EA39">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79842BB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01A4950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677AFA9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2D394EF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597AE18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49A971A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2C64F72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6D9861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579D26B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18101C63">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09A7533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1D50240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127207E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20" w:type="pct"/>
            <w:tcBorders>
              <w:top w:val="single" w:color="auto" w:sz="4" w:space="0"/>
              <w:left w:val="nil"/>
              <w:bottom w:val="single" w:color="auto" w:sz="4" w:space="0"/>
              <w:right w:val="single" w:color="auto" w:sz="4" w:space="0"/>
            </w:tcBorders>
            <w:vAlign w:val="center"/>
          </w:tcPr>
          <w:p w14:paraId="62F4379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41" w:type="pct"/>
            <w:tcBorders>
              <w:top w:val="nil"/>
              <w:left w:val="nil"/>
              <w:bottom w:val="single" w:color="auto" w:sz="4" w:space="0"/>
              <w:right w:val="single" w:color="auto" w:sz="4" w:space="0"/>
            </w:tcBorders>
            <w:vAlign w:val="center"/>
          </w:tcPr>
          <w:p w14:paraId="3C90CA2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12" w:type="pct"/>
            <w:tcBorders>
              <w:top w:val="nil"/>
              <w:left w:val="nil"/>
              <w:bottom w:val="single" w:color="auto" w:sz="4" w:space="0"/>
              <w:right w:val="single" w:color="auto" w:sz="4" w:space="0"/>
            </w:tcBorders>
            <w:vAlign w:val="center"/>
          </w:tcPr>
          <w:p w14:paraId="2DF62D8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70" w:type="pct"/>
            <w:tcBorders>
              <w:top w:val="nil"/>
              <w:left w:val="nil"/>
              <w:bottom w:val="single" w:color="auto" w:sz="4" w:space="0"/>
              <w:right w:val="single" w:color="auto" w:sz="4" w:space="0"/>
            </w:tcBorders>
            <w:vAlign w:val="center"/>
          </w:tcPr>
          <w:p w14:paraId="10601F4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739164D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0C21BB7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2B330132">
        <w:tblPrEx>
          <w:tblCellMar>
            <w:top w:w="0" w:type="dxa"/>
            <w:left w:w="108" w:type="dxa"/>
            <w:bottom w:w="0" w:type="dxa"/>
            <w:right w:w="108" w:type="dxa"/>
          </w:tblCellMar>
        </w:tblPrEx>
        <w:trPr>
          <w:trHeight w:val="510" w:hRule="atLeast"/>
        </w:trPr>
        <w:tc>
          <w:tcPr>
            <w:tcW w:w="5000" w:type="pct"/>
            <w:gridSpan w:val="9"/>
            <w:tcBorders>
              <w:top w:val="single" w:color="auto" w:sz="4" w:space="0"/>
              <w:left w:val="single" w:color="auto" w:sz="4" w:space="0"/>
              <w:bottom w:val="single" w:color="auto" w:sz="4" w:space="0"/>
              <w:right w:val="single" w:color="000000" w:sz="4" w:space="0"/>
            </w:tcBorders>
            <w:vAlign w:val="center"/>
          </w:tcPr>
          <w:p w14:paraId="138D9FC4">
            <w:pPr>
              <w:keepNext w:val="0"/>
              <w:keepLines w:val="0"/>
              <w:pageBreakBefore w:val="0"/>
              <w:widowControl/>
              <w:kinsoku/>
              <w:wordWrap/>
              <w:overflowPunct/>
              <w:topLinePunct w:val="0"/>
              <w:autoSpaceDE/>
              <w:autoSpaceDN/>
              <w:bidi w:val="0"/>
              <w:spacing w:afterAutospacing="0" w:line="440" w:lineRule="exact"/>
              <w:ind w:left="0" w:leftChars="0" w:right="0" w:rightChars="0"/>
              <w:jc w:val="left"/>
              <w:textAlignment w:val="center"/>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备注：</w:t>
            </w:r>
          </w:p>
        </w:tc>
      </w:tr>
      <w:tr w14:paraId="3531F814">
        <w:tblPrEx>
          <w:tblCellMar>
            <w:top w:w="0" w:type="dxa"/>
            <w:left w:w="108" w:type="dxa"/>
            <w:bottom w:w="0" w:type="dxa"/>
            <w:right w:w="108" w:type="dxa"/>
          </w:tblCellMar>
        </w:tblPrEx>
        <w:trPr>
          <w:trHeight w:val="510" w:hRule="atLeast"/>
        </w:trPr>
        <w:tc>
          <w:tcPr>
            <w:tcW w:w="1592" w:type="pct"/>
            <w:gridSpan w:val="3"/>
            <w:vMerge w:val="restart"/>
            <w:tcBorders>
              <w:top w:val="single" w:color="auto" w:sz="4" w:space="0"/>
              <w:left w:val="single" w:color="auto" w:sz="4" w:space="0"/>
              <w:right w:val="single" w:color="000000" w:sz="4" w:space="0"/>
            </w:tcBorders>
            <w:vAlign w:val="center"/>
          </w:tcPr>
          <w:p w14:paraId="31ACA58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rPr>
              <w:t>合计总金额</w:t>
            </w:r>
          </w:p>
        </w:tc>
        <w:tc>
          <w:tcPr>
            <w:tcW w:w="3407" w:type="pct"/>
            <w:gridSpan w:val="6"/>
            <w:tcBorders>
              <w:top w:val="single" w:color="auto" w:sz="4" w:space="0"/>
              <w:left w:val="nil"/>
              <w:bottom w:val="single" w:color="auto" w:sz="4" w:space="0"/>
              <w:right w:val="single" w:color="000000" w:sz="4" w:space="0"/>
            </w:tcBorders>
            <w:shd w:val="clear" w:color="auto" w:fill="auto"/>
            <w:vAlign w:val="center"/>
          </w:tcPr>
          <w:p w14:paraId="101F0AB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大写：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r w14:paraId="38BD5B78">
        <w:tblPrEx>
          <w:tblCellMar>
            <w:top w:w="0" w:type="dxa"/>
            <w:left w:w="108" w:type="dxa"/>
            <w:bottom w:w="0" w:type="dxa"/>
            <w:right w:w="108" w:type="dxa"/>
          </w:tblCellMar>
        </w:tblPrEx>
        <w:trPr>
          <w:trHeight w:val="510" w:hRule="atLeast"/>
        </w:trPr>
        <w:tc>
          <w:tcPr>
            <w:tcW w:w="1592" w:type="pct"/>
            <w:gridSpan w:val="3"/>
            <w:vMerge w:val="continue"/>
            <w:tcBorders>
              <w:left w:val="single" w:color="auto" w:sz="4" w:space="0"/>
              <w:bottom w:val="single" w:color="auto" w:sz="4" w:space="0"/>
              <w:right w:val="single" w:color="000000" w:sz="4" w:space="0"/>
            </w:tcBorders>
          </w:tcPr>
          <w:p w14:paraId="379531A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lang w:val="en-US" w:eastAsia="zh-CN"/>
              </w:rPr>
            </w:pPr>
          </w:p>
        </w:tc>
        <w:tc>
          <w:tcPr>
            <w:tcW w:w="3407" w:type="pct"/>
            <w:gridSpan w:val="6"/>
            <w:tcBorders>
              <w:top w:val="single" w:color="auto" w:sz="4" w:space="0"/>
              <w:bottom w:val="single" w:color="auto" w:sz="4" w:space="0"/>
              <w:right w:val="single" w:color="auto" w:sz="4" w:space="0"/>
            </w:tcBorders>
            <w:shd w:val="clear" w:color="auto" w:fill="auto"/>
            <w:vAlign w:val="center"/>
          </w:tcPr>
          <w:p w14:paraId="4FF8D82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rPr>
              <w:t>小写：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bl>
    <w:p w14:paraId="15390E46">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64D95886">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6E9D2E94">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26830097">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r>
        <w:rPr>
          <w:rFonts w:hint="eastAsia" w:asciiTheme="minorEastAsia" w:hAnsiTheme="minorEastAsia" w:eastAsiaTheme="minorEastAsia" w:cstheme="minorEastAsia"/>
          <w:color w:val="auto"/>
          <w:sz w:val="24"/>
          <w:szCs w:val="24"/>
        </w:rPr>
        <w:t>附件二：工程建设项目廉政责任书</w:t>
      </w:r>
    </w:p>
    <w:p w14:paraId="6899512F">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16E709F4">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8"/>
          <w:szCs w:val="28"/>
        </w:rPr>
        <w:t>工程建设项目廉政责任书</w:t>
      </w:r>
    </w:p>
    <w:p w14:paraId="29C05303">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工程项目名称：</w:t>
      </w:r>
    </w:p>
    <w:p w14:paraId="66A5FE91">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工程项目地址：根据具体的项目而定</w:t>
      </w:r>
    </w:p>
    <w:p w14:paraId="2C5381A2">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甲方：南宁轨道地产建筑工程有限责任公司</w:t>
      </w:r>
    </w:p>
    <w:p w14:paraId="1703DBB0">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w:t>
      </w:r>
    </w:p>
    <w:p w14:paraId="4F8DEFC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7267FCF">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第一条  甲乙双方的责任</w:t>
      </w:r>
    </w:p>
    <w:p w14:paraId="57051374">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（一）应严格遵守国家关于市场准入、项目招标投标、工程建设、施工安装和市场活动等有关</w:t>
      </w:r>
      <w:r>
        <w:rPr>
          <w:rFonts w:hint="eastAsia" w:asciiTheme="minorEastAsia" w:hAnsiTheme="minorEastAsia" w:eastAsiaTheme="minorEastAsia" w:cstheme="minorEastAsia"/>
          <w:color w:val="auto"/>
          <w:sz w:val="24"/>
          <w:szCs w:val="24"/>
          <w:lang w:eastAsia="zh-CN"/>
        </w:rPr>
        <w:t>法律法规</w:t>
      </w:r>
      <w:r>
        <w:rPr>
          <w:rFonts w:hint="eastAsia" w:asciiTheme="minorEastAsia" w:hAnsiTheme="minorEastAsia" w:eastAsiaTheme="minorEastAsia" w:cstheme="minorEastAsia"/>
          <w:color w:val="auto"/>
          <w:sz w:val="24"/>
          <w:szCs w:val="24"/>
        </w:rPr>
        <w:t>、相关政策</w:t>
      </w:r>
      <w:r>
        <w:rPr>
          <w:rFonts w:hint="eastAsia" w:asciiTheme="minorEastAsia" w:hAnsiTheme="minorEastAsia" w:eastAsiaTheme="minorEastAsia" w:cstheme="minorEastAsia"/>
          <w:color w:val="auto"/>
          <w:sz w:val="24"/>
          <w:szCs w:val="24"/>
          <w:lang w:eastAsia="zh-CN"/>
        </w:rPr>
        <w:t>以及</w:t>
      </w:r>
      <w:r>
        <w:rPr>
          <w:rFonts w:hint="eastAsia" w:asciiTheme="minorEastAsia" w:hAnsiTheme="minorEastAsia" w:eastAsiaTheme="minorEastAsia" w:cstheme="minorEastAsia"/>
          <w:color w:val="auto"/>
          <w:sz w:val="24"/>
          <w:szCs w:val="24"/>
        </w:rPr>
        <w:t>廉政建设的各项规定。</w:t>
      </w:r>
    </w:p>
    <w:p w14:paraId="22134315">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（二）严格执行建设工程项目承发包合同文件，自觉按合同办事。</w:t>
      </w:r>
    </w:p>
    <w:p w14:paraId="56A32882">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（三）业务活动必须坚持公开、公平、公正、诚信、透明的原则（除法律法规另有规定者外），不得损害国家利益、集体利益和对方的合法权益，不得违反工程建设管理、施工安装的法律法规及规章制度。</w:t>
      </w:r>
    </w:p>
    <w:p w14:paraId="273D403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（四）发现对方在业务活动中有违规、违纪、违法行为的，应及时提醒对方，并向监管单位报告；情节严重的，应向其上级主管部门或纪检监察、司法等有关机关举报。</w:t>
      </w:r>
    </w:p>
    <w:p w14:paraId="3FA1B90D">
      <w:pPr>
        <w:keepNext w:val="0"/>
        <w:keepLines w:val="0"/>
        <w:pageBreakBefore w:val="0"/>
        <w:tabs>
          <w:tab w:val="left" w:pos="640"/>
        </w:tabs>
        <w:kinsoku/>
        <w:wordWrap/>
        <w:overflowPunct/>
        <w:topLinePunct w:val="0"/>
        <w:autoSpaceDE/>
        <w:autoSpaceDN/>
        <w:bidi w:val="0"/>
        <w:spacing w:afterAutospacing="0" w:line="440" w:lineRule="exact"/>
        <w:ind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第二条  甲方的责任</w:t>
      </w:r>
    </w:p>
    <w:p w14:paraId="62657F4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甲方及甲方相关工作人员，在工程建设的事前、事中、事后应遵守以下规定：</w:t>
      </w:r>
    </w:p>
    <w:p w14:paraId="57DE62F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（一）不准向乙方和相关单位索要或接受回扣、礼金、有价证券、贵重物品和好处费、感谢费等。</w:t>
      </w:r>
    </w:p>
    <w:p w14:paraId="1CBA5985">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不准以任何理由向乙方和相关单位无偿或以明显低于市场价格借用房屋、车辆、金钱或其他贵重物品等。</w:t>
      </w:r>
    </w:p>
    <w:p w14:paraId="7C4D8DAE">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（二）不准在乙方和相关单位报销任何应由甲方或个人支付的费用。</w:t>
      </w:r>
    </w:p>
    <w:p w14:paraId="54273C4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（三）不准要求、暗示或接受乙方和相关单位为个人装修住房、婚丧嫁娶、配偶子女的工作安排以及出国（境）、旅游等提供方便。</w:t>
      </w:r>
    </w:p>
    <w:p w14:paraId="60AE920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（四）不准参加乙方和相关单位安排的有可能影响公正执行工作任务的宴请和健身、娱乐等活动。</w:t>
      </w:r>
    </w:p>
    <w:p w14:paraId="4AF08EE5">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5E3D0B8">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第三条  乙方的责任</w:t>
      </w:r>
    </w:p>
    <w:p w14:paraId="0F6732F3">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应与甲方保持正常的业务交往，按照有关法律法规和程序开展业务工作，严格执行工程建设的有关方针、政策，尤其是有关建筑施工安装的强制性标准和规范，并遵守以下规定：</w:t>
      </w:r>
    </w:p>
    <w:p w14:paraId="00BFCF52">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（一）不准以任何理由向甲方、相关单位及其工作人员赠送礼金、有价证券、贵重物品及回扣、好处费、感谢费等。</w:t>
      </w:r>
    </w:p>
    <w:p w14:paraId="2ABE39A7">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不准以任何理由向甲方、相关单位及其工作人员无偿或以明显低于市场价格出借房屋、车辆、金钱或其他贵重物品等。</w:t>
      </w:r>
    </w:p>
    <w:p w14:paraId="69D1D4C6">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（二）不准以任何理由为甲方和相关单位及其工作人员报销应由甲方或个人支付的费用。</w:t>
      </w:r>
    </w:p>
    <w:p w14:paraId="6E70E796">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（三）不准明示或暗示为甲方、相关单位或个人装修住房、婚丧嫁娶、配偶子女的工作安排以及出国（境）、旅游等提供方便。</w:t>
      </w:r>
    </w:p>
    <w:p w14:paraId="3F5A01D6">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（四）不准以任何理由为甲方、相关单位或个人组织安排有可能影响公正执行工作任务的宴请、健身、娱乐等活动。</w:t>
      </w:r>
    </w:p>
    <w:p w14:paraId="49435A77">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（五）乙方（民企或个体）接受甲方监管单位的监管、监督执行。</w:t>
      </w:r>
    </w:p>
    <w:p w14:paraId="6AA52669">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第四条  违约责任</w:t>
      </w:r>
    </w:p>
    <w:p w14:paraId="542D9190">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（一）甲方工作人员有违反本责任书第一、二条责任行为的，甲方应按照管理权限，依据有关法律法规和规定给予追责处理；涉嫌犯罪的，移交司法机关追究刑事责任；给乙方单位造成损失的，应予以赔偿。</w:t>
      </w:r>
    </w:p>
    <w:p w14:paraId="215B9A44">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（二）乙方工作人员有违反责任书第一、三条责任行为的，乙方应按照管理权限，依据有关法律法规和规定给予追责处理；涉嫌犯罪的，移交司法机关追究刑事责任；给甲方单位造成损失的，应予以赔偿。</w:t>
      </w:r>
    </w:p>
    <w:p w14:paraId="717C2D8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第五条  本责任书经双方法定代表人或授权代表签字并加盖双方单位公章后立即生效。</w:t>
      </w:r>
    </w:p>
    <w:p w14:paraId="5E4F1089">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第六条  本责任书的有效期为双方签署之日起至该工程项目竣工验收合格时止。</w:t>
      </w:r>
    </w:p>
    <w:p w14:paraId="08065BDE">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第七条  本责任书一式四份，由甲乙双方各执一份，送交甲乙双方的监督单位各一份。</w:t>
      </w:r>
    </w:p>
    <w:p w14:paraId="6082B2D9">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甲方单位：（盖章）           乙方单位：（盖章）</w:t>
      </w:r>
    </w:p>
    <w:p w14:paraId="0E3E1143">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                 法定代表人或</w:t>
      </w:r>
    </w:p>
    <w:p w14:paraId="3980BD2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授权代表（签字）：           授权代表（签字）：</w:t>
      </w:r>
    </w:p>
    <w:p w14:paraId="70ED605C">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 xml:space="preserve">年   月   日               </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年   月   日</w:t>
      </w:r>
      <w:r>
        <w:rPr>
          <w:rFonts w:hint="eastAsia" w:asciiTheme="minorEastAsia" w:hAnsiTheme="minorEastAsia" w:eastAsiaTheme="minorEastAsia" w:cstheme="minorEastAsia"/>
          <w:color w:val="auto"/>
          <w:sz w:val="24"/>
          <w:szCs w:val="24"/>
          <w:lang w:val="en-US" w:eastAsia="zh-CN"/>
        </w:rPr>
        <w:t xml:space="preserve">  </w:t>
      </w:r>
    </w:p>
    <w:p w14:paraId="26A5E7EB">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3A7DDEE5">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firstLine="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附件三：供货通知（根据具体情况进行调整）</w:t>
      </w:r>
    </w:p>
    <w:p w14:paraId="62E3B8B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供 货 通 知</w:t>
      </w:r>
    </w:p>
    <w:p w14:paraId="425F1A45">
      <w:pPr>
        <w:keepNext w:val="0"/>
        <w:keepLines w:val="0"/>
        <w:pageBreakBefore w:val="0"/>
        <w:kinsoku/>
        <w:wordWrap/>
        <w:overflowPunct/>
        <w:topLinePunct w:val="0"/>
        <w:autoSpaceDE/>
        <w:autoSpaceDN/>
        <w:bidi w:val="0"/>
        <w:spacing w:afterAutospacing="0" w:line="440" w:lineRule="exact"/>
        <w:ind w:left="0" w:leftChars="0" w:right="0" w:rightChars="0" w:firstLine="6480" w:firstLineChars="27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编号 ：</w:t>
      </w:r>
    </w:p>
    <w:p w14:paraId="319773C3">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致：XXX</w:t>
      </w:r>
    </w:p>
    <w:p w14:paraId="67CF288C">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合同编号：</w:t>
      </w:r>
      <w:r>
        <w:rPr>
          <w:rFonts w:hint="eastAsia" w:asciiTheme="minorEastAsia" w:hAnsiTheme="minorEastAsia" w:eastAsiaTheme="minorEastAsia" w:cstheme="minorEastAsia"/>
          <w:color w:val="auto"/>
          <w:sz w:val="24"/>
          <w:szCs w:val="24"/>
          <w:u w:val="single"/>
        </w:rPr>
        <w:t>XXXXXX</w:t>
      </w:r>
    </w:p>
    <w:p w14:paraId="12CE8309">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firstLine="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合同名称：南宁轨道地产建筑工程有限责任公司xxx年度xxxx集中采购合同</w:t>
      </w:r>
    </w:p>
    <w:p w14:paraId="16A7451A">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工程项目：</w:t>
      </w:r>
    </w:p>
    <w:p w14:paraId="39331C8D">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交货地点：</w:t>
      </w:r>
    </w:p>
    <w:p w14:paraId="419F624D">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收货人：                            联系电话：</w:t>
      </w:r>
    </w:p>
    <w:p w14:paraId="5C79861A">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firstLine="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项目负责人：                        联系电话：</w:t>
      </w:r>
    </w:p>
    <w:p w14:paraId="6953AF12">
      <w:pPr>
        <w:keepNext w:val="0"/>
        <w:keepLines w:val="0"/>
        <w:pageBreakBefore w:val="0"/>
        <w:kinsoku/>
        <w:wordWrap/>
        <w:overflowPunct/>
        <w:topLinePunct w:val="0"/>
        <w:autoSpaceDE/>
        <w:autoSpaceDN/>
        <w:bidi w:val="0"/>
        <w:spacing w:afterAutospacing="0" w:line="440" w:lineRule="exact"/>
        <w:ind w:left="0" w:leftChars="0" w:right="0" w:rightChars="0" w:firstLine="42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兹通知我司需要以下物资，请于下列日期送货至本供货通知的工程项目工地。</w:t>
      </w:r>
    </w:p>
    <w:p w14:paraId="735A24F1">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rPr>
          <w:rFonts w:hint="eastAsia" w:asciiTheme="minorEastAsia" w:hAnsiTheme="minorEastAsia" w:eastAsiaTheme="minorEastAsia" w:cstheme="minorEastAsia"/>
          <w:color w:val="auto"/>
          <w:sz w:val="24"/>
          <w:szCs w:val="24"/>
        </w:rPr>
      </w:pPr>
    </w:p>
    <w:tbl>
      <w:tblPr>
        <w:tblStyle w:val="49"/>
        <w:tblW w:w="4911" w:type="pct"/>
        <w:jc w:val="center"/>
        <w:tblLayout w:type="fixed"/>
        <w:tblCellMar>
          <w:top w:w="0" w:type="dxa"/>
          <w:left w:w="108" w:type="dxa"/>
          <w:bottom w:w="0" w:type="dxa"/>
          <w:right w:w="108" w:type="dxa"/>
        </w:tblCellMar>
      </w:tblPr>
      <w:tblGrid>
        <w:gridCol w:w="594"/>
        <w:gridCol w:w="1203"/>
        <w:gridCol w:w="1046"/>
        <w:gridCol w:w="871"/>
        <w:gridCol w:w="804"/>
        <w:gridCol w:w="947"/>
        <w:gridCol w:w="1231"/>
        <w:gridCol w:w="1068"/>
        <w:gridCol w:w="1359"/>
      </w:tblGrid>
      <w:tr w14:paraId="74CB0E9F">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vAlign w:val="center"/>
          </w:tcPr>
          <w:p w14:paraId="73F0218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r>
              <w:rPr>
                <w:rFonts w:hint="eastAsia" w:asciiTheme="minorEastAsia" w:hAnsiTheme="minorEastAsia" w:eastAsiaTheme="minorEastAsia" w:cstheme="minorEastAsia"/>
                <w:color w:val="auto"/>
                <w:kern w:val="0"/>
                <w:sz w:val="24"/>
                <w:szCs w:val="24"/>
                <w:lang w:bidi="ar"/>
              </w:rPr>
              <w:t>序号</w:t>
            </w:r>
          </w:p>
        </w:tc>
        <w:tc>
          <w:tcPr>
            <w:tcW w:w="659" w:type="pct"/>
            <w:tcBorders>
              <w:top w:val="single" w:color="000000" w:sz="4" w:space="0"/>
              <w:left w:val="single" w:color="000000" w:sz="4" w:space="0"/>
              <w:bottom w:val="single" w:color="000000" w:sz="4" w:space="0"/>
              <w:right w:val="single" w:color="000000" w:sz="4" w:space="0"/>
            </w:tcBorders>
            <w:vAlign w:val="center"/>
          </w:tcPr>
          <w:p w14:paraId="3ED69B9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材料名称</w:t>
            </w:r>
          </w:p>
        </w:tc>
        <w:tc>
          <w:tcPr>
            <w:tcW w:w="573" w:type="pct"/>
            <w:tcBorders>
              <w:top w:val="single" w:color="000000" w:sz="4" w:space="0"/>
              <w:left w:val="single" w:color="000000" w:sz="4" w:space="0"/>
              <w:bottom w:val="single" w:color="000000" w:sz="4" w:space="0"/>
              <w:right w:val="single" w:color="000000" w:sz="4" w:space="0"/>
            </w:tcBorders>
            <w:vAlign w:val="center"/>
          </w:tcPr>
          <w:p w14:paraId="288ACB7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规格</w:t>
            </w:r>
          </w:p>
        </w:tc>
        <w:tc>
          <w:tcPr>
            <w:tcW w:w="477" w:type="pct"/>
            <w:tcBorders>
              <w:top w:val="single" w:color="000000" w:sz="4" w:space="0"/>
              <w:left w:val="single" w:color="000000" w:sz="4" w:space="0"/>
              <w:bottom w:val="nil"/>
              <w:right w:val="single" w:color="000000" w:sz="4" w:space="0"/>
            </w:tcBorders>
            <w:vAlign w:val="center"/>
          </w:tcPr>
          <w:p w14:paraId="3BFB4E5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kern w:val="0"/>
                <w:sz w:val="24"/>
                <w:szCs w:val="24"/>
                <w:lang w:val="en-US" w:eastAsia="zh-CN"/>
              </w:rPr>
              <w:t>型号</w:t>
            </w:r>
          </w:p>
        </w:tc>
        <w:tc>
          <w:tcPr>
            <w:tcW w:w="440" w:type="pct"/>
            <w:tcBorders>
              <w:top w:val="single" w:color="000000" w:sz="4" w:space="0"/>
              <w:left w:val="single" w:color="000000" w:sz="4" w:space="0"/>
              <w:bottom w:val="single" w:color="000000" w:sz="4" w:space="0"/>
              <w:right w:val="single" w:color="000000" w:sz="4" w:space="0"/>
            </w:tcBorders>
            <w:vAlign w:val="center"/>
          </w:tcPr>
          <w:p w14:paraId="156D83D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采购量</w:t>
            </w:r>
          </w:p>
        </w:tc>
        <w:tc>
          <w:tcPr>
            <w:tcW w:w="519" w:type="pct"/>
            <w:tcBorders>
              <w:top w:val="single" w:color="000000" w:sz="4" w:space="0"/>
              <w:left w:val="single" w:color="000000" w:sz="4" w:space="0"/>
              <w:bottom w:val="single" w:color="000000" w:sz="4" w:space="0"/>
              <w:right w:val="single" w:color="000000" w:sz="4" w:space="0"/>
            </w:tcBorders>
            <w:vAlign w:val="center"/>
          </w:tcPr>
          <w:p w14:paraId="7EBB2BA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计量单位</w:t>
            </w:r>
          </w:p>
        </w:tc>
        <w:tc>
          <w:tcPr>
            <w:tcW w:w="674" w:type="pct"/>
            <w:tcBorders>
              <w:top w:val="single" w:color="000000" w:sz="4" w:space="0"/>
              <w:left w:val="single" w:color="000000" w:sz="4" w:space="0"/>
              <w:bottom w:val="single" w:color="000000" w:sz="4" w:space="0"/>
              <w:right w:val="single" w:color="000000" w:sz="4" w:space="0"/>
            </w:tcBorders>
            <w:vAlign w:val="center"/>
          </w:tcPr>
          <w:p w14:paraId="6C42BD8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综合单价（元）</w:t>
            </w:r>
          </w:p>
        </w:tc>
        <w:tc>
          <w:tcPr>
            <w:tcW w:w="585" w:type="pct"/>
            <w:tcBorders>
              <w:top w:val="single" w:color="000000" w:sz="4" w:space="0"/>
              <w:left w:val="single" w:color="000000" w:sz="4" w:space="0"/>
              <w:bottom w:val="single" w:color="000000" w:sz="4" w:space="0"/>
              <w:right w:val="single" w:color="000000" w:sz="4" w:space="0"/>
            </w:tcBorders>
            <w:vAlign w:val="center"/>
          </w:tcPr>
          <w:p w14:paraId="65723E1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小计金额（元）</w:t>
            </w:r>
          </w:p>
        </w:tc>
        <w:tc>
          <w:tcPr>
            <w:tcW w:w="744" w:type="pct"/>
            <w:tcBorders>
              <w:top w:val="single" w:color="000000" w:sz="4" w:space="0"/>
              <w:left w:val="single" w:color="000000" w:sz="4" w:space="0"/>
              <w:bottom w:val="single" w:color="000000" w:sz="4" w:space="0"/>
              <w:right w:val="single" w:color="000000" w:sz="4" w:space="0"/>
            </w:tcBorders>
            <w:vAlign w:val="center"/>
          </w:tcPr>
          <w:p w14:paraId="61A7FE3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到货日期</w:t>
            </w:r>
          </w:p>
        </w:tc>
      </w:tr>
      <w:tr w14:paraId="6B3586CC">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vAlign w:val="center"/>
          </w:tcPr>
          <w:p w14:paraId="359DC8A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7C62A1A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573" w:type="pct"/>
            <w:tcBorders>
              <w:top w:val="single" w:color="000000" w:sz="4" w:space="0"/>
              <w:left w:val="single" w:color="000000" w:sz="4" w:space="0"/>
              <w:bottom w:val="single" w:color="000000" w:sz="4" w:space="0"/>
              <w:right w:val="single" w:color="000000" w:sz="4" w:space="0"/>
            </w:tcBorders>
            <w:vAlign w:val="center"/>
          </w:tcPr>
          <w:p w14:paraId="6CB9934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8A7709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40" w:type="pct"/>
            <w:tcBorders>
              <w:top w:val="single" w:color="000000" w:sz="4" w:space="0"/>
              <w:left w:val="single" w:color="000000" w:sz="4" w:space="0"/>
              <w:bottom w:val="single" w:color="000000" w:sz="4" w:space="0"/>
              <w:right w:val="single" w:color="000000" w:sz="4" w:space="0"/>
            </w:tcBorders>
            <w:noWrap/>
          </w:tcPr>
          <w:p w14:paraId="7D30E3D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19" w:type="pct"/>
            <w:tcBorders>
              <w:top w:val="single" w:color="000000" w:sz="4" w:space="0"/>
              <w:left w:val="single" w:color="000000" w:sz="4" w:space="0"/>
              <w:bottom w:val="single" w:color="000000" w:sz="4" w:space="0"/>
              <w:right w:val="single" w:color="000000" w:sz="4" w:space="0"/>
            </w:tcBorders>
            <w:vAlign w:val="center"/>
          </w:tcPr>
          <w:p w14:paraId="7ACA8D8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77B560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585" w:type="pct"/>
            <w:tcBorders>
              <w:top w:val="single" w:color="000000" w:sz="4" w:space="0"/>
              <w:left w:val="single" w:color="000000" w:sz="4" w:space="0"/>
              <w:bottom w:val="single" w:color="000000" w:sz="4" w:space="0"/>
              <w:right w:val="single" w:color="000000" w:sz="4" w:space="0"/>
            </w:tcBorders>
            <w:vAlign w:val="center"/>
          </w:tcPr>
          <w:p w14:paraId="5B26AAF7">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44" w:type="pct"/>
            <w:tcBorders>
              <w:top w:val="single" w:color="000000" w:sz="4" w:space="0"/>
              <w:left w:val="single" w:color="000000" w:sz="4" w:space="0"/>
              <w:bottom w:val="single" w:color="000000" w:sz="4" w:space="0"/>
              <w:right w:val="single" w:color="000000" w:sz="4" w:space="0"/>
            </w:tcBorders>
            <w:vAlign w:val="center"/>
          </w:tcPr>
          <w:p w14:paraId="7A34FB2F">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r>
      <w:tr w14:paraId="77296B12">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vAlign w:val="center"/>
          </w:tcPr>
          <w:p w14:paraId="52A2011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8AF990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573" w:type="pct"/>
            <w:tcBorders>
              <w:top w:val="single" w:color="000000" w:sz="4" w:space="0"/>
              <w:left w:val="single" w:color="000000" w:sz="4" w:space="0"/>
              <w:bottom w:val="single" w:color="000000" w:sz="4" w:space="0"/>
              <w:right w:val="single" w:color="000000" w:sz="4" w:space="0"/>
            </w:tcBorders>
            <w:vAlign w:val="center"/>
          </w:tcPr>
          <w:p w14:paraId="7CB08AA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5B8B381">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40" w:type="pct"/>
            <w:tcBorders>
              <w:top w:val="single" w:color="000000" w:sz="4" w:space="0"/>
              <w:left w:val="single" w:color="000000" w:sz="4" w:space="0"/>
              <w:bottom w:val="single" w:color="000000" w:sz="4" w:space="0"/>
              <w:right w:val="single" w:color="000000" w:sz="4" w:space="0"/>
            </w:tcBorders>
            <w:noWrap/>
          </w:tcPr>
          <w:p w14:paraId="1C7A9A86">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19" w:type="pct"/>
            <w:tcBorders>
              <w:top w:val="single" w:color="000000" w:sz="4" w:space="0"/>
              <w:left w:val="single" w:color="000000" w:sz="4" w:space="0"/>
              <w:bottom w:val="single" w:color="000000" w:sz="4" w:space="0"/>
              <w:right w:val="single" w:color="000000" w:sz="4" w:space="0"/>
            </w:tcBorders>
            <w:vAlign w:val="center"/>
          </w:tcPr>
          <w:p w14:paraId="3817FCA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F9F36B2">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85" w:type="pct"/>
            <w:tcBorders>
              <w:top w:val="single" w:color="000000" w:sz="4" w:space="0"/>
              <w:left w:val="single" w:color="000000" w:sz="4" w:space="0"/>
              <w:bottom w:val="single" w:color="000000" w:sz="4" w:space="0"/>
              <w:right w:val="single" w:color="000000" w:sz="4" w:space="0"/>
            </w:tcBorders>
            <w:vAlign w:val="center"/>
          </w:tcPr>
          <w:p w14:paraId="5857131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44" w:type="pct"/>
            <w:tcBorders>
              <w:top w:val="single" w:color="000000" w:sz="4" w:space="0"/>
              <w:left w:val="single" w:color="000000" w:sz="4" w:space="0"/>
              <w:bottom w:val="single" w:color="000000" w:sz="4" w:space="0"/>
              <w:right w:val="single" w:color="000000" w:sz="4" w:space="0"/>
            </w:tcBorders>
            <w:vAlign w:val="center"/>
          </w:tcPr>
          <w:p w14:paraId="553E6427">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r>
      <w:tr w14:paraId="18A78A3A">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vAlign w:val="center"/>
          </w:tcPr>
          <w:p w14:paraId="2188CAA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51A981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573" w:type="pct"/>
            <w:tcBorders>
              <w:top w:val="single" w:color="000000" w:sz="4" w:space="0"/>
              <w:left w:val="single" w:color="000000" w:sz="4" w:space="0"/>
              <w:bottom w:val="single" w:color="000000" w:sz="4" w:space="0"/>
              <w:right w:val="single" w:color="000000" w:sz="4" w:space="0"/>
            </w:tcBorders>
            <w:vAlign w:val="center"/>
          </w:tcPr>
          <w:p w14:paraId="4569AE2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6807DA">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40" w:type="pct"/>
            <w:tcBorders>
              <w:top w:val="single" w:color="000000" w:sz="4" w:space="0"/>
              <w:left w:val="single" w:color="000000" w:sz="4" w:space="0"/>
              <w:bottom w:val="single" w:color="000000" w:sz="4" w:space="0"/>
              <w:right w:val="single" w:color="000000" w:sz="4" w:space="0"/>
            </w:tcBorders>
            <w:noWrap/>
          </w:tcPr>
          <w:p w14:paraId="0577DF8F">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19" w:type="pct"/>
            <w:tcBorders>
              <w:top w:val="single" w:color="000000" w:sz="4" w:space="0"/>
              <w:left w:val="single" w:color="000000" w:sz="4" w:space="0"/>
              <w:bottom w:val="single" w:color="000000" w:sz="4" w:space="0"/>
              <w:right w:val="single" w:color="000000" w:sz="4" w:space="0"/>
            </w:tcBorders>
            <w:vAlign w:val="center"/>
          </w:tcPr>
          <w:p w14:paraId="526C023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00295622">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85" w:type="pct"/>
            <w:tcBorders>
              <w:top w:val="single" w:color="000000" w:sz="4" w:space="0"/>
              <w:left w:val="single" w:color="000000" w:sz="4" w:space="0"/>
              <w:bottom w:val="single" w:color="000000" w:sz="4" w:space="0"/>
              <w:right w:val="single" w:color="000000" w:sz="4" w:space="0"/>
            </w:tcBorders>
            <w:vAlign w:val="center"/>
          </w:tcPr>
          <w:p w14:paraId="0931459A">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44" w:type="pct"/>
            <w:tcBorders>
              <w:top w:val="single" w:color="000000" w:sz="4" w:space="0"/>
              <w:left w:val="single" w:color="000000" w:sz="4" w:space="0"/>
              <w:bottom w:val="single" w:color="000000" w:sz="4" w:space="0"/>
              <w:right w:val="single" w:color="000000" w:sz="4" w:space="0"/>
            </w:tcBorders>
            <w:vAlign w:val="center"/>
          </w:tcPr>
          <w:p w14:paraId="30BE1036">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r>
      <w:tr w14:paraId="4F808957">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vAlign w:val="center"/>
          </w:tcPr>
          <w:p w14:paraId="67272AB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580886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573" w:type="pct"/>
            <w:tcBorders>
              <w:top w:val="single" w:color="000000" w:sz="4" w:space="0"/>
              <w:left w:val="single" w:color="000000" w:sz="4" w:space="0"/>
              <w:bottom w:val="single" w:color="000000" w:sz="4" w:space="0"/>
              <w:right w:val="single" w:color="000000" w:sz="4" w:space="0"/>
            </w:tcBorders>
            <w:vAlign w:val="center"/>
          </w:tcPr>
          <w:p w14:paraId="3242043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713FBAF">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40" w:type="pct"/>
            <w:tcBorders>
              <w:top w:val="single" w:color="000000" w:sz="4" w:space="0"/>
              <w:left w:val="single" w:color="000000" w:sz="4" w:space="0"/>
              <w:bottom w:val="single" w:color="000000" w:sz="4" w:space="0"/>
              <w:right w:val="single" w:color="000000" w:sz="4" w:space="0"/>
            </w:tcBorders>
            <w:noWrap/>
          </w:tcPr>
          <w:p w14:paraId="4D253E08">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19" w:type="pct"/>
            <w:tcBorders>
              <w:top w:val="single" w:color="000000" w:sz="4" w:space="0"/>
              <w:left w:val="single" w:color="000000" w:sz="4" w:space="0"/>
              <w:bottom w:val="single" w:color="000000" w:sz="4" w:space="0"/>
              <w:right w:val="single" w:color="000000" w:sz="4" w:space="0"/>
            </w:tcBorders>
            <w:vAlign w:val="center"/>
          </w:tcPr>
          <w:p w14:paraId="3E4A1C1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215FCB02">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85" w:type="pct"/>
            <w:tcBorders>
              <w:top w:val="single" w:color="000000" w:sz="4" w:space="0"/>
              <w:left w:val="single" w:color="000000" w:sz="4" w:space="0"/>
              <w:bottom w:val="single" w:color="000000" w:sz="4" w:space="0"/>
              <w:right w:val="single" w:color="000000" w:sz="4" w:space="0"/>
            </w:tcBorders>
            <w:vAlign w:val="center"/>
          </w:tcPr>
          <w:p w14:paraId="09E7CE1B">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44" w:type="pct"/>
            <w:tcBorders>
              <w:top w:val="single" w:color="000000" w:sz="4" w:space="0"/>
              <w:left w:val="single" w:color="000000" w:sz="4" w:space="0"/>
              <w:bottom w:val="single" w:color="000000" w:sz="4" w:space="0"/>
              <w:right w:val="single" w:color="000000" w:sz="4" w:space="0"/>
            </w:tcBorders>
            <w:vAlign w:val="center"/>
          </w:tcPr>
          <w:p w14:paraId="103CD47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r>
      <w:tr w14:paraId="69EFAF5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vAlign w:val="center"/>
          </w:tcPr>
          <w:p w14:paraId="3383D20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D28BC8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573" w:type="pct"/>
            <w:tcBorders>
              <w:top w:val="single" w:color="000000" w:sz="4" w:space="0"/>
              <w:left w:val="single" w:color="000000" w:sz="4" w:space="0"/>
              <w:bottom w:val="single" w:color="000000" w:sz="4" w:space="0"/>
              <w:right w:val="single" w:color="000000" w:sz="4" w:space="0"/>
            </w:tcBorders>
            <w:vAlign w:val="center"/>
          </w:tcPr>
          <w:p w14:paraId="28CC395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AFC6246">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40" w:type="pct"/>
            <w:tcBorders>
              <w:top w:val="single" w:color="000000" w:sz="4" w:space="0"/>
              <w:left w:val="single" w:color="000000" w:sz="4" w:space="0"/>
              <w:bottom w:val="single" w:color="000000" w:sz="4" w:space="0"/>
              <w:right w:val="single" w:color="000000" w:sz="4" w:space="0"/>
            </w:tcBorders>
            <w:noWrap/>
          </w:tcPr>
          <w:p w14:paraId="11239AB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19" w:type="pct"/>
            <w:tcBorders>
              <w:top w:val="single" w:color="000000" w:sz="4" w:space="0"/>
              <w:left w:val="single" w:color="000000" w:sz="4" w:space="0"/>
              <w:bottom w:val="single" w:color="000000" w:sz="4" w:space="0"/>
              <w:right w:val="single" w:color="000000" w:sz="4" w:space="0"/>
            </w:tcBorders>
            <w:vAlign w:val="center"/>
          </w:tcPr>
          <w:p w14:paraId="676987F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3C14CD21">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85" w:type="pct"/>
            <w:tcBorders>
              <w:top w:val="single" w:color="000000" w:sz="4" w:space="0"/>
              <w:left w:val="single" w:color="000000" w:sz="4" w:space="0"/>
              <w:bottom w:val="single" w:color="000000" w:sz="4" w:space="0"/>
              <w:right w:val="single" w:color="000000" w:sz="4" w:space="0"/>
            </w:tcBorders>
            <w:vAlign w:val="center"/>
          </w:tcPr>
          <w:p w14:paraId="42336F13">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44" w:type="pct"/>
            <w:tcBorders>
              <w:top w:val="single" w:color="000000" w:sz="4" w:space="0"/>
              <w:left w:val="single" w:color="000000" w:sz="4" w:space="0"/>
              <w:bottom w:val="single" w:color="000000" w:sz="4" w:space="0"/>
              <w:right w:val="single" w:color="000000" w:sz="4" w:space="0"/>
            </w:tcBorders>
            <w:vAlign w:val="center"/>
          </w:tcPr>
          <w:p w14:paraId="33989C7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r>
      <w:tr w14:paraId="37114359">
        <w:tblPrEx>
          <w:tblCellMar>
            <w:top w:w="0" w:type="dxa"/>
            <w:left w:w="108" w:type="dxa"/>
            <w:bottom w:w="0" w:type="dxa"/>
            <w:right w:w="108" w:type="dxa"/>
          </w:tblCellMar>
        </w:tblPrEx>
        <w:trPr>
          <w:trHeight w:val="330" w:hRule="atLeast"/>
          <w:jc w:val="center"/>
        </w:trPr>
        <w:tc>
          <w:tcPr>
            <w:tcW w:w="2035" w:type="pct"/>
            <w:gridSpan w:val="4"/>
            <w:tcBorders>
              <w:top w:val="single" w:color="000000" w:sz="4" w:space="0"/>
              <w:left w:val="single" w:color="000000" w:sz="4" w:space="0"/>
              <w:bottom w:val="single" w:color="000000" w:sz="4" w:space="0"/>
              <w:right w:val="single" w:color="000000" w:sz="4" w:space="0"/>
            </w:tcBorders>
            <w:vAlign w:val="center"/>
          </w:tcPr>
          <w:p w14:paraId="6402955D">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w:t>
            </w:r>
          </w:p>
        </w:tc>
        <w:tc>
          <w:tcPr>
            <w:tcW w:w="440" w:type="pct"/>
            <w:tcBorders>
              <w:top w:val="single" w:color="000000" w:sz="4" w:space="0"/>
              <w:left w:val="single" w:color="000000" w:sz="4" w:space="0"/>
              <w:bottom w:val="single" w:color="000000" w:sz="4" w:space="0"/>
              <w:right w:val="single" w:color="000000" w:sz="4" w:space="0"/>
            </w:tcBorders>
            <w:noWrap/>
          </w:tcPr>
          <w:p w14:paraId="79F9731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19" w:type="pct"/>
            <w:tcBorders>
              <w:top w:val="single" w:color="000000" w:sz="4" w:space="0"/>
              <w:left w:val="single" w:color="000000" w:sz="4" w:space="0"/>
              <w:bottom w:val="single" w:color="000000" w:sz="4" w:space="0"/>
              <w:right w:val="single" w:color="000000" w:sz="4" w:space="0"/>
            </w:tcBorders>
            <w:vAlign w:val="center"/>
          </w:tcPr>
          <w:p w14:paraId="338719B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4106DABE">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585" w:type="pct"/>
            <w:tcBorders>
              <w:top w:val="single" w:color="000000" w:sz="4" w:space="0"/>
              <w:left w:val="single" w:color="000000" w:sz="4" w:space="0"/>
              <w:bottom w:val="single" w:color="000000" w:sz="4" w:space="0"/>
              <w:right w:val="single" w:color="000000" w:sz="4" w:space="0"/>
            </w:tcBorders>
            <w:vAlign w:val="center"/>
          </w:tcPr>
          <w:p w14:paraId="19A69FC4">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44" w:type="pct"/>
            <w:tcBorders>
              <w:top w:val="single" w:color="000000" w:sz="4" w:space="0"/>
              <w:left w:val="single" w:color="000000" w:sz="4" w:space="0"/>
              <w:bottom w:val="single" w:color="000000" w:sz="4" w:space="0"/>
              <w:right w:val="single" w:color="000000" w:sz="4" w:space="0"/>
            </w:tcBorders>
            <w:vAlign w:val="center"/>
          </w:tcPr>
          <w:p w14:paraId="3C2C79B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r>
    </w:tbl>
    <w:p w14:paraId="182C5642">
      <w:pPr>
        <w:keepNext w:val="0"/>
        <w:keepLines w:val="0"/>
        <w:pageBreakBefore w:val="0"/>
        <w:kinsoku/>
        <w:wordWrap/>
        <w:overflowPunct/>
        <w:topLinePunct w:val="0"/>
        <w:autoSpaceDE/>
        <w:autoSpaceDN/>
        <w:bidi w:val="0"/>
        <w:spacing w:afterAutospacing="0" w:line="360" w:lineRule="auto"/>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副本抄送：工程项目收货人。</w:t>
      </w:r>
    </w:p>
    <w:p w14:paraId="649E4609">
      <w:pPr>
        <w:spacing w:line="360" w:lineRule="auto"/>
        <w:jc w:val="righ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南宁轨道地产建筑公司有限责任公司合约采购部（盖章）</w:t>
      </w:r>
    </w:p>
    <w:p w14:paraId="1F654F6C">
      <w:pPr>
        <w:pStyle w:val="18"/>
        <w:keepNext w:val="0"/>
        <w:keepLines w:val="0"/>
        <w:pageBreakBefore w:val="0"/>
        <w:kinsoku/>
        <w:wordWrap/>
        <w:overflowPunct/>
        <w:topLinePunct w:val="0"/>
        <w:autoSpaceDE/>
        <w:autoSpaceDN/>
        <w:bidi w:val="0"/>
        <w:spacing w:before="0" w:after="0" w:afterAutospacing="0" w:line="360" w:lineRule="auto"/>
        <w:ind w:left="0" w:leftChars="0" w:right="0" w:righ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经办人：</w:t>
      </w:r>
    </w:p>
    <w:p w14:paraId="2E6E6E38">
      <w:pPr>
        <w:pStyle w:val="18"/>
        <w:keepNext w:val="0"/>
        <w:keepLines w:val="0"/>
        <w:pageBreakBefore w:val="0"/>
        <w:kinsoku/>
        <w:wordWrap/>
        <w:overflowPunct/>
        <w:topLinePunct w:val="0"/>
        <w:autoSpaceDE/>
        <w:autoSpaceDN/>
        <w:bidi w:val="0"/>
        <w:spacing w:before="0" w:after="0" w:afterAutospacing="0" w:line="360" w:lineRule="auto"/>
        <w:ind w:left="0" w:leftChars="0" w:right="0" w:righ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联系电话：</w:t>
      </w:r>
    </w:p>
    <w:p w14:paraId="6E85B8B9">
      <w:pPr>
        <w:keepNext w:val="0"/>
        <w:keepLines w:val="0"/>
        <w:pageBreakBefore w:val="0"/>
        <w:kinsoku/>
        <w:wordWrap/>
        <w:overflowPunct/>
        <w:topLinePunct w:val="0"/>
        <w:autoSpaceDE/>
        <w:autoSpaceDN/>
        <w:bidi w:val="0"/>
        <w:spacing w:afterAutospacing="0" w:line="360" w:lineRule="auto"/>
        <w:ind w:left="0" w:leftChars="0" w:right="0" w:rightChars="0"/>
        <w:jc w:val="center"/>
        <w:rPr>
          <w:rFonts w:hint="eastAsia" w:ascii="仿宋_GB2312" w:hAnsi="仿宋_GB2312" w:eastAsia="仿宋_GB2312" w:cs="仿宋_GB2312"/>
          <w:b/>
          <w:bCs/>
          <w:color w:val="auto"/>
          <w:sz w:val="28"/>
          <w:szCs w:val="28"/>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日期：</w:t>
      </w:r>
      <w:bookmarkStart w:id="317" w:name="RANGE!A1:H21"/>
      <w:bookmarkEnd w:id="317"/>
    </w:p>
    <w:p w14:paraId="1F663D3B">
      <w:pPr>
        <w:adjustRightInd w:val="0"/>
        <w:snapToGrid w:val="0"/>
        <w:spacing w:line="360" w:lineRule="auto"/>
        <w:ind w:firstLine="420" w:firstLineChars="200"/>
        <w:jc w:val="left"/>
        <w:rPr>
          <w:rFonts w:ascii="宋体" w:hAnsi="宋体"/>
          <w:color w:val="000000"/>
          <w:highlight w:val="none"/>
        </w:rPr>
      </w:pPr>
    </w:p>
    <w:p w14:paraId="2A68C5FD">
      <w:pPr>
        <w:rPr>
          <w:color w:val="000000"/>
          <w:highlight w:val="none"/>
        </w:rPr>
      </w:pPr>
    </w:p>
    <w:p w14:paraId="1D1CA2E2">
      <w:pPr>
        <w:rPr>
          <w:rFonts w:hint="eastAsia"/>
          <w:color w:val="000000"/>
          <w:highlight w:val="none"/>
        </w:rPr>
      </w:pPr>
      <w:bookmarkStart w:id="318" w:name="_Toc480908536"/>
      <w:bookmarkStart w:id="319" w:name="_Toc483608731"/>
      <w:bookmarkStart w:id="320" w:name="_Toc16752"/>
      <w:bookmarkStart w:id="321" w:name="_Toc498882140"/>
      <w:bookmarkStart w:id="322" w:name="_Toc14746"/>
      <w:bookmarkStart w:id="323" w:name="_Toc4322"/>
      <w:bookmarkStart w:id="324" w:name="_Toc32006"/>
      <w:bookmarkStart w:id="325" w:name="_Toc13833"/>
      <w:bookmarkStart w:id="326" w:name="_Toc14218"/>
      <w:bookmarkStart w:id="327" w:name="_Toc75963081"/>
      <w:bookmarkStart w:id="328" w:name="_Toc72769348"/>
      <w:bookmarkStart w:id="329" w:name="_Toc27200"/>
      <w:bookmarkStart w:id="330" w:name="_Toc68674896"/>
      <w:bookmarkStart w:id="331" w:name="_Toc92268647"/>
      <w:bookmarkStart w:id="332" w:name="_Toc29924"/>
      <w:bookmarkStart w:id="333" w:name="_Toc75264122"/>
      <w:r>
        <w:rPr>
          <w:highlight w:val="none"/>
        </w:rPr>
        <w:br w:type="page"/>
      </w:r>
      <w:bookmarkEnd w:id="309"/>
      <w:bookmarkEnd w:id="310"/>
      <w:bookmarkEnd w:id="311"/>
      <w:bookmarkEnd w:id="312"/>
      <w:bookmarkEnd w:id="313"/>
      <w:bookmarkEnd w:id="314"/>
      <w:bookmarkEnd w:id="315"/>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4" w:name="_Toc4680"/>
      <w:bookmarkStart w:id="335" w:name="_Toc7509"/>
      <w:bookmarkStart w:id="336" w:name="_Toc30044"/>
      <w:bookmarkStart w:id="337" w:name="_Toc18654"/>
      <w:bookmarkStart w:id="338" w:name="_Toc10099"/>
      <w:bookmarkStart w:id="339" w:name="_Toc530736603"/>
    </w:p>
    <w:p w14:paraId="20341ECB">
      <w:pPr>
        <w:pStyle w:val="2"/>
        <w:numPr>
          <w:ilvl w:val="0"/>
          <w:numId w:val="3"/>
        </w:numPr>
        <w:rPr>
          <w:rFonts w:hint="eastAsia"/>
          <w:highlight w:val="none"/>
        </w:rPr>
      </w:pPr>
      <w:r>
        <w:rPr>
          <w:rFonts w:hint="eastAsia"/>
          <w:color w:val="000000"/>
          <w:highlight w:val="none"/>
        </w:rPr>
        <w:t xml:space="preserve"> </w:t>
      </w:r>
      <w:bookmarkStart w:id="340" w:name="_Toc28975"/>
      <w:bookmarkStart w:id="341" w:name="_Toc6195"/>
      <w:bookmarkStart w:id="342" w:name="_Toc29122"/>
      <w:bookmarkStart w:id="343" w:name="_Toc1496"/>
      <w:r>
        <w:rPr>
          <w:rFonts w:hint="eastAsia"/>
          <w:color w:val="000000"/>
          <w:highlight w:val="none"/>
          <w:lang w:val="en-US" w:eastAsia="zh-CN"/>
        </w:rPr>
        <w:t>用户需求书</w:t>
      </w:r>
      <w:bookmarkEnd w:id="340"/>
      <w:bookmarkEnd w:id="341"/>
      <w:bookmarkEnd w:id="342"/>
      <w:bookmarkEnd w:id="343"/>
    </w:p>
    <w:p w14:paraId="05A45827">
      <w:pPr>
        <w:jc w:val="left"/>
        <w:outlineLvl w:val="1"/>
        <w:rPr>
          <w:rFonts w:hint="eastAsia" w:ascii="宋体" w:hAnsi="宋体"/>
          <w:b/>
          <w:bCs w:val="0"/>
          <w:strike w:val="0"/>
          <w:color w:val="000000"/>
          <w:sz w:val="28"/>
          <w:szCs w:val="28"/>
          <w:highlight w:val="none"/>
          <w:lang w:val="en-US" w:eastAsia="zh-CN"/>
        </w:rPr>
      </w:pPr>
      <w:bookmarkStart w:id="344" w:name="_Toc8393"/>
      <w:bookmarkStart w:id="345" w:name="_Toc6439"/>
      <w:r>
        <w:rPr>
          <w:rFonts w:hint="eastAsia" w:ascii="宋体" w:hAnsi="宋体"/>
          <w:b/>
          <w:bCs w:val="0"/>
          <w:strike w:val="0"/>
          <w:color w:val="000000"/>
          <w:sz w:val="28"/>
          <w:szCs w:val="28"/>
          <w:highlight w:val="none"/>
          <w:lang w:val="en-US" w:eastAsia="zh-CN"/>
        </w:rPr>
        <w:t>一、技术需求及数量表</w:t>
      </w:r>
      <w:bookmarkEnd w:id="344"/>
      <w:bookmarkEnd w:id="345"/>
    </w:p>
    <w:p w14:paraId="7FA1DF85">
      <w:pPr>
        <w:jc w:val="center"/>
        <w:rPr>
          <w:rFonts w:hint="eastAsia" w:ascii="宋体" w:hAnsi="宋体"/>
          <w:b/>
          <w:bCs w:val="0"/>
          <w:strike w:val="0"/>
          <w:color w:val="000000"/>
          <w:sz w:val="28"/>
          <w:szCs w:val="28"/>
          <w:highlight w:val="none"/>
          <w:lang w:val="en-US" w:eastAsia="zh-CN"/>
        </w:rPr>
      </w:pPr>
    </w:p>
    <w:tbl>
      <w:tblPr>
        <w:tblStyle w:val="49"/>
        <w:tblW w:w="5030" w:type="pct"/>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8"/>
        <w:gridCol w:w="2025"/>
        <w:gridCol w:w="1567"/>
        <w:gridCol w:w="1825"/>
        <w:gridCol w:w="1658"/>
        <w:gridCol w:w="1451"/>
      </w:tblGrid>
      <w:tr w14:paraId="02D33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D4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932A">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材料或设备名称</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6EBD">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规格</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B52C4">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型号</w:t>
            </w:r>
          </w:p>
        </w:tc>
        <w:tc>
          <w:tcPr>
            <w:tcW w:w="8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9254">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采购量</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71FE1">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计量单位</w:t>
            </w:r>
          </w:p>
        </w:tc>
      </w:tr>
      <w:tr w14:paraId="25FA2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640C7">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1</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C2AF">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圆钢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FC0F5">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φ6</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EE8D">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HPB300</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7E4C6A28">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50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366677C2">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single"/>
                <w:lang w:val="en-US" w:eastAsia="zh-CN" w:bidi="ar"/>
              </w:rPr>
              <w:t>t</w:t>
            </w:r>
          </w:p>
        </w:tc>
      </w:tr>
      <w:tr w14:paraId="2B0CD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A023A">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2</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B9412">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圆钢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06408">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φ8</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1F7E">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HPB300</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705C7991">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50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05ACE1D7">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712E5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7610">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3</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66276">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圆钢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BA596">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φ10</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22AD9">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HPB300</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71E682D0">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50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6E743DCF">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479BE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0A3DA">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4</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5D42">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盘螺</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A291D">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φ6</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E221">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1A10777C">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500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49FF37D6">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770EA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C3AE">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5</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78C61">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盘螺</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E43EB">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φ8</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7926">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4391585B">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600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1E83A083">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11392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5F003">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6</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09885">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盘螺</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3E5F">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φ10</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7E04">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06EA4639">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1000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21D8BCED">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4CC3C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480C">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7</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1CE2">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螺纹钢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7C56F">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φ12</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47B9">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5036A6B7">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1000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293BCB1B">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69790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412D2">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8</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8416">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螺纹钢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8A5F">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φ14</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036A0">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70B8F350">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600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4353B206">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304E7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91AA">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9</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ED93">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螺纹钢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2E5C">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φ16</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D2AA9">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HRB401E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6E2F8987">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600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71058F1C">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34784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2E91E">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10</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E3DE3">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螺纹钢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260E1">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φ18</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4F03">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372FB67F">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600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3451D4D1">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54EBC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DD5E6">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11</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AFB30">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螺纹钢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3BE1">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φ20</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E1B6C">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3A330D25">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600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5CFAFAD7">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30330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92286">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12</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60E2F">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螺纹钢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5E43">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φ22</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B8639">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3332AF72">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600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32317218">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6BD1D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F33E">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13</w:t>
            </w:r>
          </w:p>
        </w:tc>
        <w:tc>
          <w:tcPr>
            <w:tcW w:w="10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C152">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螺纹钢</w:t>
            </w: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0FAD">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φ25</w:t>
            </w: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83704">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HRB400E</w:t>
            </w:r>
          </w:p>
        </w:tc>
        <w:tc>
          <w:tcPr>
            <w:tcW w:w="887" w:type="pct"/>
            <w:tcBorders>
              <w:top w:val="single" w:color="000000" w:sz="4" w:space="0"/>
              <w:left w:val="nil"/>
              <w:bottom w:val="single" w:color="000000" w:sz="4" w:space="0"/>
              <w:right w:val="single" w:color="000000" w:sz="4" w:space="0"/>
            </w:tcBorders>
            <w:shd w:val="clear" w:color="auto" w:fill="auto"/>
            <w:vAlign w:val="center"/>
          </w:tcPr>
          <w:p w14:paraId="1C4A3E69">
            <w:pPr>
              <w:keepNext w:val="0"/>
              <w:keepLines w:val="0"/>
              <w:widowControl/>
              <w:suppressLineNumbers w:val="0"/>
              <w:wordWrap w:val="0"/>
              <w:jc w:val="center"/>
              <w:textAlignment w:val="auto"/>
              <w:rPr>
                <w:rFonts w:hint="eastAsia" w:ascii="宋体" w:hAnsi="宋体" w:eastAsia="宋体" w:cs="宋体"/>
                <w:i w:val="0"/>
                <w:iCs w:val="0"/>
                <w:color w:val="000000"/>
                <w:sz w:val="20"/>
                <w:szCs w:val="20"/>
                <w:u w:val="none"/>
              </w:rPr>
            </w:pPr>
            <w:r>
              <w:rPr>
                <w:rFonts w:hint="eastAsia" w:ascii="宋体" w:hAnsi="宋体" w:eastAsia="宋体" w:cs="宋体"/>
                <w:i w:val="0"/>
                <w:iCs w:val="0"/>
                <w:kern w:val="2"/>
                <w:sz w:val="21"/>
                <w:szCs w:val="24"/>
                <w:u w:val="none"/>
                <w:lang w:val="en-US" w:eastAsia="zh-CN" w:bidi="ar"/>
              </w:rPr>
              <w:t>800</w:t>
            </w:r>
          </w:p>
        </w:tc>
        <w:tc>
          <w:tcPr>
            <w:tcW w:w="776" w:type="pct"/>
            <w:tcBorders>
              <w:top w:val="single" w:color="000000" w:sz="4" w:space="0"/>
              <w:left w:val="nil"/>
              <w:bottom w:val="single" w:color="000000" w:sz="4" w:space="0"/>
              <w:right w:val="single" w:color="000000" w:sz="4" w:space="0"/>
            </w:tcBorders>
            <w:shd w:val="clear" w:color="auto" w:fill="auto"/>
            <w:vAlign w:val="center"/>
          </w:tcPr>
          <w:p w14:paraId="399BB397">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kern w:val="2"/>
                <w:sz w:val="21"/>
                <w:szCs w:val="24"/>
                <w:u w:val="none"/>
                <w:lang w:val="en-US" w:eastAsia="zh-CN" w:bidi="ar"/>
              </w:rPr>
              <w:t>t</w:t>
            </w:r>
          </w:p>
        </w:tc>
      </w:tr>
      <w:tr w14:paraId="0A819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3336"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39585C5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总计</w:t>
            </w:r>
          </w:p>
        </w:tc>
        <w:tc>
          <w:tcPr>
            <w:tcW w:w="887" w:type="pct"/>
            <w:tcBorders>
              <w:top w:val="single" w:color="000000" w:sz="4" w:space="0"/>
              <w:left w:val="single" w:color="auto" w:sz="4" w:space="0"/>
              <w:bottom w:val="single" w:color="000000" w:sz="4" w:space="0"/>
              <w:right w:val="single" w:color="000000" w:sz="4" w:space="0"/>
            </w:tcBorders>
            <w:shd w:val="clear" w:color="auto" w:fill="auto"/>
            <w:vAlign w:val="center"/>
          </w:tcPr>
          <w:p w14:paraId="1E460C0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7050</w:t>
            </w:r>
          </w:p>
        </w:tc>
        <w:tc>
          <w:tcPr>
            <w:tcW w:w="776" w:type="pct"/>
            <w:tcBorders>
              <w:top w:val="single" w:color="000000" w:sz="4" w:space="0"/>
              <w:left w:val="single" w:color="auto" w:sz="4" w:space="0"/>
              <w:bottom w:val="single" w:color="000000" w:sz="4" w:space="0"/>
              <w:right w:val="single" w:color="000000" w:sz="4" w:space="0"/>
            </w:tcBorders>
            <w:shd w:val="clear" w:color="auto" w:fill="auto"/>
            <w:vAlign w:val="center"/>
          </w:tcPr>
          <w:p w14:paraId="17EAE92E">
            <w:pPr>
              <w:keepNext w:val="0"/>
              <w:keepLines w:val="0"/>
              <w:widowControl/>
              <w:suppressLineNumbers w:val="0"/>
              <w:jc w:val="center"/>
              <w:textAlignment w:val="center"/>
              <w:rPr>
                <w:rFonts w:hint="default"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w:t>
            </w:r>
          </w:p>
        </w:tc>
      </w:tr>
    </w:tbl>
    <w:p w14:paraId="0F09F634">
      <w:pPr>
        <w:rPr>
          <w:rFonts w:hint="eastAsia"/>
          <w:color w:val="000000"/>
          <w:highlight w:val="none"/>
        </w:rPr>
      </w:pPr>
    </w:p>
    <w:p w14:paraId="2E69FC96">
      <w:pPr>
        <w:rPr>
          <w:rFonts w:hint="eastAsia"/>
          <w:color w:val="000000"/>
          <w:highlight w:val="none"/>
        </w:rPr>
      </w:pPr>
      <w:r>
        <w:rPr>
          <w:rFonts w:hint="eastAsia"/>
          <w:color w:val="000000"/>
          <w:highlight w:val="none"/>
        </w:rPr>
        <w:br w:type="page"/>
      </w:r>
    </w:p>
    <w:p w14:paraId="3E987E4A">
      <w:pPr>
        <w:pStyle w:val="2"/>
        <w:rPr>
          <w:color w:val="000000"/>
          <w:highlight w:val="none"/>
        </w:rPr>
      </w:pPr>
      <w:bookmarkStart w:id="346" w:name="_Toc21668"/>
      <w:bookmarkStart w:id="347" w:name="_Toc6433"/>
      <w:bookmarkStart w:id="348" w:name="_Toc7760"/>
      <w:bookmarkStart w:id="349" w:name="_Toc6137"/>
      <w:r>
        <w:rPr>
          <w:rFonts w:hint="eastAsia"/>
          <w:color w:val="000000"/>
          <w:highlight w:val="none"/>
        </w:rPr>
        <w:t>第</w:t>
      </w:r>
      <w:r>
        <w:rPr>
          <w:rFonts w:hint="eastAsia"/>
          <w:color w:val="000000"/>
          <w:highlight w:val="none"/>
          <w:lang w:val="en-US" w:eastAsia="zh-CN"/>
        </w:rPr>
        <w:t>六</w:t>
      </w:r>
      <w:r>
        <w:rPr>
          <w:rFonts w:hint="eastAsia"/>
          <w:color w:val="000000"/>
          <w:highlight w:val="none"/>
        </w:rPr>
        <w:t>章  投标文件格式</w:t>
      </w:r>
      <w:bookmarkEnd w:id="334"/>
      <w:bookmarkEnd w:id="335"/>
      <w:bookmarkEnd w:id="336"/>
      <w:bookmarkEnd w:id="337"/>
      <w:bookmarkEnd w:id="338"/>
      <w:bookmarkEnd w:id="339"/>
      <w:bookmarkEnd w:id="346"/>
      <w:bookmarkEnd w:id="347"/>
      <w:bookmarkEnd w:id="348"/>
      <w:bookmarkEnd w:id="349"/>
      <w:bookmarkStart w:id="350" w:name="_Toc29786942"/>
      <w:bookmarkStart w:id="351" w:name="_Toc14853"/>
      <w:bookmarkStart w:id="352" w:name="_Toc9891"/>
      <w:bookmarkStart w:id="353" w:name="_Toc530736604"/>
      <w:bookmarkStart w:id="354" w:name="_Toc7361"/>
      <w:bookmarkStart w:id="355" w:name="_Toc395312598"/>
      <w:bookmarkStart w:id="356" w:name="_Toc28464"/>
      <w:bookmarkStart w:id="357" w:name="_Toc469486622"/>
      <w:bookmarkStart w:id="358" w:name="_Toc318213162"/>
      <w:bookmarkStart w:id="359" w:name="_Toc392941002"/>
    </w:p>
    <w:p w14:paraId="4CE9B3C0">
      <w:pPr>
        <w:rPr>
          <w:rFonts w:ascii="宋体" w:hAnsi="宋体"/>
          <w:b/>
          <w:bCs/>
          <w:color w:val="000000"/>
          <w:sz w:val="24"/>
          <w:highlight w:val="none"/>
        </w:rPr>
      </w:pPr>
      <w:bookmarkStart w:id="360" w:name="_Toc17102"/>
    </w:p>
    <w:p w14:paraId="5984DECC">
      <w:pPr>
        <w:keepNext/>
        <w:keepLines/>
        <w:spacing w:before="60" w:after="60" w:line="413" w:lineRule="auto"/>
        <w:outlineLvl w:val="1"/>
        <w:rPr>
          <w:rFonts w:ascii="宋体" w:hAnsi="宋体"/>
          <w:b/>
          <w:bCs/>
          <w:color w:val="000000"/>
          <w:sz w:val="28"/>
          <w:szCs w:val="28"/>
          <w:highlight w:val="none"/>
        </w:rPr>
      </w:pPr>
      <w:bookmarkStart w:id="361" w:name="_Toc8438"/>
      <w:bookmarkStart w:id="362" w:name="_Toc26978"/>
      <w:bookmarkStart w:id="363" w:name="_Toc1167"/>
      <w:r>
        <w:rPr>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4576445</wp:posOffset>
                </wp:positionH>
                <wp:positionV relativeFrom="paragraph">
                  <wp:posOffset>106680</wp:posOffset>
                </wp:positionV>
                <wp:extent cx="1003300" cy="406400"/>
                <wp:effectExtent l="4445" t="4445" r="20955" b="8255"/>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0.35pt;margin-top:8.4pt;height:32pt;width:79pt;z-index:251659264;mso-width-relative:page;mso-height-relative:page;" fillcolor="#FFFFFF" filled="t" stroked="t" coordsize="21600,21600" o:gfxdata="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1OouLWAAAACQEAAA8AAAAAAAAAAQAgAAAAIgAAAGRycy9k&#10;b3ducmV2LnhtbFBLAQIUABQAAAAIAIdO4kCavrC5PQIAAIoEAAAOAAAAAAAAAAEAIAAAACUBAABk&#10;cnMvZTJvRG9jLnhtbFBLBQYAAAAABgAGAFkBAADUBQAAAAA=&#10;">
                <v:fill on="t" focussize="0,0"/>
                <v:stroke color="#000000" miterlimit="8" joinstyle="miter"/>
                <v:imagedata o:title=""/>
                <o:lock v:ext="edit" aspectratio="f"/>
                <v:textbo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ascii="宋体" w:hAnsi="宋体"/>
          <w:b/>
          <w:bCs/>
          <w:color w:val="000000"/>
          <w:sz w:val="24"/>
          <w:highlight w:val="none"/>
        </w:rPr>
        <w:t>一、资格审查文件格式</w:t>
      </w:r>
      <w:bookmarkEnd w:id="350"/>
      <w:bookmarkEnd w:id="351"/>
      <w:bookmarkEnd w:id="360"/>
      <w:bookmarkEnd w:id="361"/>
      <w:bookmarkEnd w:id="362"/>
      <w:bookmarkEnd w:id="363"/>
    </w:p>
    <w:p w14:paraId="437534CB">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6002FFC5">
      <w:pPr>
        <w:jc w:val="left"/>
        <w:rPr>
          <w:rFonts w:ascii="宋体" w:hAnsi="宋体"/>
          <w:color w:val="000000"/>
          <w:kern w:val="0"/>
          <w:szCs w:val="21"/>
          <w:highlight w:val="none"/>
        </w:rPr>
      </w:pPr>
    </w:p>
    <w:p w14:paraId="5FE90CEB">
      <w:pPr>
        <w:ind w:right="840"/>
        <w:rPr>
          <w:rFonts w:ascii="宋体" w:hAnsi="宋体"/>
          <w:color w:val="000000"/>
          <w:kern w:val="0"/>
          <w:szCs w:val="21"/>
          <w:highlight w:val="none"/>
        </w:rPr>
      </w:pPr>
    </w:p>
    <w:p w14:paraId="3471F717">
      <w:pPr>
        <w:ind w:right="840"/>
        <w:rPr>
          <w:rFonts w:ascii="宋体" w:hAnsi="宋体"/>
          <w:color w:val="000000"/>
          <w:kern w:val="0"/>
          <w:szCs w:val="21"/>
          <w:highlight w:val="none"/>
        </w:rPr>
      </w:pPr>
    </w:p>
    <w:p w14:paraId="1E3E8B3E">
      <w:pPr>
        <w:jc w:val="center"/>
        <w:rPr>
          <w:rFonts w:ascii="宋体" w:hAnsi="宋体"/>
          <w:color w:val="000000"/>
          <w:kern w:val="0"/>
          <w:sz w:val="32"/>
          <w:szCs w:val="32"/>
          <w:highlight w:val="none"/>
        </w:rPr>
      </w:pPr>
    </w:p>
    <w:p w14:paraId="70BE3125">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05CE664F">
      <w:pPr>
        <w:jc w:val="center"/>
        <w:rPr>
          <w:rFonts w:ascii="宋体" w:hAnsi="宋体"/>
          <w:color w:val="000000"/>
          <w:kern w:val="0"/>
          <w:sz w:val="28"/>
          <w:szCs w:val="28"/>
          <w:highlight w:val="none"/>
        </w:rPr>
      </w:pPr>
    </w:p>
    <w:p w14:paraId="2F5C803B">
      <w:pPr>
        <w:jc w:val="center"/>
        <w:rPr>
          <w:rFonts w:ascii="宋体" w:hAnsi="宋体"/>
          <w:color w:val="000000"/>
          <w:kern w:val="0"/>
          <w:sz w:val="28"/>
          <w:szCs w:val="28"/>
          <w:highlight w:val="none"/>
        </w:rPr>
      </w:pPr>
    </w:p>
    <w:p w14:paraId="13830433">
      <w:pPr>
        <w:jc w:val="center"/>
        <w:rPr>
          <w:rFonts w:ascii="宋体" w:hAnsi="宋体"/>
          <w:color w:val="000000"/>
          <w:kern w:val="0"/>
          <w:sz w:val="28"/>
          <w:szCs w:val="28"/>
          <w:highlight w:val="none"/>
        </w:rPr>
      </w:pPr>
    </w:p>
    <w:p w14:paraId="0E4354B1">
      <w:pPr>
        <w:jc w:val="center"/>
        <w:rPr>
          <w:rFonts w:ascii="宋体" w:hAnsi="宋体"/>
          <w:color w:val="000000"/>
          <w:kern w:val="0"/>
          <w:sz w:val="28"/>
          <w:szCs w:val="28"/>
          <w:highlight w:val="none"/>
        </w:rPr>
      </w:pPr>
    </w:p>
    <w:p w14:paraId="7591E2D0">
      <w:pPr>
        <w:jc w:val="center"/>
        <w:rPr>
          <w:rFonts w:ascii="宋体" w:hAnsi="宋体"/>
          <w:color w:val="000000"/>
          <w:kern w:val="0"/>
          <w:sz w:val="28"/>
          <w:szCs w:val="28"/>
          <w:highlight w:val="none"/>
        </w:rPr>
      </w:pPr>
    </w:p>
    <w:p w14:paraId="28827395">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64BA9E61">
      <w:pPr>
        <w:spacing w:line="360" w:lineRule="auto"/>
        <w:jc w:val="center"/>
        <w:rPr>
          <w:rFonts w:ascii="宋体" w:hAnsi="宋体"/>
          <w:color w:val="000000"/>
          <w:kern w:val="0"/>
          <w:sz w:val="36"/>
          <w:szCs w:val="36"/>
          <w:highlight w:val="none"/>
          <w:u w:val="single"/>
        </w:rPr>
      </w:pPr>
      <w:r>
        <w:rPr>
          <w:rFonts w:hint="eastAsia" w:ascii="宋体" w:hAnsi="宋体"/>
          <w:color w:val="000000"/>
          <w:kern w:val="0"/>
          <w:sz w:val="36"/>
          <w:szCs w:val="36"/>
          <w:highlight w:val="none"/>
          <w:u w:val="single"/>
        </w:rPr>
        <w:t>资格审查文件</w:t>
      </w:r>
    </w:p>
    <w:p w14:paraId="20596193">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68CFCB41">
      <w:pPr>
        <w:rPr>
          <w:rFonts w:ascii="宋体" w:hAnsi="宋体"/>
          <w:color w:val="000000"/>
          <w:kern w:val="0"/>
          <w:sz w:val="32"/>
          <w:szCs w:val="32"/>
          <w:highlight w:val="none"/>
        </w:rPr>
      </w:pPr>
    </w:p>
    <w:p w14:paraId="2321E0B4">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5ED91C3">
      <w:pPr>
        <w:jc w:val="center"/>
        <w:rPr>
          <w:rFonts w:ascii="宋体" w:hAnsi="宋体"/>
          <w:color w:val="000000"/>
          <w:kern w:val="0"/>
          <w:sz w:val="32"/>
          <w:szCs w:val="32"/>
          <w:highlight w:val="none"/>
        </w:rPr>
      </w:pPr>
    </w:p>
    <w:p w14:paraId="05F9975A">
      <w:pPr>
        <w:jc w:val="center"/>
        <w:rPr>
          <w:rFonts w:ascii="宋体" w:hAnsi="宋体"/>
          <w:color w:val="000000"/>
          <w:kern w:val="0"/>
          <w:sz w:val="32"/>
          <w:szCs w:val="32"/>
          <w:highlight w:val="none"/>
        </w:rPr>
      </w:pPr>
    </w:p>
    <w:p w14:paraId="15FB4660">
      <w:pPr>
        <w:rPr>
          <w:rFonts w:ascii="宋体" w:hAnsi="宋体"/>
          <w:color w:val="000000"/>
          <w:kern w:val="0"/>
          <w:sz w:val="32"/>
          <w:szCs w:val="32"/>
          <w:highlight w:val="none"/>
        </w:rPr>
      </w:pPr>
    </w:p>
    <w:p w14:paraId="5AD79926">
      <w:pPr>
        <w:jc w:val="center"/>
        <w:rPr>
          <w:rFonts w:ascii="宋体" w:hAnsi="宋体"/>
          <w:color w:val="000000"/>
          <w:kern w:val="0"/>
          <w:sz w:val="32"/>
          <w:szCs w:val="32"/>
          <w:highlight w:val="none"/>
        </w:rPr>
      </w:pPr>
    </w:p>
    <w:p w14:paraId="2C494DDE">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6A6AD44C">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0AA78FE7">
      <w:pPr>
        <w:rPr>
          <w:rFonts w:ascii="宋体" w:hAnsi="宋体"/>
          <w:color w:val="000000"/>
          <w:kern w:val="0"/>
          <w:sz w:val="28"/>
          <w:szCs w:val="28"/>
          <w:highlight w:val="none"/>
        </w:rPr>
      </w:pPr>
    </w:p>
    <w:p w14:paraId="77E8720E">
      <w:pPr>
        <w:jc w:val="center"/>
        <w:rPr>
          <w:rFonts w:hint="eastAsia"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160EF0A2">
      <w:pPr>
        <w:jc w:val="center"/>
        <w:rPr>
          <w:rFonts w:hint="eastAsia" w:ascii="宋体" w:hAnsi="宋体"/>
          <w:color w:val="000000"/>
          <w:kern w:val="0"/>
          <w:sz w:val="28"/>
          <w:szCs w:val="28"/>
          <w:highlight w:val="none"/>
        </w:rPr>
      </w:pPr>
    </w:p>
    <w:p w14:paraId="204A71B3">
      <w:pPr>
        <w:jc w:val="center"/>
        <w:rPr>
          <w:rFonts w:hint="eastAsia" w:ascii="宋体" w:hAnsi="宋体"/>
          <w:color w:val="000000"/>
          <w:kern w:val="0"/>
          <w:sz w:val="28"/>
          <w:szCs w:val="28"/>
          <w:highlight w:val="none"/>
        </w:rPr>
      </w:pPr>
    </w:p>
    <w:p w14:paraId="6F211F84">
      <w:pPr>
        <w:jc w:val="center"/>
        <w:rPr>
          <w:rFonts w:hint="eastAsia" w:ascii="宋体" w:hAnsi="宋体"/>
          <w:color w:val="000000"/>
          <w:kern w:val="0"/>
          <w:sz w:val="28"/>
          <w:szCs w:val="28"/>
          <w:highlight w:val="none"/>
        </w:rPr>
      </w:pPr>
    </w:p>
    <w:p w14:paraId="02B1DC37">
      <w:pPr>
        <w:jc w:val="both"/>
        <w:rPr>
          <w:rFonts w:hint="eastAsia" w:ascii="宋体" w:hAnsi="宋体"/>
          <w:color w:val="000000"/>
          <w:kern w:val="0"/>
          <w:szCs w:val="21"/>
          <w:highlight w:val="none"/>
        </w:rPr>
      </w:pPr>
    </w:p>
    <w:p w14:paraId="114A44AE">
      <w:pPr>
        <w:spacing w:line="360" w:lineRule="auto"/>
        <w:jc w:val="both"/>
        <w:rPr>
          <w:rFonts w:ascii="宋体" w:hAnsi="宋体"/>
          <w:color w:val="000000"/>
          <w:kern w:val="0"/>
          <w:sz w:val="22"/>
          <w:szCs w:val="22"/>
          <w:highlight w:val="none"/>
        </w:rPr>
      </w:pPr>
      <w:r>
        <w:rPr>
          <w:rFonts w:hint="eastAsia" w:ascii="宋体" w:hAnsi="宋体"/>
          <w:color w:val="000000"/>
          <w:kern w:val="0"/>
          <w:sz w:val="22"/>
          <w:szCs w:val="22"/>
          <w:highlight w:val="none"/>
        </w:rPr>
        <w:t>（</w:t>
      </w:r>
      <w:r>
        <w:rPr>
          <w:rFonts w:hint="eastAsia" w:ascii="宋体" w:hAnsi="宋体"/>
          <w:color w:val="000000"/>
          <w:kern w:val="0"/>
          <w:sz w:val="22"/>
          <w:szCs w:val="22"/>
          <w:highlight w:val="none"/>
          <w:lang w:eastAsia="zh-CN"/>
        </w:rPr>
        <w:t>一</w:t>
      </w:r>
      <w:r>
        <w:rPr>
          <w:rFonts w:hint="eastAsia" w:ascii="宋体" w:hAnsi="宋体"/>
          <w:color w:val="000000"/>
          <w:kern w:val="0"/>
          <w:sz w:val="22"/>
          <w:szCs w:val="22"/>
          <w:highlight w:val="none"/>
        </w:rPr>
        <w:t>）资格审查文件内容格式</w:t>
      </w:r>
    </w:p>
    <w:p w14:paraId="7A782FF4">
      <w:pPr>
        <w:spacing w:line="360" w:lineRule="auto"/>
        <w:ind w:firstLine="0" w:firstLineChars="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35190360">
      <w:pPr>
        <w:spacing w:line="360" w:lineRule="auto"/>
        <w:rPr>
          <w:rFonts w:hint="eastAsia" w:ascii="宋体" w:hAnsi="宋体"/>
          <w:color w:val="000000"/>
          <w:sz w:val="22"/>
          <w:szCs w:val="22"/>
          <w:highlight w:val="none"/>
        </w:rPr>
      </w:pPr>
      <w:r>
        <w:rPr>
          <w:rFonts w:hint="eastAsia" w:ascii="宋体" w:hAnsi="宋体"/>
          <w:color w:val="000000"/>
          <w:sz w:val="22"/>
          <w:szCs w:val="22"/>
          <w:highlight w:val="none"/>
        </w:rPr>
        <w:t>（1）法定代表人资格证明书（详见格式A1）及法定代表人授权委托书（详见格式A2）（如无授权时，只需提供法定代表人资格证明书），法定代表人及被授权人身份证正反面复印件；</w:t>
      </w:r>
    </w:p>
    <w:p w14:paraId="50169CA4">
      <w:pPr>
        <w:spacing w:line="360" w:lineRule="auto"/>
        <w:jc w:val="left"/>
        <w:rPr>
          <w:rFonts w:hint="eastAsia" w:ascii="宋体" w:hAnsi="宋体"/>
          <w:color w:val="000000"/>
          <w:sz w:val="22"/>
          <w:szCs w:val="22"/>
          <w:highlight w:val="none"/>
        </w:rPr>
      </w:pPr>
      <w:r>
        <w:rPr>
          <w:rFonts w:hint="eastAsia" w:ascii="宋体" w:hAnsi="宋体"/>
          <w:color w:val="000000"/>
          <w:sz w:val="22"/>
          <w:szCs w:val="22"/>
          <w:highlight w:val="none"/>
        </w:rPr>
        <w:t>（2）投标人有效的营业执照副本或事业单位法人证书等证明文件复印件（详见格式A</w:t>
      </w:r>
      <w:r>
        <w:rPr>
          <w:rFonts w:hint="eastAsia" w:ascii="宋体" w:hAnsi="宋体"/>
          <w:color w:val="000000"/>
          <w:sz w:val="22"/>
          <w:szCs w:val="22"/>
          <w:highlight w:val="none"/>
          <w:lang w:val="en-US" w:eastAsia="zh-CN"/>
        </w:rPr>
        <w:t>3</w:t>
      </w:r>
      <w:r>
        <w:rPr>
          <w:rFonts w:hint="eastAsia" w:ascii="宋体" w:hAnsi="宋体"/>
          <w:color w:val="000000"/>
          <w:sz w:val="22"/>
          <w:szCs w:val="22"/>
          <w:highlight w:val="none"/>
        </w:rPr>
        <w:t>）；</w:t>
      </w:r>
    </w:p>
    <w:p w14:paraId="4924BC93">
      <w:pPr>
        <w:wordWrap w:val="0"/>
        <w:spacing w:line="360" w:lineRule="auto"/>
        <w:jc w:val="left"/>
        <w:rPr>
          <w:rFonts w:hint="eastAsia" w:ascii="宋体" w:hAnsi="宋体" w:eastAsia="宋体"/>
          <w:color w:val="000000"/>
          <w:sz w:val="22"/>
          <w:szCs w:val="22"/>
          <w:highlight w:val="none"/>
        </w:rPr>
      </w:pPr>
      <w:r>
        <w:rPr>
          <w:rFonts w:hint="eastAsia" w:ascii="宋体" w:hAnsi="宋体"/>
          <w:color w:val="000000"/>
          <w:sz w:val="22"/>
          <w:szCs w:val="22"/>
          <w:highlight w:val="none"/>
        </w:rPr>
        <w:t>（3）</w:t>
      </w:r>
      <w:r>
        <w:rPr>
          <w:rFonts w:hint="eastAsia" w:ascii="宋体" w:hAnsi="宋体" w:eastAsia="宋体"/>
          <w:color w:val="000000"/>
          <w:szCs w:val="21"/>
          <w:highlight w:val="none"/>
          <w:lang w:val="en-US" w:eastAsia="zh-CN"/>
        </w:rPr>
        <w:t>提供信用信息报告（信用中国网址：https://www.creditchina.gov.cn/）</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4</w:t>
      </w:r>
      <w:r>
        <w:rPr>
          <w:rFonts w:hint="eastAsia" w:ascii="宋体" w:hAnsi="宋体"/>
          <w:color w:val="000000"/>
          <w:sz w:val="22"/>
          <w:szCs w:val="22"/>
          <w:highlight w:val="none"/>
        </w:rPr>
        <w:t>）</w:t>
      </w:r>
      <w:r>
        <w:rPr>
          <w:rFonts w:hint="eastAsia" w:ascii="宋体" w:hAnsi="宋体" w:eastAsia="宋体"/>
          <w:color w:val="000000"/>
          <w:sz w:val="22"/>
          <w:szCs w:val="22"/>
          <w:highlight w:val="none"/>
          <w:lang w:eastAsia="zh-CN"/>
        </w:rPr>
        <w:t>；</w:t>
      </w:r>
    </w:p>
    <w:p w14:paraId="1B1E77F5">
      <w:pPr>
        <w:spacing w:line="360" w:lineRule="auto"/>
        <w:jc w:val="left"/>
        <w:rPr>
          <w:rFonts w:hint="eastAsia"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w:t>
      </w:r>
      <w:r>
        <w:rPr>
          <w:rFonts w:hint="eastAsia" w:ascii="宋体" w:hAnsi="宋体"/>
          <w:color w:val="000000"/>
          <w:sz w:val="22"/>
          <w:szCs w:val="22"/>
          <w:highlight w:val="none"/>
          <w:lang w:val="en-US" w:eastAsia="zh-CN"/>
        </w:rPr>
        <w:t>4</w:t>
      </w:r>
      <w:r>
        <w:rPr>
          <w:rFonts w:hint="eastAsia" w:ascii="宋体" w:hAnsi="宋体" w:eastAsia="宋体"/>
          <w:color w:val="000000"/>
          <w:sz w:val="22"/>
          <w:szCs w:val="22"/>
          <w:highlight w:val="none"/>
          <w:lang w:val="en-US" w:eastAsia="zh-CN"/>
        </w:rPr>
        <w:t>）提供由第三方出具的2023或2024年度的财务报表（显示净利润为正值）或提供基本户开户银行在投标截止前30日内开具的资信证明</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5</w:t>
      </w:r>
      <w:r>
        <w:rPr>
          <w:rFonts w:hint="eastAsia" w:ascii="宋体" w:hAnsi="宋体"/>
          <w:color w:val="000000"/>
          <w:sz w:val="22"/>
          <w:szCs w:val="22"/>
          <w:highlight w:val="none"/>
        </w:rPr>
        <w:t>）</w:t>
      </w:r>
      <w:r>
        <w:rPr>
          <w:rFonts w:hint="eastAsia" w:ascii="宋体" w:hAnsi="宋体" w:eastAsia="宋体"/>
          <w:color w:val="000000"/>
          <w:sz w:val="22"/>
          <w:szCs w:val="22"/>
          <w:highlight w:val="none"/>
          <w:lang w:val="en-US" w:eastAsia="zh-CN"/>
        </w:rPr>
        <w:t>；</w:t>
      </w:r>
    </w:p>
    <w:p w14:paraId="59B315BF">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lang w:eastAsia="zh-CN"/>
        </w:rPr>
        <w:t>（</w:t>
      </w:r>
      <w:r>
        <w:rPr>
          <w:rFonts w:hint="eastAsia" w:ascii="宋体" w:hAnsi="宋体"/>
          <w:color w:val="000000"/>
          <w:sz w:val="22"/>
          <w:szCs w:val="22"/>
          <w:highlight w:val="none"/>
          <w:lang w:val="en-US" w:eastAsia="zh-CN"/>
        </w:rPr>
        <w:t>5</w:t>
      </w:r>
      <w:r>
        <w:rPr>
          <w:rFonts w:hint="eastAsia" w:ascii="宋体" w:hAnsi="宋体" w:eastAsia="宋体"/>
          <w:color w:val="000000"/>
          <w:sz w:val="22"/>
          <w:szCs w:val="22"/>
          <w:highlight w:val="none"/>
          <w:lang w:eastAsia="zh-CN"/>
        </w:rPr>
        <w:t>）</w:t>
      </w:r>
      <w:r>
        <w:rPr>
          <w:rFonts w:hint="eastAsia" w:ascii="宋体" w:hAnsi="宋体" w:eastAsia="宋体"/>
          <w:color w:val="000000"/>
          <w:sz w:val="22"/>
          <w:szCs w:val="22"/>
          <w:highlight w:val="none"/>
        </w:rPr>
        <w:t>承诺书（详见格式A</w:t>
      </w:r>
      <w:r>
        <w:rPr>
          <w:rFonts w:hint="eastAsia" w:ascii="宋体" w:hAnsi="宋体"/>
          <w:color w:val="000000"/>
          <w:sz w:val="22"/>
          <w:szCs w:val="22"/>
          <w:highlight w:val="none"/>
          <w:lang w:val="en-US" w:eastAsia="zh-CN"/>
        </w:rPr>
        <w:t>6</w:t>
      </w:r>
      <w:r>
        <w:rPr>
          <w:rFonts w:hint="eastAsia" w:ascii="宋体" w:hAnsi="宋体" w:eastAsia="宋体"/>
          <w:color w:val="000000"/>
          <w:sz w:val="22"/>
          <w:szCs w:val="22"/>
          <w:highlight w:val="none"/>
        </w:rPr>
        <w:t>）；</w:t>
      </w:r>
    </w:p>
    <w:p w14:paraId="3AF85294">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t>（</w:t>
      </w:r>
      <w:r>
        <w:rPr>
          <w:rFonts w:hint="eastAsia" w:ascii="宋体" w:hAnsi="宋体"/>
          <w:color w:val="000000"/>
          <w:sz w:val="22"/>
          <w:szCs w:val="22"/>
          <w:highlight w:val="none"/>
          <w:lang w:val="en-US" w:eastAsia="zh-CN"/>
        </w:rPr>
        <w:t>6</w:t>
      </w:r>
      <w:r>
        <w:rPr>
          <w:rFonts w:hint="eastAsia" w:ascii="宋体" w:hAnsi="宋体" w:eastAsia="宋体"/>
          <w:color w:val="000000"/>
          <w:sz w:val="22"/>
          <w:szCs w:val="22"/>
          <w:highlight w:val="none"/>
        </w:rPr>
        <w:t>）投标人认为需要提交的其他资料</w:t>
      </w:r>
      <w:r>
        <w:rPr>
          <w:rFonts w:hint="eastAsia" w:ascii="宋体" w:hAnsi="宋体" w:eastAsia="宋体"/>
          <w:color w:val="000000"/>
          <w:kern w:val="2"/>
          <w:sz w:val="22"/>
          <w:szCs w:val="22"/>
          <w:highlight w:val="none"/>
        </w:rPr>
        <w:t>（如有，格式自拟）</w:t>
      </w:r>
      <w:r>
        <w:rPr>
          <w:rFonts w:hint="eastAsia" w:ascii="宋体" w:hAnsi="宋体" w:eastAsia="宋体"/>
          <w:color w:val="000000"/>
          <w:sz w:val="22"/>
          <w:szCs w:val="22"/>
          <w:highlight w:val="none"/>
        </w:rPr>
        <w:t>。</w:t>
      </w:r>
    </w:p>
    <w:p w14:paraId="4A8BEBFD">
      <w:pPr>
        <w:spacing w:line="360" w:lineRule="exact"/>
        <w:jc w:val="left"/>
        <w:rPr>
          <w:rFonts w:ascii="宋体" w:hAnsi="宋体" w:cs="宋体"/>
          <w:color w:val="000000"/>
          <w:kern w:val="0"/>
          <w:szCs w:val="21"/>
          <w:highlight w:val="none"/>
        </w:rPr>
      </w:pPr>
    </w:p>
    <w:p w14:paraId="6CE43DEA">
      <w:pPr>
        <w:rPr>
          <w:color w:val="000000"/>
          <w:highlight w:val="none"/>
        </w:rPr>
      </w:pPr>
    </w:p>
    <w:p w14:paraId="3C4FE20B">
      <w:pPr>
        <w:pStyle w:val="4"/>
        <w:rPr>
          <w:rFonts w:ascii="宋体" w:hAnsi="宋体"/>
          <w:bCs/>
          <w:sz w:val="24"/>
          <w:szCs w:val="24"/>
          <w:highlight w:val="none"/>
        </w:rPr>
      </w:pPr>
      <w:r>
        <w:rPr>
          <w:rFonts w:ascii="宋体" w:hAnsi="宋体"/>
          <w:b w:val="0"/>
          <w:highlight w:val="none"/>
        </w:rPr>
        <w:br w:type="page"/>
      </w:r>
      <w:r>
        <w:rPr>
          <w:rFonts w:hint="eastAsia" w:ascii="宋体" w:hAnsi="宋体"/>
          <w:b w:val="0"/>
          <w:sz w:val="24"/>
          <w:szCs w:val="24"/>
          <w:highlight w:val="none"/>
        </w:rPr>
        <w:t>格式A1：</w:t>
      </w:r>
      <w:bookmarkStart w:id="364" w:name="_Toc349215544"/>
      <w:bookmarkStart w:id="365" w:name="_Toc251051976"/>
      <w:bookmarkStart w:id="366" w:name="_Toc349555831"/>
      <w:bookmarkStart w:id="367" w:name="_Toc173558684"/>
      <w:bookmarkStart w:id="368" w:name="_Toc163270989"/>
      <w:bookmarkStart w:id="369" w:name="_Toc158458008"/>
      <w:r>
        <w:rPr>
          <w:rFonts w:hint="eastAsia" w:ascii="宋体" w:hAnsi="宋体"/>
          <w:b w:val="0"/>
          <w:sz w:val="24"/>
          <w:szCs w:val="24"/>
          <w:highlight w:val="none"/>
        </w:rPr>
        <w:t>法定代表人资格证明书</w:t>
      </w:r>
      <w:bookmarkEnd w:id="364"/>
      <w:bookmarkEnd w:id="365"/>
      <w:bookmarkEnd w:id="366"/>
      <w:r>
        <w:rPr>
          <w:rFonts w:hint="eastAsia" w:ascii="宋体" w:hAnsi="宋体"/>
          <w:b w:val="0"/>
          <w:sz w:val="24"/>
          <w:szCs w:val="24"/>
          <w:highlight w:val="none"/>
        </w:rPr>
        <w:t>格式</w:t>
      </w:r>
    </w:p>
    <w:p w14:paraId="731A296E">
      <w:pPr>
        <w:spacing w:before="240" w:beforeLines="100" w:after="240" w:afterLines="100" w:line="360" w:lineRule="auto"/>
        <w:jc w:val="center"/>
        <w:rPr>
          <w:rFonts w:ascii="宋体" w:hAnsi="宋体"/>
          <w:color w:val="000000"/>
          <w:kern w:val="0"/>
          <w:sz w:val="24"/>
          <w:szCs w:val="24"/>
          <w:highlight w:val="none"/>
        </w:rPr>
      </w:pPr>
      <w:bookmarkStart w:id="370" w:name="_Toc18209295"/>
      <w:r>
        <w:rPr>
          <w:rFonts w:hint="eastAsia" w:ascii="宋体" w:hAnsi="宋体"/>
          <w:b/>
          <w:color w:val="000000"/>
          <w:kern w:val="0"/>
          <w:sz w:val="24"/>
          <w:szCs w:val="24"/>
          <w:highlight w:val="none"/>
        </w:rPr>
        <w:t>法定代表人资格证明</w:t>
      </w:r>
      <w:r>
        <w:rPr>
          <w:rFonts w:ascii="宋体" w:hAnsi="宋体"/>
          <w:b/>
          <w:color w:val="000000"/>
          <w:kern w:val="0"/>
          <w:sz w:val="24"/>
          <w:szCs w:val="24"/>
          <w:highlight w:val="none"/>
        </w:rPr>
        <w:t>书</w:t>
      </w:r>
      <w:bookmarkEnd w:id="370"/>
    </w:p>
    <w:p w14:paraId="5995B790">
      <w:pPr>
        <w:spacing w:line="360" w:lineRule="auto"/>
        <w:ind w:left="709" w:right="-57" w:rightChars="-27" w:firstLine="440" w:firstLineChars="200"/>
        <w:rPr>
          <w:color w:val="000000"/>
          <w:sz w:val="22"/>
          <w:szCs w:val="22"/>
          <w:highlight w:val="none"/>
        </w:rPr>
      </w:pPr>
      <w:r>
        <w:rPr>
          <w:color w:val="000000"/>
          <w:sz w:val="22"/>
          <w:szCs w:val="22"/>
          <w:highlight w:val="none"/>
        </w:rPr>
        <w:t>单位名称：</w:t>
      </w:r>
      <w:r>
        <w:rPr>
          <w:color w:val="000000"/>
          <w:sz w:val="22"/>
          <w:szCs w:val="22"/>
          <w:highlight w:val="none"/>
          <w:u w:val="single"/>
        </w:rPr>
        <w:t xml:space="preserve">                        </w:t>
      </w:r>
    </w:p>
    <w:p w14:paraId="5C592492">
      <w:pPr>
        <w:spacing w:line="360" w:lineRule="auto"/>
        <w:ind w:left="709" w:right="-57" w:rightChars="-27" w:firstLine="440" w:firstLineChars="200"/>
        <w:rPr>
          <w:color w:val="000000"/>
          <w:sz w:val="22"/>
          <w:szCs w:val="22"/>
          <w:highlight w:val="none"/>
        </w:rPr>
      </w:pPr>
    </w:p>
    <w:p w14:paraId="370F0DC3">
      <w:pPr>
        <w:spacing w:line="360" w:lineRule="auto"/>
        <w:ind w:left="709" w:right="-57" w:rightChars="-27" w:firstLine="440" w:firstLineChars="200"/>
        <w:rPr>
          <w:color w:val="000000"/>
          <w:sz w:val="22"/>
          <w:szCs w:val="22"/>
          <w:highlight w:val="none"/>
        </w:rPr>
      </w:pPr>
      <w:r>
        <w:rPr>
          <w:color w:val="000000"/>
          <w:sz w:val="22"/>
          <w:szCs w:val="22"/>
          <w:highlight w:val="none"/>
        </w:rPr>
        <w:t>地址：</w:t>
      </w:r>
      <w:r>
        <w:rPr>
          <w:color w:val="000000"/>
          <w:sz w:val="22"/>
          <w:szCs w:val="22"/>
          <w:highlight w:val="none"/>
          <w:u w:val="single"/>
        </w:rPr>
        <w:t xml:space="preserve">                         </w:t>
      </w:r>
    </w:p>
    <w:p w14:paraId="0F5BA55B">
      <w:pPr>
        <w:spacing w:line="360" w:lineRule="auto"/>
        <w:ind w:left="709" w:right="-57" w:rightChars="-27" w:firstLine="440" w:firstLineChars="200"/>
        <w:rPr>
          <w:color w:val="000000"/>
          <w:sz w:val="22"/>
          <w:szCs w:val="22"/>
          <w:highlight w:val="none"/>
        </w:rPr>
      </w:pPr>
    </w:p>
    <w:p w14:paraId="170E2AF7">
      <w:pPr>
        <w:spacing w:line="360" w:lineRule="auto"/>
        <w:ind w:left="709" w:right="-57" w:rightChars="-27" w:firstLine="440" w:firstLineChars="200"/>
        <w:rPr>
          <w:color w:val="000000"/>
          <w:sz w:val="22"/>
          <w:szCs w:val="22"/>
          <w:highlight w:val="none"/>
        </w:rPr>
      </w:pPr>
      <w:r>
        <w:rPr>
          <w:color w:val="000000"/>
          <w:sz w:val="22"/>
          <w:szCs w:val="22"/>
          <w:highlight w:val="none"/>
        </w:rPr>
        <w:t>姓名：</w:t>
      </w:r>
      <w:r>
        <w:rPr>
          <w:color w:val="000000"/>
          <w:sz w:val="22"/>
          <w:szCs w:val="22"/>
          <w:highlight w:val="none"/>
          <w:u w:val="single"/>
        </w:rPr>
        <w:t xml:space="preserve">           </w:t>
      </w:r>
      <w:r>
        <w:rPr>
          <w:color w:val="000000"/>
          <w:sz w:val="22"/>
          <w:szCs w:val="22"/>
          <w:highlight w:val="none"/>
        </w:rPr>
        <w:t xml:space="preserve"> 性别：</w:t>
      </w:r>
      <w:r>
        <w:rPr>
          <w:color w:val="000000"/>
          <w:sz w:val="22"/>
          <w:szCs w:val="22"/>
          <w:highlight w:val="none"/>
          <w:u w:val="single"/>
        </w:rPr>
        <w:t xml:space="preserve">           </w:t>
      </w:r>
      <w:r>
        <w:rPr>
          <w:color w:val="000000"/>
          <w:sz w:val="22"/>
          <w:szCs w:val="22"/>
          <w:highlight w:val="none"/>
        </w:rPr>
        <w:t xml:space="preserve"> 年龄：</w:t>
      </w:r>
      <w:r>
        <w:rPr>
          <w:color w:val="000000"/>
          <w:sz w:val="22"/>
          <w:szCs w:val="22"/>
          <w:highlight w:val="none"/>
          <w:u w:val="single"/>
        </w:rPr>
        <w:t xml:space="preserve">            </w:t>
      </w:r>
      <w:r>
        <w:rPr>
          <w:color w:val="000000"/>
          <w:sz w:val="22"/>
          <w:szCs w:val="22"/>
          <w:highlight w:val="none"/>
        </w:rPr>
        <w:t>职务：</w:t>
      </w:r>
      <w:r>
        <w:rPr>
          <w:color w:val="000000"/>
          <w:sz w:val="22"/>
          <w:szCs w:val="22"/>
          <w:highlight w:val="none"/>
          <w:u w:val="single"/>
        </w:rPr>
        <w:t xml:space="preserve">        </w:t>
      </w:r>
    </w:p>
    <w:p w14:paraId="5F58876F">
      <w:pPr>
        <w:spacing w:line="360" w:lineRule="auto"/>
        <w:ind w:left="709" w:right="-57" w:rightChars="-27" w:firstLine="440" w:firstLineChars="200"/>
        <w:rPr>
          <w:color w:val="000000"/>
          <w:sz w:val="22"/>
          <w:szCs w:val="22"/>
          <w:highlight w:val="none"/>
        </w:rPr>
      </w:pPr>
    </w:p>
    <w:p w14:paraId="0619360C">
      <w:pPr>
        <w:spacing w:line="360" w:lineRule="auto"/>
        <w:ind w:left="709" w:right="-57" w:rightChars="-27" w:firstLine="440" w:firstLineChars="200"/>
        <w:rPr>
          <w:color w:val="000000"/>
          <w:sz w:val="22"/>
          <w:szCs w:val="22"/>
          <w:highlight w:val="none"/>
        </w:rPr>
      </w:pPr>
      <w:r>
        <w:rPr>
          <w:color w:val="000000"/>
          <w:sz w:val="22"/>
          <w:szCs w:val="22"/>
          <w:highlight w:val="none"/>
        </w:rPr>
        <w:t>系</w:t>
      </w:r>
      <w:r>
        <w:rPr>
          <w:color w:val="000000"/>
          <w:sz w:val="22"/>
          <w:szCs w:val="22"/>
          <w:highlight w:val="none"/>
          <w:u w:val="single"/>
        </w:rPr>
        <w:t xml:space="preserve">                            </w:t>
      </w:r>
      <w:r>
        <w:rPr>
          <w:color w:val="000000"/>
          <w:sz w:val="22"/>
          <w:szCs w:val="22"/>
          <w:highlight w:val="none"/>
        </w:rPr>
        <w:t>的法定代表人。</w:t>
      </w:r>
    </w:p>
    <w:p w14:paraId="17917EDC">
      <w:pPr>
        <w:spacing w:line="360" w:lineRule="auto"/>
        <w:ind w:left="709" w:right="-57" w:rightChars="-27" w:firstLine="440" w:firstLineChars="200"/>
        <w:rPr>
          <w:color w:val="000000"/>
          <w:sz w:val="22"/>
          <w:szCs w:val="22"/>
          <w:highlight w:val="none"/>
        </w:rPr>
      </w:pPr>
    </w:p>
    <w:p w14:paraId="4700BC3C">
      <w:pPr>
        <w:spacing w:line="360" w:lineRule="auto"/>
        <w:ind w:left="709" w:right="-57" w:rightChars="-27" w:firstLine="440" w:firstLineChars="200"/>
        <w:rPr>
          <w:color w:val="000000"/>
          <w:sz w:val="22"/>
          <w:szCs w:val="22"/>
          <w:highlight w:val="none"/>
        </w:rPr>
      </w:pPr>
      <w:r>
        <w:rPr>
          <w:color w:val="000000"/>
          <w:sz w:val="22"/>
          <w:szCs w:val="22"/>
          <w:highlight w:val="none"/>
        </w:rPr>
        <w:t>特此证明。</w:t>
      </w:r>
    </w:p>
    <w:p w14:paraId="6E97258C">
      <w:pPr>
        <w:spacing w:line="360" w:lineRule="auto"/>
        <w:ind w:left="709" w:right="-57" w:rightChars="-27" w:firstLine="440" w:firstLineChars="200"/>
        <w:rPr>
          <w:color w:val="000000"/>
          <w:sz w:val="22"/>
          <w:szCs w:val="22"/>
          <w:highlight w:val="none"/>
        </w:rPr>
      </w:pPr>
    </w:p>
    <w:p w14:paraId="6032FDA6">
      <w:pPr>
        <w:spacing w:line="360" w:lineRule="auto"/>
        <w:ind w:left="709" w:right="-57" w:rightChars="-27" w:firstLine="440" w:firstLineChars="200"/>
        <w:rPr>
          <w:color w:val="000000"/>
          <w:sz w:val="22"/>
          <w:szCs w:val="22"/>
          <w:highlight w:val="none"/>
        </w:rPr>
      </w:pPr>
      <w:r>
        <w:rPr>
          <w:color w:val="000000"/>
          <w:sz w:val="22"/>
          <w:szCs w:val="22"/>
          <w:highlight w:val="none"/>
        </w:rPr>
        <w:t>投标人：（</w:t>
      </w:r>
      <w:r>
        <w:rPr>
          <w:rFonts w:hint="eastAsia"/>
          <w:color w:val="000000"/>
          <w:sz w:val="22"/>
          <w:szCs w:val="22"/>
          <w:highlight w:val="none"/>
        </w:rPr>
        <w:t>公</w:t>
      </w:r>
      <w:r>
        <w:rPr>
          <w:color w:val="000000"/>
          <w:sz w:val="22"/>
          <w:szCs w:val="22"/>
          <w:highlight w:val="none"/>
        </w:rPr>
        <w:t xml:space="preserve">章）                          </w:t>
      </w:r>
    </w:p>
    <w:p w14:paraId="007C79EC">
      <w:pPr>
        <w:spacing w:line="360" w:lineRule="auto"/>
        <w:ind w:left="709" w:right="-57" w:rightChars="-27" w:firstLine="440" w:firstLineChars="200"/>
        <w:rPr>
          <w:color w:val="000000"/>
          <w:sz w:val="22"/>
          <w:szCs w:val="22"/>
          <w:highlight w:val="none"/>
        </w:rPr>
      </w:pPr>
    </w:p>
    <w:p w14:paraId="0329DEC2">
      <w:pPr>
        <w:spacing w:line="360" w:lineRule="auto"/>
        <w:ind w:firstLine="1210" w:firstLineChars="550"/>
        <w:jc w:val="left"/>
        <w:rPr>
          <w:color w:val="000000"/>
          <w:sz w:val="22"/>
          <w:szCs w:val="22"/>
          <w:highlight w:val="none"/>
        </w:rPr>
      </w:pPr>
      <w:r>
        <w:rPr>
          <w:color w:val="000000"/>
          <w:sz w:val="22"/>
          <w:szCs w:val="22"/>
          <w:highlight w:val="none"/>
        </w:rPr>
        <w:t>日</w:t>
      </w:r>
      <w:r>
        <w:rPr>
          <w:rFonts w:hint="eastAsia"/>
          <w:color w:val="000000"/>
          <w:sz w:val="22"/>
          <w:szCs w:val="22"/>
          <w:highlight w:val="none"/>
        </w:rPr>
        <w:t xml:space="preserve">  </w:t>
      </w:r>
      <w:r>
        <w:rPr>
          <w:color w:val="000000"/>
          <w:sz w:val="22"/>
          <w:szCs w:val="22"/>
          <w:highlight w:val="none"/>
        </w:rPr>
        <w:t xml:space="preserve">期：   年   月   日   </w:t>
      </w:r>
    </w:p>
    <w:p w14:paraId="46D08FC0">
      <w:pPr>
        <w:spacing w:line="360" w:lineRule="auto"/>
        <w:ind w:firstLine="1100" w:firstLineChars="500"/>
        <w:jc w:val="left"/>
        <w:rPr>
          <w:rFonts w:ascii="宋体" w:hAnsi="宋体"/>
          <w:color w:val="000000"/>
          <w:kern w:val="0"/>
          <w:sz w:val="22"/>
          <w:szCs w:val="22"/>
          <w:highlight w:val="none"/>
        </w:rPr>
      </w:pPr>
      <w:r>
        <w:rPr>
          <w:color w:val="000000"/>
          <w:sz w:val="22"/>
          <w:szCs w:val="22"/>
          <w:highlight w:val="none"/>
        </w:rPr>
        <w:t xml:space="preserve">  </w:t>
      </w:r>
    </w:p>
    <w:p w14:paraId="674DEAAC">
      <w:pPr>
        <w:spacing w:line="360" w:lineRule="auto"/>
        <w:jc w:val="left"/>
        <w:rPr>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 xml:space="preserve"> 法定代表人身份证正反面复印件应加盖单位公章附后。</w:t>
      </w:r>
    </w:p>
    <w:p w14:paraId="31980945">
      <w:pPr>
        <w:pStyle w:val="4"/>
        <w:rPr>
          <w:rFonts w:ascii="宋体" w:hAnsi="宋体"/>
          <w:b w:val="0"/>
          <w:bCs/>
          <w:sz w:val="24"/>
          <w:szCs w:val="24"/>
          <w:highlight w:val="none"/>
        </w:rPr>
      </w:pPr>
      <w:r>
        <w:rPr>
          <w:rFonts w:ascii="宋体" w:hAnsi="宋体"/>
          <w:b w:val="0"/>
          <w:highlight w:val="none"/>
        </w:rPr>
        <w:br w:type="page"/>
      </w:r>
      <w:r>
        <w:rPr>
          <w:rFonts w:ascii="宋体" w:hAnsi="宋体"/>
          <w:b w:val="0"/>
          <w:sz w:val="24"/>
          <w:szCs w:val="24"/>
          <w:highlight w:val="none"/>
        </w:rPr>
        <w:t>格式A2：法定代表人授权委托书格式</w:t>
      </w:r>
    </w:p>
    <w:p w14:paraId="32470466">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法定代表人</w:t>
      </w:r>
      <w:r>
        <w:rPr>
          <w:rFonts w:ascii="宋体" w:hAnsi="宋体"/>
          <w:b/>
          <w:color w:val="000000"/>
          <w:kern w:val="0"/>
          <w:sz w:val="24"/>
          <w:szCs w:val="24"/>
          <w:highlight w:val="none"/>
        </w:rPr>
        <w:t>授权委托书</w:t>
      </w:r>
    </w:p>
    <w:p w14:paraId="63923EE3">
      <w:pPr>
        <w:spacing w:line="360" w:lineRule="auto"/>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73C652E5">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本授权书声明：注册于</w:t>
      </w:r>
      <w:r>
        <w:rPr>
          <w:rFonts w:ascii="宋体" w:hAnsi="宋体"/>
          <w:color w:val="000000"/>
          <w:sz w:val="22"/>
          <w:szCs w:val="22"/>
          <w:highlight w:val="none"/>
          <w:u w:val="single"/>
        </w:rPr>
        <w:t xml:space="preserve">           </w:t>
      </w:r>
      <w:r>
        <w:rPr>
          <w:rFonts w:ascii="宋体" w:hAnsi="宋体"/>
          <w:color w:val="000000"/>
          <w:sz w:val="22"/>
          <w:szCs w:val="22"/>
          <w:highlight w:val="none"/>
        </w:rPr>
        <w:t>(国家或地区)的</w:t>
      </w:r>
      <w:r>
        <w:rPr>
          <w:rFonts w:ascii="宋体" w:hAnsi="宋体"/>
          <w:color w:val="000000"/>
          <w:sz w:val="22"/>
          <w:szCs w:val="22"/>
          <w:highlight w:val="none"/>
          <w:u w:val="single"/>
        </w:rPr>
        <w:t xml:space="preserve">             </w:t>
      </w:r>
      <w:r>
        <w:rPr>
          <w:rFonts w:ascii="宋体" w:hAnsi="宋体"/>
          <w:color w:val="000000"/>
          <w:sz w:val="22"/>
          <w:szCs w:val="22"/>
          <w:highlight w:val="none"/>
        </w:rPr>
        <w:t>（投标人名称）在下面签字的</w:t>
      </w:r>
      <w:r>
        <w:rPr>
          <w:rFonts w:hint="eastAsia" w:ascii="宋体" w:hAnsi="宋体"/>
          <w:color w:val="000000"/>
          <w:sz w:val="22"/>
          <w:szCs w:val="22"/>
          <w:highlight w:val="none"/>
          <w:u w:val="single"/>
        </w:rPr>
        <w:t xml:space="preserve"> </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（法定代表人姓名、职务）</w:t>
      </w:r>
      <w:r>
        <w:rPr>
          <w:rFonts w:ascii="宋体" w:hAnsi="宋体"/>
          <w:color w:val="000000"/>
          <w:sz w:val="22"/>
          <w:szCs w:val="22"/>
          <w:highlight w:val="none"/>
        </w:rPr>
        <w:t>代表本公司授权在下面签字的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（被授权人的姓名、职务）</w:t>
      </w:r>
      <w:r>
        <w:rPr>
          <w:rFonts w:ascii="宋体" w:hAnsi="宋体"/>
          <w:color w:val="000000"/>
          <w:sz w:val="22"/>
          <w:szCs w:val="22"/>
          <w:highlight w:val="none"/>
        </w:rPr>
        <w:t>为本公司的合法代理人，就招标编号为</w:t>
      </w:r>
      <w:r>
        <w:rPr>
          <w:rFonts w:ascii="宋体" w:hAnsi="宋体"/>
          <w:color w:val="000000"/>
          <w:sz w:val="22"/>
          <w:szCs w:val="22"/>
          <w:highlight w:val="none"/>
          <w:u w:val="single"/>
        </w:rPr>
        <w:t xml:space="preserve">         </w:t>
      </w:r>
      <w:r>
        <w:rPr>
          <w:rFonts w:ascii="宋体" w:hAnsi="宋体"/>
          <w:color w:val="000000"/>
          <w:sz w:val="22"/>
          <w:szCs w:val="22"/>
          <w:highlight w:val="none"/>
        </w:rPr>
        <w:t>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（项目名称）</w:t>
      </w:r>
      <w:r>
        <w:rPr>
          <w:rFonts w:ascii="宋体" w:hAnsi="宋体"/>
          <w:color w:val="000000"/>
          <w:sz w:val="22"/>
          <w:szCs w:val="22"/>
          <w:highlight w:val="none"/>
          <w:u w:val="single"/>
        </w:rPr>
        <w:t xml:space="preserve">    </w:t>
      </w:r>
      <w:r>
        <w:rPr>
          <w:rFonts w:ascii="宋体" w:hAnsi="宋体"/>
          <w:color w:val="000000"/>
          <w:sz w:val="22"/>
          <w:szCs w:val="22"/>
          <w:highlight w:val="none"/>
        </w:rPr>
        <w:t>的投标和合同执行，作为投标人代表以本公司的名义处理一切与之有关的事宜。</w:t>
      </w:r>
    </w:p>
    <w:p w14:paraId="1ABA51B3">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本授权书于</w:t>
      </w:r>
      <w:r>
        <w:rPr>
          <w:rFonts w:ascii="宋体" w:hAnsi="宋体"/>
          <w:color w:val="000000"/>
          <w:sz w:val="22"/>
          <w:szCs w:val="22"/>
          <w:highlight w:val="none"/>
          <w:u w:val="single"/>
        </w:rPr>
        <w:t xml:space="preserve">      </w:t>
      </w:r>
      <w:r>
        <w:rPr>
          <w:rFonts w:ascii="宋体" w:hAnsi="宋体"/>
          <w:color w:val="000000"/>
          <w:sz w:val="22"/>
          <w:szCs w:val="22"/>
          <w:highlight w:val="none"/>
        </w:rPr>
        <w:t>年</w:t>
      </w:r>
      <w:r>
        <w:rPr>
          <w:rFonts w:ascii="宋体" w:hAnsi="宋体"/>
          <w:color w:val="000000"/>
          <w:sz w:val="22"/>
          <w:szCs w:val="22"/>
          <w:highlight w:val="none"/>
          <w:u w:val="single"/>
        </w:rPr>
        <w:t xml:space="preserve">    </w:t>
      </w:r>
      <w:r>
        <w:rPr>
          <w:rFonts w:ascii="宋体" w:hAnsi="宋体"/>
          <w:color w:val="000000"/>
          <w:sz w:val="22"/>
          <w:szCs w:val="22"/>
          <w:highlight w:val="none"/>
        </w:rPr>
        <w:t>月</w:t>
      </w:r>
      <w:r>
        <w:rPr>
          <w:rFonts w:ascii="宋体" w:hAnsi="宋体"/>
          <w:color w:val="000000"/>
          <w:sz w:val="22"/>
          <w:szCs w:val="22"/>
          <w:highlight w:val="none"/>
          <w:u w:val="single"/>
        </w:rPr>
        <w:t xml:space="preserve">    </w:t>
      </w:r>
      <w:r>
        <w:rPr>
          <w:rFonts w:ascii="宋体" w:hAnsi="宋体"/>
          <w:color w:val="000000"/>
          <w:sz w:val="22"/>
          <w:szCs w:val="22"/>
          <w:highlight w:val="none"/>
        </w:rPr>
        <w:t>日签字生效，特此声明。</w:t>
      </w:r>
    </w:p>
    <w:p w14:paraId="28686DE2">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19293EFD">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6A94C177">
      <w:pPr>
        <w:tabs>
          <w:tab w:val="left" w:pos="8364"/>
        </w:tabs>
        <w:snapToGrid w:val="0"/>
        <w:spacing w:line="720" w:lineRule="auto"/>
        <w:ind w:firstLine="1100" w:firstLineChars="500"/>
        <w:jc w:val="left"/>
        <w:rPr>
          <w:rFonts w:ascii="宋体" w:hAnsi="宋体"/>
          <w:color w:val="000000"/>
          <w:sz w:val="22"/>
          <w:szCs w:val="22"/>
          <w:highlight w:val="none"/>
          <w:u w:val="single"/>
        </w:rPr>
      </w:pPr>
      <w:r>
        <w:rPr>
          <w:rFonts w:ascii="宋体" w:hAnsi="宋体"/>
          <w:color w:val="000000"/>
          <w:sz w:val="22"/>
          <w:szCs w:val="22"/>
          <w:highlight w:val="none"/>
        </w:rPr>
        <w:t>法定代表人签字或盖章：</w:t>
      </w:r>
      <w:r>
        <w:rPr>
          <w:rFonts w:ascii="宋体" w:hAnsi="宋体"/>
          <w:color w:val="000000"/>
          <w:sz w:val="22"/>
          <w:szCs w:val="22"/>
          <w:highlight w:val="none"/>
          <w:u w:val="single"/>
        </w:rPr>
        <w:t xml:space="preserve">               </w:t>
      </w:r>
    </w:p>
    <w:p w14:paraId="171FDBE2">
      <w:pPr>
        <w:tabs>
          <w:tab w:val="left" w:pos="8364"/>
        </w:tabs>
        <w:snapToGrid w:val="0"/>
        <w:spacing w:line="720" w:lineRule="auto"/>
        <w:ind w:firstLine="1100" w:firstLineChars="500"/>
        <w:jc w:val="left"/>
        <w:rPr>
          <w:rFonts w:ascii="宋体" w:hAnsi="宋体"/>
          <w:color w:val="000000"/>
          <w:sz w:val="22"/>
          <w:szCs w:val="22"/>
          <w:highlight w:val="none"/>
        </w:rPr>
      </w:pPr>
      <w:r>
        <w:rPr>
          <w:rFonts w:ascii="宋体" w:hAnsi="宋体"/>
          <w:color w:val="000000"/>
          <w:sz w:val="22"/>
          <w:szCs w:val="22"/>
          <w:highlight w:val="none"/>
        </w:rPr>
        <w:t>投标人代表（</w:t>
      </w:r>
      <w:r>
        <w:rPr>
          <w:rFonts w:hint="eastAsia" w:ascii="宋体" w:hAnsi="宋体"/>
          <w:color w:val="000000"/>
          <w:sz w:val="22"/>
          <w:szCs w:val="22"/>
          <w:highlight w:val="none"/>
        </w:rPr>
        <w:t>委托代理人</w:t>
      </w:r>
      <w:r>
        <w:rPr>
          <w:rFonts w:ascii="宋体" w:hAnsi="宋体"/>
          <w:color w:val="000000"/>
          <w:sz w:val="22"/>
          <w:szCs w:val="22"/>
          <w:highlight w:val="none"/>
        </w:rPr>
        <w:t>）签字或盖章：</w:t>
      </w:r>
    </w:p>
    <w:p w14:paraId="152D78DF">
      <w:pPr>
        <w:tabs>
          <w:tab w:val="left" w:pos="8364"/>
        </w:tabs>
        <w:snapToGrid w:val="0"/>
        <w:spacing w:line="720" w:lineRule="auto"/>
        <w:ind w:firstLine="1100" w:firstLineChars="500"/>
        <w:jc w:val="left"/>
        <w:rPr>
          <w:rFonts w:ascii="宋体" w:hAnsi="宋体"/>
          <w:color w:val="000000"/>
          <w:sz w:val="22"/>
          <w:szCs w:val="22"/>
          <w:highlight w:val="none"/>
        </w:rPr>
      </w:pPr>
      <w:r>
        <w:rPr>
          <w:rFonts w:hint="eastAsia" w:ascii="宋体" w:hAnsi="宋体"/>
          <w:color w:val="000000"/>
          <w:sz w:val="22"/>
          <w:szCs w:val="22"/>
          <w:highlight w:val="none"/>
        </w:rPr>
        <w:t>投标人</w:t>
      </w:r>
      <w:r>
        <w:rPr>
          <w:rFonts w:ascii="宋体" w:hAnsi="宋体"/>
          <w:color w:val="000000"/>
          <w:sz w:val="22"/>
          <w:szCs w:val="22"/>
          <w:highlight w:val="none"/>
        </w:rPr>
        <w:t>：</w:t>
      </w:r>
      <w:r>
        <w:rPr>
          <w:rFonts w:ascii="宋体" w:hAnsi="宋体"/>
          <w:color w:val="000000"/>
          <w:sz w:val="22"/>
          <w:szCs w:val="22"/>
          <w:highlight w:val="none"/>
          <w:u w:val="single"/>
        </w:rPr>
        <w:t xml:space="preserve">               （公章）     </w:t>
      </w:r>
    </w:p>
    <w:p w14:paraId="21087793">
      <w:pPr>
        <w:spacing w:line="360" w:lineRule="auto"/>
        <w:jc w:val="left"/>
        <w:rPr>
          <w:rFonts w:ascii="宋体" w:hAnsi="宋体"/>
          <w:color w:val="000000"/>
          <w:kern w:val="0"/>
          <w:sz w:val="22"/>
          <w:szCs w:val="22"/>
          <w:highlight w:val="none"/>
        </w:rPr>
      </w:pPr>
    </w:p>
    <w:p w14:paraId="1FF6AD01">
      <w:pPr>
        <w:spacing w:line="360" w:lineRule="auto"/>
        <w:jc w:val="left"/>
        <w:rPr>
          <w:rFonts w:ascii="宋体" w:hAnsi="宋体"/>
          <w:color w:val="000000"/>
          <w:kern w:val="0"/>
          <w:sz w:val="22"/>
          <w:szCs w:val="22"/>
          <w:highlight w:val="none"/>
        </w:rPr>
      </w:pPr>
    </w:p>
    <w:p w14:paraId="65C5BEDC">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授权代理人身份证正反面复印件应加盖单位公章附后。</w:t>
      </w:r>
    </w:p>
    <w:p w14:paraId="226C3F15">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ascii="宋体" w:hAnsi="宋体"/>
          <w:b w:val="0"/>
          <w:szCs w:val="21"/>
          <w:highlight w:val="none"/>
        </w:rPr>
        <w:br w:type="page"/>
      </w:r>
      <w:bookmarkEnd w:id="367"/>
      <w:bookmarkEnd w:id="368"/>
      <w:bookmarkEnd w:id="369"/>
    </w:p>
    <w:p w14:paraId="57EA50A2">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3</w:t>
      </w:r>
      <w:r>
        <w:rPr>
          <w:rFonts w:hint="eastAsia" w:ascii="宋体" w:hAnsi="宋体" w:eastAsia="宋体" w:cs="Times New Roman"/>
          <w:b w:val="0"/>
          <w:bCs/>
          <w:color w:val="000000"/>
          <w:kern w:val="0"/>
          <w:sz w:val="22"/>
          <w:szCs w:val="22"/>
          <w:highlight w:val="none"/>
        </w:rPr>
        <w:t>：投标人有效的营业执照副本或事业单位法人证书等证明文件复印件</w:t>
      </w:r>
      <w:r>
        <w:rPr>
          <w:rFonts w:hint="eastAsia" w:ascii="宋体" w:hAnsi="宋体" w:eastAsia="宋体" w:cs="Times New Roman"/>
          <w:b w:val="0"/>
          <w:bCs/>
          <w:color w:val="000000"/>
          <w:kern w:val="0"/>
          <w:sz w:val="22"/>
          <w:szCs w:val="22"/>
          <w:highlight w:val="none"/>
          <w:lang w:eastAsia="zh-CN"/>
        </w:rPr>
        <w:t>。</w:t>
      </w:r>
    </w:p>
    <w:p w14:paraId="7EDB8A88">
      <w:pPr>
        <w:wordWrap w:val="0"/>
        <w:spacing w:line="360" w:lineRule="auto"/>
        <w:jc w:val="left"/>
        <w:outlineLvl w:val="2"/>
        <w:rPr>
          <w:rFonts w:hint="eastAsia" w:ascii="宋体" w:hAnsi="宋体" w:eastAsia="宋体" w:cs="Times New Roman"/>
          <w:b w:val="0"/>
          <w:bCs/>
          <w:color w:val="000000"/>
          <w:kern w:val="0"/>
          <w:sz w:val="22"/>
          <w:szCs w:val="22"/>
          <w:highlight w:val="none"/>
        </w:rPr>
      </w:pPr>
      <w:r>
        <w:rPr>
          <w:rFonts w:hint="eastAsia" w:ascii="宋体" w:hAnsi="宋体" w:cs="Times New Roman"/>
          <w:b w:val="0"/>
          <w:bCs/>
          <w:color w:val="000000"/>
          <w:kern w:val="0"/>
          <w:sz w:val="22"/>
          <w:szCs w:val="22"/>
          <w:highlight w:val="none"/>
        </w:rPr>
        <w:t>格式A</w:t>
      </w:r>
      <w:r>
        <w:rPr>
          <w:rFonts w:hint="eastAsia" w:ascii="宋体" w:hAnsi="宋体" w:cs="Times New Roman"/>
          <w:b w:val="0"/>
          <w:bCs/>
          <w:color w:val="000000"/>
          <w:kern w:val="0"/>
          <w:sz w:val="22"/>
          <w:szCs w:val="22"/>
          <w:highlight w:val="none"/>
          <w:lang w:val="en-US" w:eastAsia="zh-CN"/>
        </w:rPr>
        <w:t>4</w:t>
      </w:r>
      <w:r>
        <w:rPr>
          <w:rFonts w:hint="eastAsia" w:ascii="宋体" w:hAnsi="宋体" w:cs="Times New Roman"/>
          <w:b w:val="0"/>
          <w:bCs/>
          <w:color w:val="000000"/>
          <w:kern w:val="0"/>
          <w:sz w:val="22"/>
          <w:szCs w:val="22"/>
          <w:highlight w:val="none"/>
        </w:rPr>
        <w:t>：</w:t>
      </w:r>
      <w:r>
        <w:rPr>
          <w:rFonts w:hint="eastAsia" w:ascii="宋体" w:hAnsi="宋体" w:eastAsia="宋体"/>
          <w:color w:val="000000"/>
          <w:szCs w:val="21"/>
          <w:highlight w:val="none"/>
          <w:lang w:val="en-US" w:eastAsia="zh-CN"/>
        </w:rPr>
        <w:t>提供信用信息报告（信用中国网址：https://www.creditchina.gov.cn/）</w:t>
      </w:r>
      <w:r>
        <w:rPr>
          <w:rFonts w:hint="eastAsia" w:ascii="宋体" w:hAnsi="宋体" w:eastAsia="宋体" w:cs="Times New Roman"/>
          <w:bCs/>
          <w:color w:val="000000"/>
          <w:kern w:val="0"/>
          <w:sz w:val="22"/>
          <w:szCs w:val="22"/>
          <w:highlight w:val="none"/>
          <w:lang w:eastAsia="zh-CN"/>
        </w:rPr>
        <w:t>。</w:t>
      </w:r>
    </w:p>
    <w:p w14:paraId="7E00DCA5">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lang w:val="en-US" w:eastAsia="zh-CN"/>
        </w:rPr>
      </w:pPr>
      <w:r>
        <w:rPr>
          <w:rFonts w:hint="eastAsia" w:ascii="宋体" w:hAnsi="宋体" w:eastAsia="宋体" w:cs="Times New Roman"/>
          <w:b w:val="0"/>
          <w:bCs/>
          <w:color w:val="000000"/>
          <w:kern w:val="0"/>
          <w:sz w:val="22"/>
          <w:szCs w:val="22"/>
          <w:highlight w:val="none"/>
        </w:rPr>
        <w:t>格式A</w:t>
      </w:r>
      <w:r>
        <w:rPr>
          <w:rFonts w:hint="eastAsia" w:ascii="宋体" w:hAnsi="宋体" w:cs="Times New Roman"/>
          <w:b w:val="0"/>
          <w:bCs/>
          <w:color w:val="000000"/>
          <w:kern w:val="0"/>
          <w:sz w:val="22"/>
          <w:szCs w:val="22"/>
          <w:highlight w:val="none"/>
          <w:lang w:val="en-US" w:eastAsia="zh-CN"/>
        </w:rPr>
        <w:t>5</w:t>
      </w:r>
      <w:r>
        <w:rPr>
          <w:rFonts w:hint="eastAsia" w:ascii="宋体" w:hAnsi="宋体" w:eastAsia="宋体" w:cs="Times New Roman"/>
          <w:b w:val="0"/>
          <w:bCs/>
          <w:color w:val="000000"/>
          <w:kern w:val="0"/>
          <w:sz w:val="22"/>
          <w:szCs w:val="22"/>
          <w:highlight w:val="none"/>
        </w:rPr>
        <w:t>：</w:t>
      </w:r>
      <w:r>
        <w:rPr>
          <w:rFonts w:hint="eastAsia" w:ascii="宋体" w:hAnsi="宋体" w:eastAsia="宋体" w:cs="Times New Roman"/>
          <w:b w:val="0"/>
          <w:bCs/>
          <w:color w:val="000000"/>
          <w:kern w:val="0"/>
          <w:sz w:val="22"/>
          <w:szCs w:val="22"/>
          <w:highlight w:val="none"/>
          <w:lang w:val="en-US" w:eastAsia="zh-CN"/>
        </w:rPr>
        <w:t>投标人</w:t>
      </w:r>
      <w:r>
        <w:rPr>
          <w:rFonts w:hint="eastAsia" w:ascii="宋体" w:hAnsi="宋体" w:eastAsia="宋体" w:cs="Times New Roman"/>
          <w:b w:val="0"/>
          <w:bCs/>
          <w:color w:val="000000"/>
          <w:kern w:val="0"/>
          <w:sz w:val="22"/>
          <w:szCs w:val="22"/>
          <w:highlight w:val="none"/>
          <w:lang w:eastAsia="zh-CN"/>
        </w:rPr>
        <w:t>提供</w:t>
      </w:r>
      <w:r>
        <w:rPr>
          <w:rFonts w:hint="eastAsia" w:ascii="宋体" w:hAnsi="宋体" w:eastAsia="宋体" w:cs="Times New Roman"/>
          <w:b w:val="0"/>
          <w:bCs/>
          <w:color w:val="000000"/>
          <w:kern w:val="0"/>
          <w:sz w:val="22"/>
          <w:szCs w:val="22"/>
          <w:highlight w:val="none"/>
          <w:lang w:val="en-US" w:eastAsia="zh-CN"/>
        </w:rPr>
        <w:t>由第三方出具的</w:t>
      </w:r>
      <w:r>
        <w:rPr>
          <w:rFonts w:hint="eastAsia" w:ascii="宋体" w:hAnsi="宋体" w:eastAsia="宋体" w:cs="Times New Roman"/>
          <w:b w:val="0"/>
          <w:bCs/>
          <w:color w:val="000000"/>
          <w:kern w:val="0"/>
          <w:sz w:val="22"/>
          <w:szCs w:val="22"/>
          <w:highlight w:val="none"/>
          <w:lang w:eastAsia="zh-CN"/>
        </w:rPr>
        <w:t>2023或2024年度的财务报表（显示净利润</w:t>
      </w:r>
      <w:r>
        <w:rPr>
          <w:rFonts w:hint="eastAsia" w:ascii="宋体" w:hAnsi="宋体" w:eastAsia="宋体" w:cs="Times New Roman"/>
          <w:b w:val="0"/>
          <w:bCs/>
          <w:color w:val="000000"/>
          <w:kern w:val="0"/>
          <w:sz w:val="22"/>
          <w:szCs w:val="22"/>
          <w:highlight w:val="none"/>
          <w:lang w:val="en-US" w:eastAsia="zh-CN"/>
        </w:rPr>
        <w:t>为正值）或</w:t>
      </w:r>
      <w:r>
        <w:rPr>
          <w:rFonts w:hint="eastAsia" w:ascii="宋体" w:hAnsi="宋体" w:eastAsia="宋体" w:cs="Times New Roman"/>
          <w:b w:val="0"/>
          <w:bCs/>
          <w:color w:val="000000"/>
          <w:kern w:val="0"/>
          <w:sz w:val="22"/>
          <w:szCs w:val="22"/>
          <w:highlight w:val="none"/>
          <w:lang w:eastAsia="zh-CN"/>
        </w:rPr>
        <w:t>提供基本户开户银行在投标截止前30日内开具的资信证明</w:t>
      </w:r>
      <w:r>
        <w:rPr>
          <w:rFonts w:hint="eastAsia" w:ascii="宋体" w:hAnsi="宋体" w:eastAsia="宋体" w:cs="Times New Roman"/>
          <w:b w:val="0"/>
          <w:bCs/>
          <w:color w:val="000000"/>
          <w:kern w:val="0"/>
          <w:sz w:val="22"/>
          <w:szCs w:val="22"/>
          <w:highlight w:val="none"/>
          <w:lang w:val="en-US" w:eastAsia="zh-CN"/>
        </w:rPr>
        <w:t>。</w:t>
      </w:r>
    </w:p>
    <w:p w14:paraId="2572356D">
      <w:pPr>
        <w:pStyle w:val="29"/>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br w:type="page"/>
      </w:r>
    </w:p>
    <w:p w14:paraId="5A014FAC">
      <w:pPr>
        <w:pStyle w:val="4"/>
        <w:rPr>
          <w:rFonts w:ascii="宋体" w:hAnsi="宋体"/>
          <w:b w:val="0"/>
          <w:sz w:val="24"/>
          <w:szCs w:val="24"/>
          <w:highlight w:val="none"/>
        </w:rPr>
      </w:pPr>
      <w:r>
        <w:rPr>
          <w:rFonts w:hint="eastAsia" w:ascii="宋体" w:hAnsi="宋体"/>
          <w:b w:val="0"/>
          <w:sz w:val="24"/>
          <w:szCs w:val="24"/>
          <w:highlight w:val="none"/>
        </w:rPr>
        <w:t>格式A</w:t>
      </w:r>
      <w:r>
        <w:rPr>
          <w:rFonts w:hint="eastAsia" w:ascii="宋体" w:hAnsi="宋体"/>
          <w:b w:val="0"/>
          <w:sz w:val="24"/>
          <w:szCs w:val="24"/>
          <w:highlight w:val="none"/>
          <w:lang w:val="en-US" w:eastAsia="zh-CN"/>
        </w:rPr>
        <w:t>6</w:t>
      </w:r>
      <w:r>
        <w:rPr>
          <w:rFonts w:hint="eastAsia" w:ascii="宋体" w:hAnsi="宋体"/>
          <w:b w:val="0"/>
          <w:sz w:val="24"/>
          <w:szCs w:val="24"/>
          <w:highlight w:val="none"/>
        </w:rPr>
        <w:t>：</w:t>
      </w:r>
      <w:r>
        <w:rPr>
          <w:rFonts w:ascii="宋体" w:hAnsi="宋体"/>
          <w:b w:val="0"/>
          <w:sz w:val="24"/>
          <w:szCs w:val="24"/>
          <w:highlight w:val="none"/>
        </w:rPr>
        <w:t>承诺书</w:t>
      </w:r>
    </w:p>
    <w:p w14:paraId="4B446042">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承诺书</w:t>
      </w:r>
    </w:p>
    <w:p w14:paraId="1923A03A">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183DA687">
      <w:pPr>
        <w:spacing w:line="360" w:lineRule="auto"/>
        <w:ind w:firstLine="440" w:firstLineChars="200"/>
        <w:jc w:val="left"/>
        <w:rPr>
          <w:color w:val="000000"/>
          <w:sz w:val="22"/>
          <w:szCs w:val="22"/>
          <w:highlight w:val="none"/>
        </w:rPr>
      </w:pPr>
      <w:r>
        <w:rPr>
          <w:rFonts w:hint="eastAsia" w:ascii="宋体" w:hAnsi="宋体"/>
          <w:color w:val="000000"/>
          <w:kern w:val="0"/>
          <w:sz w:val="22"/>
          <w:szCs w:val="22"/>
          <w:highlight w:val="none"/>
        </w:rPr>
        <w:t>我司</w:t>
      </w:r>
      <w:r>
        <w:rPr>
          <w:rFonts w:ascii="宋体" w:hAnsi="宋体"/>
          <w:color w:val="000000"/>
          <w:kern w:val="0"/>
          <w:sz w:val="22"/>
          <w:szCs w:val="22"/>
          <w:highlight w:val="none"/>
        </w:rPr>
        <w:t>郑重承诺：</w:t>
      </w:r>
      <w:r>
        <w:rPr>
          <w:rFonts w:ascii="宋体" w:hAnsi="宋体"/>
          <w:b/>
          <w:color w:val="000000"/>
          <w:kern w:val="0"/>
          <w:sz w:val="22"/>
          <w:szCs w:val="22"/>
          <w:highlight w:val="none"/>
        </w:rPr>
        <w:t>我公司</w:t>
      </w:r>
      <w:r>
        <w:rPr>
          <w:rFonts w:hint="eastAsia" w:ascii="宋体" w:hAnsi="宋体"/>
          <w:b/>
          <w:color w:val="000000"/>
          <w:kern w:val="0"/>
          <w:sz w:val="22"/>
          <w:szCs w:val="22"/>
          <w:highlight w:val="none"/>
        </w:rPr>
        <w:t>没有处于被责令停业，或投标资格被行政主管部门取消，或财产被接管、冻结、破产状态，在投标截止前3年内没有骗取中标、严重违约或重大安全质量事故</w:t>
      </w:r>
      <w:r>
        <w:rPr>
          <w:rFonts w:hint="eastAsia" w:ascii="宋体" w:hAnsi="宋体"/>
          <w:b/>
          <w:color w:val="000000"/>
          <w:spacing w:val="1"/>
          <w:kern w:val="0"/>
          <w:position w:val="-2"/>
          <w:sz w:val="22"/>
          <w:szCs w:val="22"/>
          <w:highlight w:val="none"/>
        </w:rPr>
        <w:t>；我公司</w:t>
      </w:r>
      <w:r>
        <w:rPr>
          <w:rFonts w:ascii="宋体" w:hAnsi="宋体"/>
          <w:b/>
          <w:color w:val="000000"/>
          <w:spacing w:val="1"/>
          <w:kern w:val="0"/>
          <w:position w:val="-2"/>
          <w:sz w:val="22"/>
          <w:szCs w:val="22"/>
          <w:highlight w:val="none"/>
        </w:rPr>
        <w:t>与其他投标人之间不存在单位负责人为同一人或者控股、管理关系的情况</w:t>
      </w:r>
      <w:r>
        <w:rPr>
          <w:rFonts w:hint="eastAsia" w:ascii="宋体" w:hAnsi="宋体"/>
          <w:b/>
          <w:color w:val="000000"/>
          <w:spacing w:val="1"/>
          <w:kern w:val="0"/>
          <w:position w:val="-2"/>
          <w:sz w:val="22"/>
          <w:szCs w:val="22"/>
          <w:highlight w:val="none"/>
        </w:rPr>
        <w:t>；</w:t>
      </w:r>
      <w:r>
        <w:rPr>
          <w:rFonts w:hint="eastAsia"/>
          <w:b/>
          <w:color w:val="000000"/>
          <w:spacing w:val="1"/>
          <w:kern w:val="0"/>
          <w:position w:val="-2"/>
          <w:sz w:val="22"/>
          <w:szCs w:val="22"/>
          <w:highlight w:val="none"/>
        </w:rPr>
        <w:t>我公司未列入招标人不良信用名单。</w:t>
      </w:r>
    </w:p>
    <w:p w14:paraId="416189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如果在该项目投标过程中或者在中标后，招标人或者有管辖权的招标投标行政监管机构发现并查实我公司在所填报的该项目</w:t>
      </w:r>
      <w:r>
        <w:rPr>
          <w:rFonts w:hint="eastAsia" w:ascii="宋体" w:hAnsi="宋体"/>
          <w:color w:val="000000"/>
          <w:kern w:val="0"/>
          <w:sz w:val="22"/>
          <w:szCs w:val="22"/>
          <w:highlight w:val="none"/>
        </w:rPr>
        <w:t>投标文件</w:t>
      </w:r>
      <w:r>
        <w:rPr>
          <w:rFonts w:ascii="宋体" w:hAnsi="宋体"/>
          <w:color w:val="000000"/>
          <w:kern w:val="0"/>
          <w:sz w:val="22"/>
          <w:szCs w:val="22"/>
          <w:highlight w:val="none"/>
        </w:rPr>
        <w:t>中存在提供虚假或不真实的信息或者伪造数据、资料或证书等情况，不管招标人或有管辖权的招标投标监管机构是否有合法的处罚依据，我公司将无条件地自动放弃该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的中标资格；如果我公司已经收到中标通知书，我公司无条件地承认，我公司所收到的该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中标通知书为无效文件，对招标人不具任何法律约束力；由此造成的任何后果和损失均由我公司承担。本段承诺既是我公司投标文件的有效组成内容，也是我公司真实意思的表示，对我公司在与该项目有关的任何行为中始终具有优先的法律约束力。</w:t>
      </w:r>
    </w:p>
    <w:p w14:paraId="601B1ED9">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我司郑重承诺:</w:t>
      </w:r>
      <w:r>
        <w:rPr>
          <w:rFonts w:hint="default" w:ascii="宋体" w:hAnsi="宋体"/>
          <w:b/>
          <w:bCs/>
          <w:color w:val="000000"/>
          <w:spacing w:val="0"/>
          <w:kern w:val="0"/>
          <w:position w:val="0"/>
          <w:sz w:val="22"/>
          <w:szCs w:val="22"/>
          <w:highlight w:val="none"/>
        </w:rPr>
        <w:t>在中标后，向本项目的招标代理机构支付代理费用。我司已知悉代理的相关费用已包含在投标报价中，不需要招标人另行支付。若我司拒绝支付代理费用，视为我公司自动放弃该项目的中标资格。</w:t>
      </w:r>
    </w:p>
    <w:p w14:paraId="0E6C3089">
      <w:pPr>
        <w:spacing w:line="360" w:lineRule="auto"/>
        <w:ind w:firstLine="440" w:firstLineChars="200"/>
        <w:jc w:val="left"/>
        <w:rPr>
          <w:rFonts w:ascii="宋体" w:hAnsi="宋体"/>
          <w:color w:val="000000"/>
          <w:kern w:val="0"/>
          <w:sz w:val="22"/>
          <w:szCs w:val="22"/>
          <w:highlight w:val="none"/>
        </w:rPr>
      </w:pPr>
    </w:p>
    <w:p w14:paraId="327B50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 xml:space="preserve">投标人：（公章）  </w:t>
      </w:r>
    </w:p>
    <w:p w14:paraId="5D5593D6">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法定代表人或其委托代理人</w:t>
      </w:r>
      <w:r>
        <w:rPr>
          <w:rFonts w:ascii="宋体" w:hAnsi="宋体"/>
          <w:color w:val="000000"/>
          <w:kern w:val="0"/>
          <w:sz w:val="22"/>
          <w:szCs w:val="22"/>
          <w:highlight w:val="none"/>
        </w:rPr>
        <w:t>：（签字或盖章）</w:t>
      </w:r>
    </w:p>
    <w:p w14:paraId="7A49C89C">
      <w:pPr>
        <w:spacing w:line="360" w:lineRule="auto"/>
        <w:ind w:firstLine="440" w:firstLineChars="200"/>
        <w:jc w:val="left"/>
        <w:rPr>
          <w:rFonts w:ascii="宋体" w:hAnsi="宋体"/>
          <w:color w:val="000000"/>
          <w:kern w:val="0"/>
          <w:sz w:val="22"/>
          <w:szCs w:val="22"/>
          <w:highlight w:val="none"/>
        </w:rPr>
      </w:pPr>
      <w:bookmarkStart w:id="371" w:name="_Toc23321"/>
      <w:r>
        <w:rPr>
          <w:rFonts w:ascii="宋体" w:hAnsi="宋体"/>
          <w:color w:val="000000"/>
          <w:kern w:val="0"/>
          <w:sz w:val="22"/>
          <w:szCs w:val="22"/>
          <w:highlight w:val="none"/>
        </w:rPr>
        <w:t>日期：</w:t>
      </w:r>
    </w:p>
    <w:p w14:paraId="249A8262">
      <w:pPr>
        <w:keepNext w:val="0"/>
        <w:keepLines w:val="0"/>
        <w:widowControl/>
        <w:spacing w:before="50" w:after="0" w:line="360" w:lineRule="auto"/>
        <w:jc w:val="left"/>
        <w:outlineLvl w:val="2"/>
        <w:rPr>
          <w:rFonts w:hint="eastAsia" w:ascii="宋体" w:hAnsi="宋体" w:eastAsia="宋体"/>
          <w:color w:val="000000"/>
          <w:sz w:val="22"/>
          <w:szCs w:val="22"/>
          <w:highlight w:val="none"/>
        </w:rPr>
      </w:pPr>
      <w:r>
        <w:rPr>
          <w:bCs/>
          <w:kern w:val="0"/>
          <w:highlight w:val="none"/>
        </w:rPr>
        <w:br w:type="page"/>
      </w:r>
      <w:bookmarkEnd w:id="352"/>
      <w:bookmarkEnd w:id="353"/>
      <w:bookmarkEnd w:id="354"/>
      <w:bookmarkEnd w:id="355"/>
      <w:bookmarkEnd w:id="356"/>
      <w:bookmarkEnd w:id="357"/>
      <w:bookmarkEnd w:id="358"/>
      <w:bookmarkEnd w:id="359"/>
      <w:bookmarkEnd w:id="371"/>
      <w:bookmarkStart w:id="372" w:name="_Toc9234"/>
      <w:bookmarkStart w:id="373" w:name="_Toc13679"/>
      <w:r>
        <w:rPr>
          <w:rFonts w:hint="eastAsia"/>
          <w:bCs/>
          <w:kern w:val="0"/>
          <w:highlight w:val="none"/>
        </w:rPr>
        <w:t>格式A</w:t>
      </w:r>
      <w:r>
        <w:rPr>
          <w:rFonts w:hint="eastAsia"/>
          <w:bCs/>
          <w:kern w:val="0"/>
          <w:highlight w:val="none"/>
          <w:lang w:val="en-US" w:eastAsia="zh-CN"/>
        </w:rPr>
        <w:t>7</w:t>
      </w:r>
      <w:r>
        <w:rPr>
          <w:rFonts w:hint="eastAsia"/>
          <w:bCs/>
          <w:kern w:val="0"/>
          <w:highlight w:val="none"/>
        </w:rPr>
        <w:t>：</w:t>
      </w:r>
      <w:r>
        <w:rPr>
          <w:rFonts w:hint="eastAsia" w:ascii="宋体" w:hAnsi="宋体" w:eastAsia="宋体"/>
          <w:color w:val="000000"/>
          <w:sz w:val="22"/>
          <w:szCs w:val="22"/>
          <w:highlight w:val="none"/>
        </w:rPr>
        <w:t>投标人认为需要提交的其他资料</w:t>
      </w:r>
      <w:r>
        <w:rPr>
          <w:rFonts w:hint="eastAsia" w:ascii="宋体" w:hAnsi="宋体" w:eastAsia="宋体"/>
          <w:color w:val="000000"/>
          <w:sz w:val="22"/>
          <w:szCs w:val="22"/>
          <w:highlight w:val="none"/>
          <w:lang w:eastAsia="zh-CN"/>
        </w:rPr>
        <w:t>。</w:t>
      </w:r>
      <w:r>
        <w:rPr>
          <w:rFonts w:hint="eastAsia" w:ascii="宋体" w:hAnsi="宋体" w:eastAsia="宋体"/>
          <w:color w:val="000000"/>
          <w:kern w:val="2"/>
          <w:sz w:val="22"/>
          <w:szCs w:val="22"/>
          <w:highlight w:val="none"/>
        </w:rPr>
        <w:t>（如有，格式自拟）</w:t>
      </w:r>
    </w:p>
    <w:p w14:paraId="6E7F9078">
      <w:pPr>
        <w:keepNext w:val="0"/>
        <w:keepLines w:val="0"/>
        <w:widowControl/>
        <w:spacing w:before="0" w:after="0" w:line="240" w:lineRule="auto"/>
        <w:jc w:val="left"/>
        <w:outlineLvl w:val="9"/>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br w:type="page"/>
      </w:r>
    </w:p>
    <w:p w14:paraId="4F1F7610">
      <w:pPr>
        <w:keepNext w:val="0"/>
        <w:keepLines w:val="0"/>
        <w:widowControl/>
        <w:spacing w:before="50" w:after="0" w:line="360" w:lineRule="auto"/>
        <w:jc w:val="left"/>
        <w:outlineLvl w:val="1"/>
        <w:rPr>
          <w:rFonts w:ascii="宋体" w:hAnsi="宋体"/>
          <w:b/>
          <w:bCs/>
          <w:color w:val="000000"/>
          <w:sz w:val="28"/>
          <w:szCs w:val="28"/>
          <w:highlight w:val="none"/>
        </w:rPr>
      </w:pPr>
      <w:r>
        <w:rPr>
          <w:rFonts w:hint="eastAsia"/>
          <w:color w:val="000000"/>
          <w:highlight w:val="none"/>
          <w:lang w:val="en-US" w:eastAsia="zh-CN" w:bidi="ar"/>
        </w:rPr>
        <w:t>二</w:t>
      </w:r>
      <w:r>
        <w:rPr>
          <w:rFonts w:hint="eastAsia" w:ascii="宋体" w:hAnsi="宋体"/>
          <w:b/>
          <w:bCs/>
          <w:color w:val="000000"/>
          <w:sz w:val="24"/>
          <w:highlight w:val="none"/>
        </w:rPr>
        <w:t>、</w:t>
      </w:r>
      <w:r>
        <w:rPr>
          <w:rFonts w:hint="eastAsia" w:ascii="宋体" w:hAnsi="宋体"/>
          <w:b/>
          <w:bCs/>
          <w:color w:val="000000"/>
          <w:sz w:val="24"/>
          <w:highlight w:val="none"/>
          <w:lang w:val="en-US" w:eastAsia="zh-CN"/>
        </w:rPr>
        <w:t>技术</w:t>
      </w:r>
      <w:r>
        <w:rPr>
          <w:rFonts w:hint="eastAsia" w:ascii="宋体" w:hAnsi="宋体"/>
          <w:b/>
          <w:bCs/>
          <w:color w:val="000000"/>
          <w:sz w:val="24"/>
          <w:highlight w:val="none"/>
          <w:lang w:eastAsia="zh-CN"/>
        </w:rPr>
        <w:t>文件</w:t>
      </w:r>
      <w:r>
        <w:rPr>
          <w:rFonts w:hint="eastAsia" w:ascii="宋体" w:hAnsi="宋体"/>
          <w:b/>
          <w:bCs/>
          <w:color w:val="000000"/>
          <w:sz w:val="24"/>
          <w:highlight w:val="none"/>
        </w:rPr>
        <w:t>格式</w:t>
      </w:r>
      <w:bookmarkEnd w:id="372"/>
    </w:p>
    <w:p w14:paraId="108E5560">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4A9D9498">
      <w:pPr>
        <w:jc w:val="left"/>
        <w:rPr>
          <w:rFonts w:ascii="宋体" w:hAnsi="宋体"/>
          <w:color w:val="000000"/>
          <w:kern w:val="0"/>
          <w:szCs w:val="21"/>
          <w:highlight w:val="none"/>
        </w:rPr>
      </w:pPr>
    </w:p>
    <w:p w14:paraId="0BB3EB51">
      <w:pPr>
        <w:ind w:right="840"/>
        <w:rPr>
          <w:rFonts w:ascii="宋体" w:hAnsi="宋体"/>
          <w:color w:val="000000"/>
          <w:kern w:val="0"/>
          <w:szCs w:val="21"/>
          <w:highlight w:val="none"/>
        </w:rPr>
      </w:pPr>
    </w:p>
    <w:p w14:paraId="248AA273">
      <w:pPr>
        <w:ind w:right="840"/>
        <w:rPr>
          <w:rFonts w:ascii="宋体" w:hAnsi="宋体"/>
          <w:color w:val="000000"/>
          <w:kern w:val="0"/>
          <w:szCs w:val="21"/>
          <w:highlight w:val="none"/>
        </w:rPr>
      </w:pPr>
    </w:p>
    <w:p w14:paraId="0368C784">
      <w:pPr>
        <w:jc w:val="center"/>
        <w:rPr>
          <w:rFonts w:ascii="宋体" w:hAnsi="宋体"/>
          <w:color w:val="000000"/>
          <w:kern w:val="0"/>
          <w:sz w:val="32"/>
          <w:szCs w:val="32"/>
          <w:highlight w:val="none"/>
        </w:rPr>
      </w:pPr>
    </w:p>
    <w:p w14:paraId="1F4C8314">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59867E99">
      <w:pPr>
        <w:jc w:val="center"/>
        <w:rPr>
          <w:rFonts w:ascii="宋体" w:hAnsi="宋体"/>
          <w:color w:val="000000"/>
          <w:kern w:val="0"/>
          <w:sz w:val="28"/>
          <w:szCs w:val="28"/>
          <w:highlight w:val="none"/>
        </w:rPr>
      </w:pPr>
    </w:p>
    <w:p w14:paraId="554C8E99">
      <w:pPr>
        <w:jc w:val="center"/>
        <w:rPr>
          <w:rFonts w:ascii="宋体" w:hAnsi="宋体"/>
          <w:color w:val="000000"/>
          <w:kern w:val="0"/>
          <w:sz w:val="28"/>
          <w:szCs w:val="28"/>
          <w:highlight w:val="none"/>
        </w:rPr>
      </w:pPr>
    </w:p>
    <w:p w14:paraId="30ED8702">
      <w:pPr>
        <w:jc w:val="center"/>
        <w:rPr>
          <w:rFonts w:ascii="宋体" w:hAnsi="宋体"/>
          <w:color w:val="000000"/>
          <w:kern w:val="0"/>
          <w:sz w:val="28"/>
          <w:szCs w:val="28"/>
          <w:highlight w:val="none"/>
        </w:rPr>
      </w:pPr>
    </w:p>
    <w:p w14:paraId="49722343">
      <w:pPr>
        <w:jc w:val="center"/>
        <w:rPr>
          <w:rFonts w:ascii="宋体" w:hAnsi="宋体"/>
          <w:color w:val="000000"/>
          <w:kern w:val="0"/>
          <w:sz w:val="28"/>
          <w:szCs w:val="28"/>
          <w:highlight w:val="none"/>
        </w:rPr>
      </w:pPr>
    </w:p>
    <w:p w14:paraId="4E8F232E">
      <w:pPr>
        <w:jc w:val="center"/>
        <w:rPr>
          <w:rFonts w:ascii="宋体" w:hAnsi="宋体"/>
          <w:color w:val="000000"/>
          <w:kern w:val="0"/>
          <w:sz w:val="28"/>
          <w:szCs w:val="28"/>
          <w:highlight w:val="none"/>
        </w:rPr>
      </w:pPr>
    </w:p>
    <w:p w14:paraId="032C6990">
      <w:pPr>
        <w:jc w:val="center"/>
        <w:rPr>
          <w:rFonts w:ascii="宋体" w:hAnsi="宋体"/>
          <w:color w:val="000000"/>
          <w:kern w:val="0"/>
          <w:sz w:val="28"/>
          <w:szCs w:val="28"/>
          <w:highlight w:val="none"/>
        </w:rPr>
      </w:pPr>
    </w:p>
    <w:p w14:paraId="2DE5D93A">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323219E7">
      <w:pPr>
        <w:spacing w:line="360" w:lineRule="auto"/>
        <w:jc w:val="center"/>
        <w:rPr>
          <w:rFonts w:hint="eastAsia" w:ascii="宋体" w:hAnsi="宋体" w:eastAsia="宋体"/>
          <w:color w:val="000000"/>
          <w:kern w:val="0"/>
          <w:sz w:val="36"/>
          <w:szCs w:val="36"/>
          <w:highlight w:val="none"/>
          <w:u w:val="single"/>
          <w:lang w:eastAsia="zh-CN"/>
        </w:rPr>
      </w:pPr>
      <w:r>
        <w:rPr>
          <w:rFonts w:hint="eastAsia" w:ascii="宋体" w:hAnsi="宋体"/>
          <w:color w:val="000000"/>
          <w:kern w:val="0"/>
          <w:sz w:val="36"/>
          <w:szCs w:val="36"/>
          <w:highlight w:val="none"/>
          <w:u w:val="single"/>
          <w:lang w:val="en-US" w:eastAsia="zh-CN"/>
        </w:rPr>
        <w:t>技术</w:t>
      </w:r>
      <w:r>
        <w:rPr>
          <w:rFonts w:hint="eastAsia" w:ascii="宋体" w:hAnsi="宋体"/>
          <w:color w:val="000000"/>
          <w:kern w:val="0"/>
          <w:sz w:val="36"/>
          <w:szCs w:val="36"/>
          <w:highlight w:val="none"/>
          <w:u w:val="single"/>
          <w:lang w:eastAsia="zh-CN"/>
        </w:rPr>
        <w:t>文件</w:t>
      </w:r>
    </w:p>
    <w:p w14:paraId="6EB47F46">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637B7E9E">
      <w:pPr>
        <w:rPr>
          <w:rFonts w:ascii="宋体" w:hAnsi="宋体"/>
          <w:color w:val="000000"/>
          <w:kern w:val="0"/>
          <w:sz w:val="32"/>
          <w:szCs w:val="32"/>
          <w:highlight w:val="none"/>
        </w:rPr>
      </w:pPr>
    </w:p>
    <w:p w14:paraId="76AB85E7">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1ED8E963">
      <w:pPr>
        <w:jc w:val="center"/>
        <w:rPr>
          <w:rFonts w:ascii="宋体" w:hAnsi="宋体"/>
          <w:color w:val="000000"/>
          <w:kern w:val="0"/>
          <w:sz w:val="32"/>
          <w:szCs w:val="32"/>
          <w:highlight w:val="none"/>
        </w:rPr>
      </w:pPr>
    </w:p>
    <w:p w14:paraId="1D82F094">
      <w:pPr>
        <w:jc w:val="center"/>
        <w:rPr>
          <w:rFonts w:ascii="宋体" w:hAnsi="宋体"/>
          <w:color w:val="000000"/>
          <w:kern w:val="0"/>
          <w:sz w:val="32"/>
          <w:szCs w:val="32"/>
          <w:highlight w:val="none"/>
        </w:rPr>
      </w:pPr>
    </w:p>
    <w:p w14:paraId="6FA2C105">
      <w:pPr>
        <w:rPr>
          <w:rFonts w:ascii="宋体" w:hAnsi="宋体"/>
          <w:color w:val="000000"/>
          <w:kern w:val="0"/>
          <w:sz w:val="32"/>
          <w:szCs w:val="32"/>
          <w:highlight w:val="none"/>
        </w:rPr>
      </w:pPr>
    </w:p>
    <w:p w14:paraId="1262BB39">
      <w:pPr>
        <w:jc w:val="center"/>
        <w:rPr>
          <w:rFonts w:ascii="宋体" w:hAnsi="宋体"/>
          <w:color w:val="000000"/>
          <w:kern w:val="0"/>
          <w:sz w:val="32"/>
          <w:szCs w:val="32"/>
          <w:highlight w:val="none"/>
        </w:rPr>
      </w:pPr>
    </w:p>
    <w:p w14:paraId="22A9A244">
      <w:pPr>
        <w:jc w:val="center"/>
        <w:rPr>
          <w:rFonts w:ascii="宋体" w:hAnsi="宋体"/>
          <w:color w:val="000000"/>
          <w:kern w:val="0"/>
          <w:sz w:val="32"/>
          <w:szCs w:val="32"/>
          <w:highlight w:val="none"/>
        </w:rPr>
      </w:pPr>
    </w:p>
    <w:p w14:paraId="5E04C967">
      <w:pPr>
        <w:jc w:val="center"/>
        <w:rPr>
          <w:rFonts w:ascii="宋体" w:hAnsi="宋体"/>
          <w:color w:val="000000"/>
          <w:kern w:val="0"/>
          <w:sz w:val="32"/>
          <w:szCs w:val="32"/>
          <w:highlight w:val="none"/>
        </w:rPr>
      </w:pPr>
    </w:p>
    <w:p w14:paraId="6CE8F180">
      <w:pPr>
        <w:jc w:val="center"/>
        <w:rPr>
          <w:rFonts w:ascii="宋体" w:hAnsi="宋体"/>
          <w:color w:val="000000"/>
          <w:kern w:val="0"/>
          <w:sz w:val="32"/>
          <w:szCs w:val="32"/>
          <w:highlight w:val="none"/>
        </w:rPr>
      </w:pPr>
    </w:p>
    <w:p w14:paraId="46894FFF">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09820B10">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2FB49942">
      <w:pPr>
        <w:rPr>
          <w:rFonts w:ascii="宋体" w:hAnsi="宋体"/>
          <w:color w:val="000000"/>
          <w:kern w:val="0"/>
          <w:sz w:val="28"/>
          <w:szCs w:val="28"/>
          <w:highlight w:val="none"/>
        </w:rPr>
      </w:pPr>
    </w:p>
    <w:p w14:paraId="695EDF69">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520787C0">
      <w:pPr>
        <w:numPr>
          <w:ilvl w:val="-1"/>
          <w:numId w:val="0"/>
        </w:numPr>
        <w:spacing w:before="0" w:after="0" w:afterAutospacing="0"/>
        <w:ind w:left="0" w:right="0" w:firstLine="0" w:firstLineChars="0"/>
        <w:jc w:val="left"/>
        <w:outlineLvl w:val="9"/>
        <w:rPr>
          <w:rFonts w:hint="eastAsia" w:ascii="宋体" w:hAnsi="宋体" w:eastAsia="宋体" w:cs="Times New Roman"/>
          <w:b/>
          <w:color w:val="auto"/>
          <w:sz w:val="22"/>
          <w:szCs w:val="22"/>
          <w:highlight w:val="none"/>
          <w:lang w:val="en-US" w:eastAsia="zh-CN" w:bidi="ar-SA"/>
        </w:rPr>
      </w:pPr>
      <w:r>
        <w:rPr>
          <w:rFonts w:hint="eastAsia" w:ascii="宋体" w:hAnsi="宋体" w:eastAsia="宋体" w:cs="Times New Roman"/>
          <w:b/>
          <w:color w:val="auto"/>
          <w:sz w:val="22"/>
          <w:szCs w:val="22"/>
          <w:highlight w:val="none"/>
          <w:lang w:val="en-US" w:eastAsia="zh-CN" w:bidi="ar-SA"/>
        </w:rPr>
        <w:br w:type="page"/>
      </w:r>
    </w:p>
    <w:p w14:paraId="37B44B04">
      <w:pPr>
        <w:numPr>
          <w:ilvl w:val="0"/>
          <w:numId w:val="0"/>
        </w:numPr>
        <w:spacing w:before="0" w:after="0" w:afterAutospacing="0" w:line="360" w:lineRule="auto"/>
        <w:ind w:left="0" w:right="0" w:firstLine="0" w:firstLineChars="0"/>
        <w:jc w:val="left"/>
        <w:outlineLvl w:val="9"/>
        <w:rPr>
          <w:rFonts w:hint="default" w:ascii="宋体" w:hAnsi="宋体"/>
          <w:b/>
          <w:color w:val="auto"/>
          <w:sz w:val="22"/>
          <w:szCs w:val="22"/>
          <w:highlight w:val="none"/>
          <w:lang w:val="en-US" w:eastAsia="zh-CN"/>
        </w:rPr>
      </w:pPr>
      <w:r>
        <w:rPr>
          <w:rFonts w:hint="eastAsia" w:ascii="宋体" w:hAnsi="宋体" w:eastAsia="宋体" w:cs="Times New Roman"/>
          <w:b/>
          <w:color w:val="auto"/>
          <w:sz w:val="22"/>
          <w:szCs w:val="22"/>
          <w:highlight w:val="none"/>
          <w:lang w:val="en-US" w:eastAsia="zh-CN" w:bidi="ar-SA"/>
        </w:rPr>
        <w:t>（</w:t>
      </w:r>
      <w:r>
        <w:rPr>
          <w:rFonts w:hint="eastAsia" w:ascii="宋体" w:hAnsi="宋体" w:cs="Times New Roman"/>
          <w:b/>
          <w:color w:val="auto"/>
          <w:sz w:val="22"/>
          <w:szCs w:val="22"/>
          <w:highlight w:val="none"/>
          <w:lang w:val="en-US" w:eastAsia="zh-CN" w:bidi="ar-SA"/>
        </w:rPr>
        <w:t>二</w:t>
      </w:r>
      <w:r>
        <w:rPr>
          <w:rFonts w:hint="eastAsia" w:ascii="宋体" w:hAnsi="宋体" w:eastAsia="宋体" w:cs="Times New Roman"/>
          <w:b/>
          <w:color w:val="auto"/>
          <w:sz w:val="22"/>
          <w:szCs w:val="22"/>
          <w:highlight w:val="none"/>
          <w:lang w:val="en-US" w:eastAsia="zh-CN" w:bidi="ar-SA"/>
        </w:rPr>
        <w:t>）</w:t>
      </w:r>
      <w:r>
        <w:rPr>
          <w:rFonts w:hint="eastAsia" w:ascii="宋体" w:hAnsi="宋体"/>
          <w:b/>
          <w:color w:val="auto"/>
          <w:sz w:val="22"/>
          <w:szCs w:val="22"/>
          <w:highlight w:val="none"/>
          <w:lang w:val="en-US" w:eastAsia="zh-CN"/>
        </w:rPr>
        <w:t>技术文件格式</w:t>
      </w:r>
    </w:p>
    <w:p w14:paraId="4BCC56B3">
      <w:pPr>
        <w:numPr>
          <w:ilvl w:val="0"/>
          <w:numId w:val="0"/>
        </w:numPr>
        <w:spacing w:before="0" w:after="0" w:afterAutospacing="0" w:line="360" w:lineRule="auto"/>
        <w:ind w:left="0" w:right="0" w:firstLine="0" w:firstLineChars="0"/>
        <w:jc w:val="left"/>
        <w:rPr>
          <w:rFonts w:hint="eastAsia" w:ascii="宋体" w:hAnsi="宋体" w:eastAsia="宋体" w:cs="Times New Roman"/>
          <w:b w:val="0"/>
          <w:bCs w:val="0"/>
          <w:i w:val="0"/>
          <w:iCs w:val="0"/>
          <w:color w:val="000000"/>
          <w:kern w:val="0"/>
          <w:sz w:val="22"/>
          <w:szCs w:val="22"/>
          <w:highlight w:val="none"/>
        </w:rPr>
      </w:pPr>
      <w:r>
        <w:rPr>
          <w:rFonts w:hint="eastAsia" w:ascii="宋体" w:hAnsi="宋体" w:eastAsia="宋体" w:cs="宋体"/>
          <w:b w:val="0"/>
          <w:bCs w:val="0"/>
          <w:i w:val="0"/>
          <w:iCs w:val="0"/>
          <w:color w:val="auto"/>
          <w:kern w:val="0"/>
          <w:sz w:val="22"/>
          <w:szCs w:val="22"/>
          <w:highlight w:val="none"/>
        </w:rPr>
        <w:t>投标人可根据以下内容和顺</w:t>
      </w:r>
      <w:r>
        <w:rPr>
          <w:rFonts w:hint="eastAsia" w:ascii="宋体" w:hAnsi="宋体" w:eastAsia="宋体" w:cs="Times New Roman"/>
          <w:b w:val="0"/>
          <w:bCs w:val="0"/>
          <w:i w:val="0"/>
          <w:iCs w:val="0"/>
          <w:color w:val="000000"/>
          <w:kern w:val="0"/>
          <w:sz w:val="22"/>
          <w:szCs w:val="22"/>
          <w:highlight w:val="none"/>
        </w:rPr>
        <w:t>序编排投标文件：</w:t>
      </w:r>
    </w:p>
    <w:p w14:paraId="3759445B">
      <w:pPr>
        <w:numPr>
          <w:ilvl w:val="0"/>
          <w:numId w:val="4"/>
        </w:numPr>
        <w:spacing w:line="360" w:lineRule="auto"/>
        <w:ind w:left="0" w:firstLine="0" w:firstLineChars="0"/>
        <w:jc w:val="left"/>
        <w:rPr>
          <w:rFonts w:hint="eastAsia" w:ascii="宋体" w:hAnsi="宋体"/>
          <w:bCs/>
          <w:color w:val="000000"/>
          <w:kern w:val="0"/>
          <w:sz w:val="22"/>
          <w:szCs w:val="22"/>
          <w:highlight w:val="none"/>
          <w:lang w:eastAsia="zh-CN"/>
        </w:rPr>
      </w:pPr>
      <w:r>
        <w:rPr>
          <w:rFonts w:hint="eastAsia" w:ascii="宋体" w:hAnsi="宋体"/>
          <w:bCs/>
          <w:color w:val="000000"/>
          <w:kern w:val="0"/>
          <w:sz w:val="22"/>
          <w:szCs w:val="22"/>
          <w:highlight w:val="none"/>
          <w:lang w:val="en-US" w:eastAsia="zh-CN"/>
        </w:rPr>
        <w:t>投标人基本情况一览表</w:t>
      </w:r>
      <w:r>
        <w:rPr>
          <w:rFonts w:hint="eastAsia" w:ascii="宋体" w:hAnsi="宋体"/>
          <w:bCs/>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color w:val="000000"/>
          <w:kern w:val="0"/>
          <w:sz w:val="22"/>
          <w:szCs w:val="22"/>
          <w:highlight w:val="none"/>
          <w:lang w:val="en-US" w:eastAsia="zh-CN" w:bidi="ar-SA"/>
        </w:rPr>
        <w:t>1</w:t>
      </w:r>
      <w:r>
        <w:rPr>
          <w:rFonts w:hint="eastAsia" w:ascii="宋体" w:hAnsi="宋体"/>
          <w:bCs/>
          <w:color w:val="000000"/>
          <w:kern w:val="0"/>
          <w:sz w:val="22"/>
          <w:szCs w:val="22"/>
          <w:highlight w:val="none"/>
        </w:rPr>
        <w:t>）</w:t>
      </w:r>
      <w:r>
        <w:rPr>
          <w:rFonts w:hint="eastAsia" w:ascii="宋体" w:hAnsi="宋体"/>
          <w:bCs/>
          <w:color w:val="000000"/>
          <w:kern w:val="0"/>
          <w:sz w:val="22"/>
          <w:szCs w:val="22"/>
          <w:highlight w:val="none"/>
          <w:lang w:eastAsia="zh-CN"/>
        </w:rPr>
        <w:t>；</w:t>
      </w:r>
    </w:p>
    <w:p w14:paraId="4F73B2CF">
      <w:pPr>
        <w:numPr>
          <w:ilvl w:val="0"/>
          <w:numId w:val="4"/>
        </w:numPr>
        <w:spacing w:line="360" w:lineRule="auto"/>
        <w:ind w:left="0" w:firstLine="0" w:firstLineChars="0"/>
        <w:jc w:val="left"/>
        <w:rPr>
          <w:rFonts w:hint="eastAsia" w:ascii="宋体" w:hAnsi="宋体" w:eastAsia="宋体" w:cs="Times New Roman"/>
          <w:color w:val="000000"/>
          <w:kern w:val="0"/>
          <w:sz w:val="22"/>
          <w:szCs w:val="22"/>
          <w:highlight w:val="none"/>
          <w:lang w:val="en-US" w:eastAsia="zh-CN" w:bidi="ar-SA"/>
        </w:rPr>
      </w:pPr>
      <w:r>
        <w:rPr>
          <w:rFonts w:hint="eastAsia" w:ascii="宋体" w:hAnsi="宋体" w:eastAsia="宋体" w:cs="Times New Roman"/>
          <w:color w:val="000000"/>
          <w:kern w:val="0"/>
          <w:sz w:val="22"/>
          <w:szCs w:val="22"/>
          <w:highlight w:val="none"/>
          <w:lang w:val="en-US" w:eastAsia="zh-CN" w:bidi="ar-SA"/>
        </w:rPr>
        <w:t>合同条款响应表（详见格式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color w:val="000000"/>
          <w:kern w:val="0"/>
          <w:sz w:val="22"/>
          <w:szCs w:val="22"/>
          <w:highlight w:val="none"/>
          <w:lang w:val="en-US" w:eastAsia="zh-CN" w:bidi="ar-SA"/>
        </w:rPr>
        <w:t>2</w:t>
      </w:r>
      <w:r>
        <w:rPr>
          <w:rFonts w:hint="eastAsia" w:ascii="宋体" w:hAnsi="宋体" w:eastAsia="宋体" w:cs="Times New Roman"/>
          <w:color w:val="000000"/>
          <w:kern w:val="0"/>
          <w:sz w:val="22"/>
          <w:szCs w:val="22"/>
          <w:highlight w:val="none"/>
          <w:lang w:val="en-US" w:eastAsia="zh-CN" w:bidi="ar-SA"/>
        </w:rPr>
        <w:t>）；</w:t>
      </w:r>
    </w:p>
    <w:p w14:paraId="701DDB46">
      <w:pPr>
        <w:numPr>
          <w:ilvl w:val="0"/>
          <w:numId w:val="0"/>
        </w:numPr>
        <w:spacing w:line="360" w:lineRule="auto"/>
        <w:ind w:left="0" w:firstLine="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3</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rPr>
        <w:t>技术</w:t>
      </w:r>
      <w:r>
        <w:rPr>
          <w:rFonts w:hint="eastAsia" w:ascii="宋体" w:hAnsi="宋体" w:eastAsia="宋体" w:cs="Times New Roman"/>
          <w:color w:val="000000"/>
          <w:kern w:val="0"/>
          <w:sz w:val="22"/>
          <w:szCs w:val="22"/>
          <w:highlight w:val="none"/>
          <w:lang w:val="en-US" w:eastAsia="zh-CN"/>
        </w:rPr>
        <w:t>条款响应表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3</w:t>
      </w:r>
      <w:r>
        <w:rPr>
          <w:rFonts w:hint="eastAsia" w:ascii="宋体" w:hAnsi="宋体" w:eastAsia="宋体" w:cs="Times New Roman"/>
          <w:b w:val="0"/>
          <w:color w:val="000000"/>
          <w:kern w:val="0"/>
          <w:sz w:val="22"/>
          <w:szCs w:val="22"/>
          <w:highlight w:val="none"/>
        </w:rPr>
        <w:t>）</w:t>
      </w:r>
      <w:r>
        <w:rPr>
          <w:rFonts w:hint="eastAsia" w:ascii="宋体" w:hAnsi="宋体"/>
          <w:color w:val="000000"/>
          <w:kern w:val="0"/>
          <w:sz w:val="22"/>
          <w:szCs w:val="22"/>
          <w:highlight w:val="none"/>
        </w:rPr>
        <w:t>；</w:t>
      </w:r>
    </w:p>
    <w:p w14:paraId="3E7BA313">
      <w:pPr>
        <w:numPr>
          <w:ilvl w:val="0"/>
          <w:numId w:val="0"/>
        </w:numPr>
        <w:spacing w:line="360" w:lineRule="auto"/>
        <w:ind w:left="0" w:firstLine="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4</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按期交货承诺书（详见格式</w:t>
      </w:r>
      <w:r>
        <w:rPr>
          <w:rFonts w:hint="eastAsia" w:ascii="宋体" w:hAnsi="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4</w:t>
      </w:r>
      <w:r>
        <w:rPr>
          <w:rFonts w:hint="eastAsia" w:ascii="宋体" w:hAnsi="宋体"/>
          <w:color w:val="000000"/>
          <w:kern w:val="0"/>
          <w:sz w:val="22"/>
          <w:szCs w:val="22"/>
          <w:highlight w:val="none"/>
        </w:rPr>
        <w:t>）；</w:t>
      </w:r>
    </w:p>
    <w:p w14:paraId="710D8735">
      <w:pPr>
        <w:numPr>
          <w:ilvl w:val="0"/>
          <w:numId w:val="0"/>
        </w:numPr>
        <w:spacing w:line="360" w:lineRule="auto"/>
        <w:ind w:left="0" w:firstLine="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5</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售后服务承诺书（详见格式</w:t>
      </w:r>
      <w:r>
        <w:rPr>
          <w:rFonts w:hint="eastAsia" w:ascii="宋体" w:hAnsi="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5</w:t>
      </w:r>
      <w:r>
        <w:rPr>
          <w:rFonts w:hint="eastAsia" w:ascii="宋体" w:hAnsi="宋体"/>
          <w:color w:val="000000"/>
          <w:kern w:val="0"/>
          <w:sz w:val="22"/>
          <w:szCs w:val="22"/>
          <w:highlight w:val="none"/>
        </w:rPr>
        <w:t>）；</w:t>
      </w:r>
    </w:p>
    <w:p w14:paraId="4E8C58B9">
      <w:pPr>
        <w:spacing w:line="360" w:lineRule="auto"/>
        <w:jc w:val="left"/>
        <w:rPr>
          <w:rFonts w:hint="eastAsia" w:ascii="宋体" w:hAnsi="宋体" w:eastAsia="宋体" w:cs="Times New Roman"/>
          <w:color w:val="000000"/>
          <w:kern w:val="0"/>
          <w:sz w:val="22"/>
          <w:szCs w:val="22"/>
          <w:highlight w:val="none"/>
          <w:lang w:val="en-US" w:eastAsia="zh-CN" w:bidi="ar-SA"/>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6</w:t>
      </w:r>
      <w:r>
        <w:rPr>
          <w:rFonts w:hint="eastAsia" w:ascii="宋体" w:hAnsi="宋体" w:eastAsia="宋体" w:cs="Times New Roman"/>
          <w:color w:val="000000"/>
          <w:kern w:val="0"/>
          <w:sz w:val="22"/>
          <w:szCs w:val="22"/>
          <w:highlight w:val="none"/>
          <w:lang w:val="en-US" w:eastAsia="zh-CN" w:bidi="ar-SA"/>
        </w:rPr>
        <w:t>）拟投入本项目人员情况表</w:t>
      </w:r>
      <w:r>
        <w:rPr>
          <w:rFonts w:hint="eastAsia" w:ascii="宋体" w:hAnsi="宋体"/>
          <w:color w:val="000000"/>
          <w:kern w:val="0"/>
          <w:sz w:val="22"/>
          <w:szCs w:val="22"/>
          <w:highlight w:val="none"/>
        </w:rPr>
        <w:t>（详见格式</w:t>
      </w:r>
      <w:r>
        <w:rPr>
          <w:rFonts w:hint="eastAsia" w:ascii="宋体" w:hAnsi="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6</w:t>
      </w:r>
      <w:r>
        <w:rPr>
          <w:rFonts w:hint="eastAsia" w:ascii="宋体" w:hAnsi="宋体"/>
          <w:color w:val="000000"/>
          <w:kern w:val="0"/>
          <w:sz w:val="22"/>
          <w:szCs w:val="22"/>
          <w:highlight w:val="none"/>
        </w:rPr>
        <w:t>）</w:t>
      </w:r>
      <w:r>
        <w:rPr>
          <w:rFonts w:hint="eastAsia" w:ascii="宋体" w:hAnsi="宋体" w:eastAsia="宋体" w:cs="Times New Roman"/>
          <w:b w:val="0"/>
          <w:bCs w:val="0"/>
          <w:i w:val="0"/>
          <w:iCs w:val="0"/>
          <w:color w:val="000000"/>
          <w:kern w:val="0"/>
          <w:sz w:val="22"/>
          <w:szCs w:val="22"/>
          <w:highlight w:val="none"/>
          <w:lang w:val="en-US" w:eastAsia="zh-CN"/>
        </w:rPr>
        <w:t>；</w:t>
      </w:r>
    </w:p>
    <w:p w14:paraId="4C729037">
      <w:pPr>
        <w:spacing w:line="360" w:lineRule="auto"/>
        <w:jc w:val="left"/>
        <w:rPr>
          <w:rFonts w:hint="eastAsia" w:ascii="宋体" w:hAnsi="宋体" w:eastAsia="宋体" w:cs="Times New Roman"/>
          <w:b w:val="0"/>
          <w:bCs w:val="0"/>
          <w:i w:val="0"/>
          <w:iCs w:val="0"/>
          <w:color w:val="000000"/>
          <w:kern w:val="0"/>
          <w:sz w:val="22"/>
          <w:szCs w:val="22"/>
          <w:highlight w:val="none"/>
          <w:lang w:val="en-US" w:eastAsia="zh-CN"/>
        </w:rPr>
      </w:pPr>
      <w:r>
        <w:rPr>
          <w:rFonts w:hint="eastAsia" w:ascii="宋体" w:hAnsi="宋体" w:cs="Times New Roman"/>
          <w:b w:val="0"/>
          <w:bCs w:val="0"/>
          <w:i w:val="0"/>
          <w:iCs w:val="0"/>
          <w:color w:val="000000"/>
          <w:kern w:val="0"/>
          <w:sz w:val="22"/>
          <w:szCs w:val="22"/>
          <w:highlight w:val="none"/>
          <w:lang w:val="zh-CN"/>
        </w:rPr>
        <w:t>（</w:t>
      </w:r>
      <w:r>
        <w:rPr>
          <w:rFonts w:hint="eastAsia" w:ascii="宋体" w:hAnsi="宋体" w:cs="Times New Roman"/>
          <w:b w:val="0"/>
          <w:bCs w:val="0"/>
          <w:i w:val="0"/>
          <w:iCs w:val="0"/>
          <w:color w:val="000000"/>
          <w:kern w:val="0"/>
          <w:sz w:val="22"/>
          <w:szCs w:val="22"/>
          <w:highlight w:val="none"/>
          <w:lang w:val="en-US" w:eastAsia="zh-CN"/>
        </w:rPr>
        <w:t>7</w:t>
      </w:r>
      <w:r>
        <w:rPr>
          <w:rFonts w:hint="eastAsia" w:ascii="宋体" w:hAnsi="宋体" w:cs="Times New Roman"/>
          <w:b w:val="0"/>
          <w:bCs w:val="0"/>
          <w:i w:val="0"/>
          <w:iCs w:val="0"/>
          <w:color w:val="000000"/>
          <w:kern w:val="0"/>
          <w:sz w:val="22"/>
          <w:szCs w:val="22"/>
          <w:highlight w:val="none"/>
          <w:lang w:val="zh-CN"/>
        </w:rPr>
        <w:t>）售后服务方案</w:t>
      </w:r>
      <w:r>
        <w:rPr>
          <w:rFonts w:hint="eastAsia" w:ascii="宋体" w:hAnsi="宋体"/>
          <w:color w:val="000000"/>
          <w:kern w:val="0"/>
          <w:sz w:val="22"/>
          <w:szCs w:val="22"/>
          <w:highlight w:val="none"/>
        </w:rPr>
        <w:t>（详见格式</w:t>
      </w:r>
      <w:r>
        <w:rPr>
          <w:rFonts w:hint="eastAsia" w:ascii="宋体" w:hAnsi="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7</w:t>
      </w:r>
      <w:r>
        <w:rPr>
          <w:rFonts w:hint="eastAsia" w:ascii="宋体" w:hAnsi="宋体"/>
          <w:color w:val="000000"/>
          <w:kern w:val="0"/>
          <w:sz w:val="22"/>
          <w:szCs w:val="22"/>
          <w:highlight w:val="none"/>
        </w:rPr>
        <w:t>）</w:t>
      </w:r>
      <w:r>
        <w:rPr>
          <w:rFonts w:hint="eastAsia" w:ascii="宋体" w:hAnsi="宋体" w:eastAsia="宋体" w:cs="Times New Roman"/>
          <w:b w:val="0"/>
          <w:bCs w:val="0"/>
          <w:i w:val="0"/>
          <w:iCs w:val="0"/>
          <w:color w:val="000000"/>
          <w:kern w:val="0"/>
          <w:sz w:val="22"/>
          <w:szCs w:val="22"/>
          <w:highlight w:val="none"/>
          <w:lang w:val="en-US" w:eastAsia="zh-CN"/>
        </w:rPr>
        <w:t>；</w:t>
      </w:r>
    </w:p>
    <w:p w14:paraId="7824A3E4">
      <w:pPr>
        <w:spacing w:line="360" w:lineRule="auto"/>
        <w:rPr>
          <w:rFonts w:hint="eastAsia" w:ascii="宋体" w:hAnsi="宋体" w:eastAsia="宋体" w:cs="Times New Roman"/>
          <w:b w:val="0"/>
          <w:bCs w:val="0"/>
          <w:i w:val="0"/>
          <w:iCs w:val="0"/>
          <w:color w:val="000000"/>
          <w:kern w:val="0"/>
          <w:sz w:val="22"/>
          <w:szCs w:val="22"/>
          <w:highlight w:val="none"/>
          <w:lang w:val="en-US" w:eastAsia="zh-CN"/>
        </w:rPr>
      </w:pPr>
      <w:r>
        <w:rPr>
          <w:rFonts w:hint="eastAsia" w:ascii="宋体" w:hAnsi="宋体" w:eastAsia="宋体" w:cs="Times New Roman"/>
          <w:b w:val="0"/>
          <w:bCs w:val="0"/>
          <w:i w:val="0"/>
          <w:iCs w:val="0"/>
          <w:color w:val="000000"/>
          <w:kern w:val="0"/>
          <w:sz w:val="22"/>
          <w:szCs w:val="22"/>
          <w:highlight w:val="none"/>
          <w:lang w:val="en-US" w:eastAsia="zh-CN" w:bidi="ar-SA"/>
        </w:rPr>
        <w:t>（</w:t>
      </w:r>
      <w:r>
        <w:rPr>
          <w:rFonts w:hint="eastAsia" w:ascii="宋体" w:hAnsi="宋体" w:cs="Times New Roman"/>
          <w:b w:val="0"/>
          <w:bCs w:val="0"/>
          <w:i w:val="0"/>
          <w:iCs w:val="0"/>
          <w:color w:val="000000"/>
          <w:kern w:val="0"/>
          <w:sz w:val="22"/>
          <w:szCs w:val="22"/>
          <w:highlight w:val="none"/>
          <w:lang w:val="en-US" w:eastAsia="zh-CN" w:bidi="ar-SA"/>
        </w:rPr>
        <w:t>7</w:t>
      </w:r>
      <w:r>
        <w:rPr>
          <w:rFonts w:hint="eastAsia" w:ascii="宋体" w:hAnsi="宋体" w:eastAsia="宋体" w:cs="Times New Roman"/>
          <w:b w:val="0"/>
          <w:bCs w:val="0"/>
          <w:i w:val="0"/>
          <w:iCs w:val="0"/>
          <w:color w:val="000000"/>
          <w:kern w:val="0"/>
          <w:sz w:val="22"/>
          <w:szCs w:val="22"/>
          <w:highlight w:val="none"/>
          <w:lang w:val="en-US" w:eastAsia="zh-CN" w:bidi="ar-SA"/>
        </w:rPr>
        <w:t>）</w:t>
      </w:r>
      <w:r>
        <w:rPr>
          <w:rFonts w:hint="eastAsia" w:ascii="宋体" w:hAnsi="宋体" w:cs="Times New Roman"/>
          <w:b w:val="0"/>
          <w:bCs w:val="0"/>
          <w:i w:val="0"/>
          <w:iCs w:val="0"/>
          <w:color w:val="000000"/>
          <w:kern w:val="0"/>
          <w:sz w:val="22"/>
          <w:szCs w:val="22"/>
          <w:highlight w:val="none"/>
          <w:lang w:val="zh-CN"/>
        </w:rPr>
        <w:t>应急供货服务方案</w:t>
      </w:r>
      <w:r>
        <w:rPr>
          <w:rFonts w:hint="eastAsia" w:ascii="宋体" w:hAnsi="宋体"/>
          <w:color w:val="000000"/>
          <w:kern w:val="0"/>
          <w:sz w:val="22"/>
          <w:szCs w:val="22"/>
          <w:highlight w:val="none"/>
        </w:rPr>
        <w:t>（详见格式</w:t>
      </w:r>
      <w:r>
        <w:rPr>
          <w:rFonts w:hint="eastAsia" w:ascii="宋体" w:hAnsi="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8</w:t>
      </w:r>
      <w:r>
        <w:rPr>
          <w:rFonts w:hint="eastAsia" w:ascii="宋体" w:hAnsi="宋体"/>
          <w:color w:val="000000"/>
          <w:kern w:val="0"/>
          <w:sz w:val="22"/>
          <w:szCs w:val="22"/>
          <w:highlight w:val="none"/>
        </w:rPr>
        <w:t>）</w:t>
      </w:r>
      <w:r>
        <w:rPr>
          <w:rFonts w:hint="eastAsia" w:ascii="宋体" w:hAnsi="宋体" w:eastAsia="宋体" w:cs="Times New Roman"/>
          <w:b w:val="0"/>
          <w:bCs w:val="0"/>
          <w:i w:val="0"/>
          <w:iCs w:val="0"/>
          <w:color w:val="000000"/>
          <w:kern w:val="0"/>
          <w:sz w:val="22"/>
          <w:szCs w:val="22"/>
          <w:highlight w:val="none"/>
          <w:lang w:val="en-US" w:eastAsia="zh-CN"/>
        </w:rPr>
        <w:t>；</w:t>
      </w:r>
    </w:p>
    <w:p w14:paraId="376B535F">
      <w:pPr>
        <w:spacing w:line="360" w:lineRule="auto"/>
        <w:rPr>
          <w:rFonts w:hint="eastAsia" w:ascii="宋体" w:hAnsi="宋体" w:eastAsia="宋体" w:cs="Times New Roman"/>
          <w:b w:val="0"/>
          <w:bCs w:val="0"/>
          <w:i w:val="0"/>
          <w:iCs w:val="0"/>
          <w:color w:val="000000"/>
          <w:kern w:val="0"/>
          <w:sz w:val="22"/>
          <w:szCs w:val="22"/>
          <w:highlight w:val="none"/>
          <w:lang w:val="en-US" w:eastAsia="zh-CN"/>
        </w:rPr>
      </w:pPr>
      <w:r>
        <w:rPr>
          <w:rFonts w:hint="eastAsia" w:ascii="宋体" w:hAnsi="宋体" w:eastAsia="宋体" w:cs="Times New Roman"/>
          <w:b w:val="0"/>
          <w:bCs w:val="0"/>
          <w:i w:val="0"/>
          <w:iCs w:val="0"/>
          <w:color w:val="000000"/>
          <w:kern w:val="0"/>
          <w:sz w:val="22"/>
          <w:szCs w:val="22"/>
          <w:highlight w:val="none"/>
          <w:lang w:val="en-US" w:eastAsia="zh-CN" w:bidi="ar-SA"/>
        </w:rPr>
        <w:t>（</w:t>
      </w:r>
      <w:r>
        <w:rPr>
          <w:rFonts w:hint="eastAsia" w:ascii="宋体" w:hAnsi="宋体" w:cs="Times New Roman"/>
          <w:b w:val="0"/>
          <w:bCs w:val="0"/>
          <w:i w:val="0"/>
          <w:iCs w:val="0"/>
          <w:color w:val="000000"/>
          <w:kern w:val="0"/>
          <w:sz w:val="22"/>
          <w:szCs w:val="22"/>
          <w:highlight w:val="none"/>
          <w:lang w:val="en-US" w:eastAsia="zh-CN" w:bidi="ar-SA"/>
        </w:rPr>
        <w:t>8</w:t>
      </w:r>
      <w:r>
        <w:rPr>
          <w:rFonts w:hint="eastAsia" w:ascii="宋体" w:hAnsi="宋体" w:eastAsia="宋体" w:cs="Times New Roman"/>
          <w:b w:val="0"/>
          <w:bCs w:val="0"/>
          <w:i w:val="0"/>
          <w:iCs w:val="0"/>
          <w:color w:val="000000"/>
          <w:kern w:val="0"/>
          <w:sz w:val="22"/>
          <w:szCs w:val="22"/>
          <w:highlight w:val="none"/>
          <w:lang w:val="en-US" w:eastAsia="zh-CN" w:bidi="ar-SA"/>
        </w:rPr>
        <w:t>）</w:t>
      </w:r>
      <w:r>
        <w:rPr>
          <w:rFonts w:hint="eastAsia" w:ascii="宋体" w:hAnsi="宋体" w:eastAsia="宋体" w:cs="Times New Roman"/>
          <w:b w:val="0"/>
          <w:bCs w:val="0"/>
          <w:i w:val="0"/>
          <w:iCs w:val="0"/>
          <w:color w:val="000000"/>
          <w:kern w:val="0"/>
          <w:sz w:val="22"/>
          <w:szCs w:val="22"/>
          <w:highlight w:val="none"/>
          <w:u w:val="none"/>
          <w:lang w:val="zh-CN" w:eastAsia="zh-CN" w:bidi="ar"/>
        </w:rPr>
        <w:t>质量保证措施、安全保证措施</w:t>
      </w:r>
      <w:r>
        <w:rPr>
          <w:rFonts w:hint="eastAsia" w:ascii="宋体" w:hAnsi="宋体"/>
          <w:color w:val="000000"/>
          <w:kern w:val="0"/>
          <w:sz w:val="22"/>
          <w:szCs w:val="22"/>
          <w:highlight w:val="none"/>
        </w:rPr>
        <w:t>（详见格式</w:t>
      </w:r>
      <w:r>
        <w:rPr>
          <w:rFonts w:hint="eastAsia" w:ascii="宋体" w:hAnsi="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9</w:t>
      </w:r>
      <w:r>
        <w:rPr>
          <w:rFonts w:hint="eastAsia" w:ascii="宋体" w:hAnsi="宋体"/>
          <w:color w:val="000000"/>
          <w:kern w:val="0"/>
          <w:sz w:val="22"/>
          <w:szCs w:val="22"/>
          <w:highlight w:val="none"/>
        </w:rPr>
        <w:t>）</w:t>
      </w:r>
      <w:r>
        <w:rPr>
          <w:rFonts w:hint="eastAsia" w:ascii="宋体" w:hAnsi="宋体" w:eastAsia="宋体" w:cs="Times New Roman"/>
          <w:b w:val="0"/>
          <w:bCs w:val="0"/>
          <w:i w:val="0"/>
          <w:iCs w:val="0"/>
          <w:color w:val="000000"/>
          <w:kern w:val="0"/>
          <w:sz w:val="22"/>
          <w:szCs w:val="22"/>
          <w:highlight w:val="none"/>
          <w:lang w:val="en-US" w:eastAsia="zh-CN"/>
        </w:rPr>
        <w:t>；</w:t>
      </w:r>
    </w:p>
    <w:p w14:paraId="132BE2CD">
      <w:pPr>
        <w:pStyle w:val="47"/>
        <w:numPr>
          <w:ilvl w:val="0"/>
          <w:numId w:val="0"/>
        </w:numPr>
        <w:spacing w:before="0" w:after="0" w:line="360" w:lineRule="auto"/>
        <w:ind w:left="0" w:right="0"/>
        <w:rPr>
          <w:rFonts w:hint="eastAsia" w:ascii="宋体" w:hAnsi="宋体" w:cs="宋体"/>
          <w:b w:val="0"/>
          <w:bCs w:val="0"/>
          <w:i w:val="0"/>
          <w:iCs w:val="0"/>
          <w:color w:val="auto"/>
          <w:sz w:val="22"/>
          <w:szCs w:val="22"/>
          <w:highlight w:val="none"/>
          <w:lang w:val="en-US" w:eastAsia="zh-CN"/>
        </w:rPr>
      </w:pPr>
      <w:r>
        <w:rPr>
          <w:rFonts w:hint="default" w:ascii="宋体" w:hAnsi="宋体" w:eastAsia="Times New Roman" w:cs="宋体"/>
          <w:b w:val="0"/>
          <w:bCs w:val="0"/>
          <w:i w:val="0"/>
          <w:iCs w:val="0"/>
          <w:color w:val="auto"/>
          <w:sz w:val="22"/>
          <w:szCs w:val="22"/>
          <w:lang w:val="en-US" w:eastAsia="zh-CN" w:bidi="ar-SA"/>
        </w:rPr>
        <w:t>（</w:t>
      </w:r>
      <w:r>
        <w:rPr>
          <w:rFonts w:hint="eastAsia" w:ascii="宋体" w:hAnsi="宋体" w:cs="宋体"/>
          <w:b w:val="0"/>
          <w:bCs w:val="0"/>
          <w:i w:val="0"/>
          <w:iCs w:val="0"/>
          <w:color w:val="auto"/>
          <w:sz w:val="22"/>
          <w:szCs w:val="22"/>
          <w:lang w:val="en-US" w:eastAsia="zh-CN" w:bidi="ar-SA"/>
        </w:rPr>
        <w:t>9</w:t>
      </w:r>
      <w:r>
        <w:rPr>
          <w:rFonts w:hint="default" w:ascii="宋体" w:hAnsi="宋体" w:eastAsia="Times New Roman" w:cs="宋体"/>
          <w:b w:val="0"/>
          <w:bCs w:val="0"/>
          <w:i w:val="0"/>
          <w:iCs w:val="0"/>
          <w:color w:val="auto"/>
          <w:sz w:val="22"/>
          <w:szCs w:val="22"/>
          <w:lang w:val="en-US" w:eastAsia="zh-CN" w:bidi="ar-SA"/>
        </w:rPr>
        <w:t>）</w:t>
      </w:r>
      <w:r>
        <w:rPr>
          <w:rFonts w:hint="eastAsia" w:ascii="宋体" w:hAnsi="宋体" w:cs="宋体"/>
          <w:b w:val="0"/>
          <w:bCs w:val="0"/>
          <w:i w:val="0"/>
          <w:iCs w:val="0"/>
          <w:color w:val="auto"/>
          <w:sz w:val="22"/>
          <w:szCs w:val="22"/>
          <w:highlight w:val="none"/>
          <w:u w:val="none"/>
          <w:lang w:val="zh-CN" w:eastAsia="zh-CN" w:bidi="ar"/>
        </w:rPr>
        <w:t>投标人认为需要提交的其他</w:t>
      </w:r>
      <w:r>
        <w:rPr>
          <w:rFonts w:hint="eastAsia" w:ascii="宋体" w:hAnsi="宋体" w:cs="宋体"/>
          <w:b w:val="0"/>
          <w:bCs w:val="0"/>
          <w:i w:val="0"/>
          <w:iCs w:val="0"/>
          <w:color w:val="auto"/>
          <w:sz w:val="22"/>
          <w:szCs w:val="22"/>
          <w:highlight w:val="none"/>
          <w:lang w:val="en-US" w:eastAsia="zh-CN"/>
        </w:rPr>
        <w:t>资料（详见格式B10）。（如有）</w:t>
      </w:r>
    </w:p>
    <w:p w14:paraId="4F6335C7">
      <w:pPr>
        <w:keepNext w:val="0"/>
        <w:keepLines w:val="0"/>
        <w:widowControl/>
        <w:spacing w:before="0" w:beforeLines="-2147483648" w:after="0" w:line="240" w:lineRule="auto"/>
        <w:ind w:left="0" w:leftChars="0" w:right="0" w:rightChars="0" w:firstLine="0"/>
        <w:jc w:val="left"/>
        <w:outlineLvl w:val="9"/>
        <w:rPr>
          <w:rFonts w:hint="eastAsia"/>
          <w:color w:val="000000"/>
          <w:highlight w:val="none"/>
          <w:lang w:val="en-US" w:eastAsia="zh-CN"/>
        </w:rPr>
      </w:pPr>
      <w:r>
        <w:rPr>
          <w:rFonts w:hint="eastAsia"/>
          <w:color w:val="000000"/>
          <w:highlight w:val="none"/>
          <w:lang w:val="en-US" w:eastAsia="zh-CN"/>
        </w:rPr>
        <w:br w:type="page"/>
      </w:r>
    </w:p>
    <w:p w14:paraId="55D05461">
      <w:pPr>
        <w:spacing w:line="360" w:lineRule="auto"/>
        <w:ind w:firstLine="0" w:firstLineChars="0"/>
        <w:jc w:val="left"/>
        <w:outlineLvl w:val="2"/>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w:t>
      </w:r>
      <w:r>
        <w:rPr>
          <w:rFonts w:hint="eastAsia" w:ascii="宋体" w:hAnsi="宋体" w:eastAsia="宋体" w:cs="宋体"/>
          <w:b w:val="0"/>
          <w:sz w:val="24"/>
          <w:szCs w:val="24"/>
          <w:highlight w:val="none"/>
        </w:rPr>
        <w:t>1：投标人基本情况一览表格式</w:t>
      </w:r>
    </w:p>
    <w:p w14:paraId="49D9D098">
      <w:pPr>
        <w:widowControl/>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投标人基本情况一览表</w:t>
      </w:r>
    </w:p>
    <w:tbl>
      <w:tblPr>
        <w:tblStyle w:val="49"/>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1"/>
        <w:gridCol w:w="175"/>
        <w:gridCol w:w="3040"/>
        <w:gridCol w:w="3264"/>
      </w:tblGrid>
      <w:tr w14:paraId="0C48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406" w:type="dxa"/>
            <w:gridSpan w:val="2"/>
            <w:noWrap w:val="0"/>
            <w:vAlign w:val="center"/>
          </w:tcPr>
          <w:p w14:paraId="46236CB9">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公司名称</w:t>
            </w:r>
          </w:p>
        </w:tc>
        <w:tc>
          <w:tcPr>
            <w:tcW w:w="6304" w:type="dxa"/>
            <w:gridSpan w:val="2"/>
            <w:noWrap w:val="0"/>
            <w:vAlign w:val="center"/>
          </w:tcPr>
          <w:p w14:paraId="277C1C8E">
            <w:pPr>
              <w:rPr>
                <w:rFonts w:hint="eastAsia" w:ascii="宋体" w:hAnsi="宋体" w:eastAsia="宋体" w:cs="宋体"/>
                <w:color w:val="000000"/>
                <w:kern w:val="0"/>
                <w:sz w:val="22"/>
                <w:szCs w:val="22"/>
                <w:highlight w:val="none"/>
              </w:rPr>
            </w:pPr>
          </w:p>
        </w:tc>
      </w:tr>
      <w:tr w14:paraId="3ACF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22169C0D">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注册资本金</w:t>
            </w:r>
          </w:p>
        </w:tc>
        <w:tc>
          <w:tcPr>
            <w:tcW w:w="6304" w:type="dxa"/>
            <w:gridSpan w:val="2"/>
            <w:noWrap w:val="0"/>
            <w:vAlign w:val="center"/>
          </w:tcPr>
          <w:p w14:paraId="4F5E39FE">
            <w:pPr>
              <w:rPr>
                <w:rFonts w:hint="eastAsia" w:ascii="宋体" w:hAnsi="宋体" w:eastAsia="宋体" w:cs="宋体"/>
                <w:color w:val="000000"/>
                <w:kern w:val="0"/>
                <w:sz w:val="22"/>
                <w:szCs w:val="22"/>
                <w:highlight w:val="none"/>
              </w:rPr>
            </w:pPr>
          </w:p>
        </w:tc>
      </w:tr>
      <w:tr w14:paraId="7382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BF6B40F">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主要业务范围</w:t>
            </w:r>
          </w:p>
        </w:tc>
        <w:tc>
          <w:tcPr>
            <w:tcW w:w="6304" w:type="dxa"/>
            <w:gridSpan w:val="2"/>
            <w:noWrap w:val="0"/>
            <w:vAlign w:val="center"/>
          </w:tcPr>
          <w:p w14:paraId="17C7A0D6">
            <w:pPr>
              <w:rPr>
                <w:rFonts w:hint="eastAsia" w:ascii="宋体" w:hAnsi="宋体" w:eastAsia="宋体" w:cs="宋体"/>
                <w:color w:val="000000"/>
                <w:kern w:val="0"/>
                <w:sz w:val="22"/>
                <w:szCs w:val="22"/>
                <w:highlight w:val="none"/>
              </w:rPr>
            </w:pPr>
          </w:p>
        </w:tc>
      </w:tr>
      <w:tr w14:paraId="47D6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2A1C77BD">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企业性质</w:t>
            </w:r>
          </w:p>
        </w:tc>
        <w:tc>
          <w:tcPr>
            <w:tcW w:w="6304" w:type="dxa"/>
            <w:gridSpan w:val="2"/>
            <w:noWrap w:val="0"/>
            <w:vAlign w:val="center"/>
          </w:tcPr>
          <w:p w14:paraId="2D91CD9F">
            <w:pPr>
              <w:rPr>
                <w:rFonts w:hint="eastAsia" w:ascii="宋体" w:hAnsi="宋体" w:eastAsia="宋体" w:cs="宋体"/>
                <w:color w:val="000000"/>
                <w:kern w:val="0"/>
                <w:sz w:val="22"/>
                <w:szCs w:val="22"/>
                <w:highlight w:val="none"/>
              </w:rPr>
            </w:pPr>
          </w:p>
        </w:tc>
      </w:tr>
      <w:tr w14:paraId="670F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25CB95C1">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营业执照</w:t>
            </w:r>
          </w:p>
        </w:tc>
        <w:tc>
          <w:tcPr>
            <w:tcW w:w="6304" w:type="dxa"/>
            <w:gridSpan w:val="2"/>
            <w:noWrap w:val="0"/>
            <w:vAlign w:val="center"/>
          </w:tcPr>
          <w:p w14:paraId="3B47A2AF">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1.编号：     2.营业范围：       3.发照单位：</w:t>
            </w:r>
          </w:p>
        </w:tc>
      </w:tr>
      <w:tr w14:paraId="30C2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552E92FE">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通过质量管理体系认证</w:t>
            </w:r>
          </w:p>
        </w:tc>
        <w:tc>
          <w:tcPr>
            <w:tcW w:w="6304" w:type="dxa"/>
            <w:gridSpan w:val="2"/>
            <w:noWrap w:val="0"/>
            <w:vAlign w:val="center"/>
          </w:tcPr>
          <w:p w14:paraId="2E38D69D">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1.是         2.否</w:t>
            </w:r>
          </w:p>
        </w:tc>
      </w:tr>
      <w:tr w14:paraId="0917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9710" w:type="dxa"/>
            <w:gridSpan w:val="4"/>
            <w:noWrap w:val="0"/>
            <w:vAlign w:val="center"/>
          </w:tcPr>
          <w:p w14:paraId="025E70F2">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公司近3年营业额情况（万元）</w:t>
            </w:r>
          </w:p>
        </w:tc>
      </w:tr>
      <w:tr w14:paraId="4E30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231" w:type="dxa"/>
            <w:noWrap w:val="0"/>
            <w:vAlign w:val="center"/>
          </w:tcPr>
          <w:p w14:paraId="0E5DDE06">
            <w:pPr>
              <w:jc w:val="center"/>
              <w:rPr>
                <w:rFonts w:hint="default" w:ascii="宋体" w:hAnsi="宋体" w:eastAsia="宋体" w:cs="宋体"/>
                <w:color w:val="000000"/>
                <w:kern w:val="0"/>
                <w:sz w:val="22"/>
                <w:szCs w:val="22"/>
                <w:highlight w:val="none"/>
                <w:u w:val="single"/>
                <w:lang w:val="en-US" w:eastAsia="zh-CN"/>
              </w:rPr>
            </w:pPr>
            <w:r>
              <w:rPr>
                <w:rFonts w:hint="eastAsia" w:ascii="宋体" w:hAnsi="宋体" w:cs="宋体"/>
                <w:color w:val="000000"/>
                <w:kern w:val="0"/>
                <w:sz w:val="22"/>
                <w:szCs w:val="22"/>
                <w:highlight w:val="none"/>
                <w:u w:val="none"/>
                <w:lang w:val="en-US" w:eastAsia="zh-CN"/>
              </w:rPr>
              <w:t>2022年</w:t>
            </w:r>
          </w:p>
        </w:tc>
        <w:tc>
          <w:tcPr>
            <w:tcW w:w="3215" w:type="dxa"/>
            <w:gridSpan w:val="2"/>
            <w:noWrap w:val="0"/>
            <w:vAlign w:val="center"/>
          </w:tcPr>
          <w:p w14:paraId="70A48949">
            <w:pPr>
              <w:jc w:val="center"/>
              <w:rPr>
                <w:rFonts w:hint="eastAsia" w:ascii="宋体" w:hAnsi="宋体" w:eastAsia="宋体" w:cs="宋体"/>
                <w:color w:val="000000"/>
                <w:kern w:val="0"/>
                <w:sz w:val="22"/>
                <w:szCs w:val="22"/>
                <w:highlight w:val="none"/>
                <w:u w:val="single"/>
              </w:rPr>
            </w:pPr>
          </w:p>
        </w:tc>
        <w:tc>
          <w:tcPr>
            <w:tcW w:w="3264" w:type="dxa"/>
            <w:noWrap w:val="0"/>
            <w:vAlign w:val="center"/>
          </w:tcPr>
          <w:p w14:paraId="7DE59F29">
            <w:pPr>
              <w:rPr>
                <w:rFonts w:hint="eastAsia" w:ascii="宋体" w:hAnsi="宋体" w:eastAsia="宋体" w:cs="宋体"/>
                <w:color w:val="000000"/>
                <w:kern w:val="0"/>
                <w:sz w:val="22"/>
                <w:szCs w:val="22"/>
                <w:highlight w:val="none"/>
                <w:u w:val="single"/>
              </w:rPr>
            </w:pPr>
          </w:p>
        </w:tc>
      </w:tr>
      <w:tr w14:paraId="2376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0337AB13">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2023年</w:t>
            </w:r>
          </w:p>
        </w:tc>
        <w:tc>
          <w:tcPr>
            <w:tcW w:w="3215" w:type="dxa"/>
            <w:gridSpan w:val="2"/>
            <w:noWrap w:val="0"/>
            <w:vAlign w:val="center"/>
          </w:tcPr>
          <w:p w14:paraId="475485A3">
            <w:pPr>
              <w:rPr>
                <w:rFonts w:hint="eastAsia" w:ascii="宋体" w:hAnsi="宋体" w:eastAsia="宋体" w:cs="宋体"/>
                <w:color w:val="000000"/>
                <w:kern w:val="0"/>
                <w:sz w:val="22"/>
                <w:szCs w:val="22"/>
                <w:highlight w:val="none"/>
              </w:rPr>
            </w:pPr>
          </w:p>
        </w:tc>
        <w:tc>
          <w:tcPr>
            <w:tcW w:w="3264" w:type="dxa"/>
            <w:noWrap w:val="0"/>
            <w:vAlign w:val="center"/>
          </w:tcPr>
          <w:p w14:paraId="0A8DEF9B">
            <w:pPr>
              <w:rPr>
                <w:rFonts w:hint="eastAsia" w:ascii="宋体" w:hAnsi="宋体" w:eastAsia="宋体" w:cs="宋体"/>
                <w:color w:val="000000"/>
                <w:kern w:val="0"/>
                <w:sz w:val="22"/>
                <w:szCs w:val="22"/>
                <w:highlight w:val="none"/>
              </w:rPr>
            </w:pPr>
          </w:p>
        </w:tc>
      </w:tr>
      <w:tr w14:paraId="3DBF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52E71D49">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2024年</w:t>
            </w:r>
          </w:p>
        </w:tc>
        <w:tc>
          <w:tcPr>
            <w:tcW w:w="3215" w:type="dxa"/>
            <w:gridSpan w:val="2"/>
            <w:noWrap w:val="0"/>
            <w:vAlign w:val="center"/>
          </w:tcPr>
          <w:p w14:paraId="478A561B">
            <w:pPr>
              <w:rPr>
                <w:rFonts w:hint="eastAsia" w:ascii="宋体" w:hAnsi="宋体" w:eastAsia="宋体" w:cs="宋体"/>
                <w:color w:val="000000"/>
                <w:kern w:val="0"/>
                <w:sz w:val="22"/>
                <w:szCs w:val="22"/>
                <w:highlight w:val="none"/>
              </w:rPr>
            </w:pPr>
          </w:p>
        </w:tc>
        <w:tc>
          <w:tcPr>
            <w:tcW w:w="3264" w:type="dxa"/>
            <w:noWrap w:val="0"/>
            <w:vAlign w:val="center"/>
          </w:tcPr>
          <w:p w14:paraId="190CA075">
            <w:pPr>
              <w:rPr>
                <w:rFonts w:hint="eastAsia" w:ascii="宋体" w:hAnsi="宋体" w:eastAsia="宋体" w:cs="宋体"/>
                <w:color w:val="000000"/>
                <w:kern w:val="0"/>
                <w:sz w:val="22"/>
                <w:szCs w:val="22"/>
                <w:highlight w:val="none"/>
              </w:rPr>
            </w:pPr>
          </w:p>
        </w:tc>
      </w:tr>
    </w:tbl>
    <w:p w14:paraId="466C200D">
      <w:pPr>
        <w:spacing w:line="360" w:lineRule="auto"/>
        <w:rPr>
          <w:rFonts w:hint="eastAsia" w:ascii="宋体" w:hAnsi="宋体" w:eastAsia="宋体" w:cs="宋体"/>
          <w:color w:val="000000"/>
          <w:kern w:val="0"/>
          <w:sz w:val="22"/>
          <w:szCs w:val="22"/>
          <w:highlight w:val="none"/>
        </w:rPr>
      </w:pPr>
    </w:p>
    <w:p w14:paraId="58FAEA37">
      <w:pPr>
        <w:spacing w:before="120" w:beforeLines="50" w:line="360" w:lineRule="auto"/>
        <w:ind w:left="-103" w:leftChars="-49" w:right="-57" w:rightChars="-27" w:firstLine="15"/>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3FC93C06">
      <w:pPr>
        <w:spacing w:before="120" w:beforeLines="50" w:line="360" w:lineRule="auto"/>
        <w:ind w:left="606" w:leftChars="-49" w:right="-57" w:rightChars="-27" w:hanging="709"/>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76DF894F">
      <w:pPr>
        <w:widowControl/>
        <w:spacing w:before="120" w:beforeLines="50" w:line="360" w:lineRule="auto"/>
        <w:ind w:left="606" w:leftChars="-49" w:right="-57" w:rightChars="-27" w:hanging="709"/>
        <w:jc w:val="left"/>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lang w:bidi="ar"/>
        </w:rPr>
        <w:t>日  期：</w:t>
      </w:r>
    </w:p>
    <w:p w14:paraId="1C44AA31">
      <w:pPr>
        <w:pageBreakBefore w:val="0"/>
        <w:snapToGrid/>
        <w:spacing w:line="240" w:lineRule="auto"/>
        <w:jc w:val="left"/>
        <w:outlineLvl w:val="9"/>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br w:type="page"/>
      </w:r>
    </w:p>
    <w:p w14:paraId="7D4BFE82">
      <w:pPr>
        <w:pageBreakBefore w:val="0"/>
        <w:snapToGrid/>
        <w:spacing w:line="360" w:lineRule="auto"/>
        <w:jc w:val="left"/>
        <w:outlineLvl w:val="2"/>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B2</w:t>
      </w:r>
      <w:r>
        <w:rPr>
          <w:rFonts w:hint="eastAsia" w:ascii="宋体" w:hAnsi="宋体" w:eastAsia="宋体" w:cs="宋体"/>
          <w:b w:val="0"/>
          <w:sz w:val="24"/>
          <w:szCs w:val="24"/>
          <w:highlight w:val="none"/>
        </w:rPr>
        <w:t>：合同条款响应表格式</w:t>
      </w:r>
    </w:p>
    <w:p w14:paraId="2DACD908">
      <w:pPr>
        <w:adjustRightInd w:val="0"/>
        <w:spacing w:line="360" w:lineRule="auto"/>
        <w:ind w:left="713" w:right="-57" w:rightChars="-27" w:hanging="814" w:hangingChars="338"/>
        <w:jc w:val="center"/>
        <w:textAlignment w:val="baseline"/>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合同条款响应表</w:t>
      </w:r>
    </w:p>
    <w:tbl>
      <w:tblPr>
        <w:tblStyle w:val="49"/>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3283"/>
        <w:gridCol w:w="2093"/>
        <w:gridCol w:w="2259"/>
        <w:gridCol w:w="1521"/>
      </w:tblGrid>
      <w:tr w14:paraId="42B3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blHeader/>
          <w:jc w:val="center"/>
        </w:trPr>
        <w:tc>
          <w:tcPr>
            <w:tcW w:w="801" w:type="dxa"/>
            <w:noWrap w:val="0"/>
            <w:vAlign w:val="center"/>
          </w:tcPr>
          <w:p w14:paraId="1E704035">
            <w:pPr>
              <w:tabs>
                <w:tab w:val="left" w:pos="58"/>
              </w:tabs>
              <w:ind w:left="1131" w:leftChars="-76" w:right="-57" w:rightChars="-27" w:hanging="1291" w:hangingChars="587"/>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序号</w:t>
            </w:r>
          </w:p>
        </w:tc>
        <w:tc>
          <w:tcPr>
            <w:tcW w:w="3283" w:type="dxa"/>
            <w:noWrap w:val="0"/>
            <w:vAlign w:val="center"/>
          </w:tcPr>
          <w:p w14:paraId="5CE3C781">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合同条款内容所在章节</w:t>
            </w:r>
          </w:p>
        </w:tc>
        <w:tc>
          <w:tcPr>
            <w:tcW w:w="2093" w:type="dxa"/>
            <w:noWrap w:val="0"/>
            <w:vAlign w:val="center"/>
          </w:tcPr>
          <w:p w14:paraId="693A6402">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合同条款包含内容</w:t>
            </w:r>
          </w:p>
        </w:tc>
        <w:tc>
          <w:tcPr>
            <w:tcW w:w="2259" w:type="dxa"/>
            <w:noWrap w:val="0"/>
            <w:vAlign w:val="center"/>
          </w:tcPr>
          <w:p w14:paraId="2429E0E5">
            <w:pPr>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投标人承诺是否完全响应合同条款内容</w:t>
            </w:r>
          </w:p>
        </w:tc>
        <w:tc>
          <w:tcPr>
            <w:tcW w:w="1520" w:type="dxa"/>
            <w:noWrap w:val="0"/>
            <w:vAlign w:val="center"/>
          </w:tcPr>
          <w:p w14:paraId="2D59611E">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备注</w:t>
            </w:r>
          </w:p>
        </w:tc>
      </w:tr>
      <w:tr w14:paraId="314A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9957" w:type="dxa"/>
            <w:gridSpan w:val="5"/>
            <w:noWrap w:val="0"/>
            <w:vAlign w:val="center"/>
          </w:tcPr>
          <w:p w14:paraId="7623E739">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第四章合同条款及格式</w:t>
            </w:r>
          </w:p>
        </w:tc>
      </w:tr>
      <w:tr w14:paraId="50F6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4035E780">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3283" w:type="dxa"/>
            <w:noWrap w:val="0"/>
            <w:vAlign w:val="center"/>
          </w:tcPr>
          <w:p w14:paraId="66A147C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合同协议书</w:t>
            </w:r>
          </w:p>
        </w:tc>
        <w:tc>
          <w:tcPr>
            <w:tcW w:w="2093" w:type="dxa"/>
            <w:noWrap w:val="0"/>
            <w:vAlign w:val="center"/>
          </w:tcPr>
          <w:p w14:paraId="54724798">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6A22BD05">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14E6CA72">
            <w:pPr>
              <w:ind w:left="1050" w:right="-57" w:rightChars="-27" w:hanging="1050"/>
              <w:jc w:val="center"/>
              <w:rPr>
                <w:rFonts w:hint="eastAsia" w:ascii="宋体" w:hAnsi="宋体" w:eastAsia="宋体" w:cs="宋体"/>
                <w:color w:val="000000"/>
                <w:sz w:val="22"/>
                <w:szCs w:val="22"/>
                <w:highlight w:val="none"/>
              </w:rPr>
            </w:pPr>
          </w:p>
        </w:tc>
      </w:tr>
      <w:tr w14:paraId="327C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73C29D1A">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3283" w:type="dxa"/>
            <w:noWrap w:val="0"/>
            <w:vAlign w:val="center"/>
          </w:tcPr>
          <w:p w14:paraId="10AE4659">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w:t>
            </w:r>
          </w:p>
        </w:tc>
        <w:tc>
          <w:tcPr>
            <w:tcW w:w="2093" w:type="dxa"/>
            <w:noWrap w:val="0"/>
            <w:vAlign w:val="center"/>
          </w:tcPr>
          <w:p w14:paraId="53474872">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1DF20383">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3CAC2BCF">
            <w:pPr>
              <w:ind w:left="1050" w:right="-57" w:rightChars="-27" w:hanging="1050"/>
              <w:jc w:val="center"/>
              <w:rPr>
                <w:rFonts w:hint="eastAsia" w:ascii="宋体" w:hAnsi="宋体" w:eastAsia="宋体" w:cs="宋体"/>
                <w:color w:val="000000"/>
                <w:sz w:val="22"/>
                <w:szCs w:val="22"/>
                <w:highlight w:val="none"/>
              </w:rPr>
            </w:pPr>
          </w:p>
        </w:tc>
      </w:tr>
    </w:tbl>
    <w:p w14:paraId="3D6ECE87">
      <w:pPr>
        <w:tabs>
          <w:tab w:val="left" w:pos="720"/>
        </w:tabs>
        <w:ind w:firstLine="422"/>
        <w:rPr>
          <w:rFonts w:hint="eastAsia" w:ascii="宋体" w:hAnsi="宋体" w:eastAsia="宋体" w:cs="宋体"/>
          <w:b/>
          <w:color w:val="000000"/>
          <w:sz w:val="22"/>
          <w:szCs w:val="22"/>
          <w:highlight w:val="none"/>
        </w:rPr>
      </w:pPr>
    </w:p>
    <w:p w14:paraId="04960DD4">
      <w:pPr>
        <w:tabs>
          <w:tab w:val="left" w:pos="720"/>
        </w:tabs>
        <w:ind w:firstLine="422"/>
        <w:rPr>
          <w:rFonts w:hint="eastAsia" w:ascii="宋体" w:hAnsi="宋体" w:eastAsia="宋体" w:cs="宋体"/>
          <w:color w:val="000000"/>
          <w:sz w:val="22"/>
          <w:szCs w:val="22"/>
          <w:highlight w:val="none"/>
        </w:rPr>
      </w:pPr>
      <w:r>
        <w:rPr>
          <w:rFonts w:hint="eastAsia" w:ascii="宋体" w:hAnsi="宋体" w:eastAsia="宋体" w:cs="宋体"/>
          <w:b/>
          <w:color w:val="000000"/>
          <w:sz w:val="22"/>
          <w:szCs w:val="22"/>
          <w:highlight w:val="none"/>
        </w:rPr>
        <w:t>注：上述响应要求必须全部为“完全响应”，否则，投标无效。</w:t>
      </w:r>
    </w:p>
    <w:p w14:paraId="3388D73E">
      <w:pPr>
        <w:ind w:left="1338" w:leftChars="637" w:right="-57" w:rightChars="-27" w:firstLine="3850" w:firstLineChars="1750"/>
        <w:rPr>
          <w:rFonts w:hint="eastAsia" w:ascii="宋体" w:hAnsi="宋体" w:eastAsia="宋体" w:cs="宋体"/>
          <w:color w:val="000000"/>
          <w:sz w:val="22"/>
          <w:szCs w:val="22"/>
          <w:highlight w:val="none"/>
        </w:rPr>
      </w:pPr>
    </w:p>
    <w:p w14:paraId="757E4881">
      <w:pPr>
        <w:ind w:left="1338" w:leftChars="637" w:right="-57" w:rightChars="-27" w:firstLine="3850" w:firstLineChars="1750"/>
        <w:rPr>
          <w:rFonts w:hint="eastAsia" w:ascii="宋体" w:hAnsi="宋体" w:eastAsia="宋体" w:cs="宋体"/>
          <w:color w:val="000000"/>
          <w:sz w:val="22"/>
          <w:szCs w:val="22"/>
          <w:highlight w:val="none"/>
        </w:rPr>
      </w:pPr>
    </w:p>
    <w:p w14:paraId="29ABF65C">
      <w:pPr>
        <w:ind w:left="1338" w:leftChars="637" w:right="-57" w:rightChars="-27" w:firstLine="3850" w:firstLineChars="1750"/>
        <w:rPr>
          <w:rFonts w:hint="eastAsia" w:ascii="宋体" w:hAnsi="宋体" w:eastAsia="宋体" w:cs="宋体"/>
          <w:color w:val="000000"/>
          <w:sz w:val="22"/>
          <w:szCs w:val="22"/>
          <w:highlight w:val="none"/>
        </w:rPr>
      </w:pPr>
    </w:p>
    <w:p w14:paraId="2A9213DC">
      <w:pPr>
        <w:ind w:left="1338" w:leftChars="637" w:right="-57" w:rightChars="-27" w:firstLine="3850" w:firstLineChars="1750"/>
        <w:rPr>
          <w:rFonts w:hint="eastAsia" w:ascii="宋体" w:hAnsi="宋体" w:eastAsia="宋体" w:cs="宋体"/>
          <w:color w:val="000000"/>
          <w:sz w:val="22"/>
          <w:szCs w:val="22"/>
          <w:highlight w:val="none"/>
        </w:rPr>
      </w:pPr>
    </w:p>
    <w:p w14:paraId="28F0D63E">
      <w:pPr>
        <w:ind w:left="1338" w:leftChars="637" w:right="-57" w:rightChars="-27" w:firstLine="3850" w:firstLineChars="1750"/>
        <w:jc w:val="left"/>
        <w:rPr>
          <w:rFonts w:hint="eastAsia" w:ascii="宋体" w:hAnsi="宋体" w:eastAsia="宋体" w:cs="宋体"/>
          <w:color w:val="000000"/>
          <w:sz w:val="22"/>
          <w:szCs w:val="22"/>
          <w:highlight w:val="none"/>
        </w:rPr>
      </w:pPr>
    </w:p>
    <w:p w14:paraId="44C112ED">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投标人：（公章）</w:t>
      </w:r>
    </w:p>
    <w:p w14:paraId="61C1DBE3">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法定代表人或其委托代理人：（签字或盖章）</w:t>
      </w:r>
    </w:p>
    <w:p w14:paraId="6340C228">
      <w:pPr>
        <w:spacing w:line="360" w:lineRule="auto"/>
        <w:ind w:left="0" w:leftChars="0" w:right="-57" w:rightChars="-27" w:firstLine="4837" w:firstLineChars="2199"/>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日期：</w:t>
      </w:r>
    </w:p>
    <w:p w14:paraId="10940D25">
      <w:pPr>
        <w:spacing w:line="240" w:lineRule="auto"/>
        <w:jc w:val="left"/>
        <w:rPr>
          <w:bCs/>
          <w:kern w:val="0"/>
          <w:highlight w:val="none"/>
        </w:rPr>
      </w:pPr>
      <w:r>
        <w:rPr>
          <w:bCs/>
          <w:kern w:val="0"/>
          <w:highlight w:val="none"/>
        </w:rPr>
        <w:br w:type="page"/>
      </w:r>
    </w:p>
    <w:p w14:paraId="001D9DDC">
      <w:pPr>
        <w:widowControl/>
        <w:spacing w:line="360" w:lineRule="auto"/>
        <w:jc w:val="left"/>
        <w:outlineLvl w:val="2"/>
        <w:rPr>
          <w:rFonts w:hint="eastAsia" w:ascii="宋体" w:hAnsi="宋体" w:cs="宋体"/>
          <w:bCs w:val="0"/>
          <w:sz w:val="24"/>
          <w:szCs w:val="24"/>
          <w:highlight w:val="none"/>
        </w:rPr>
      </w:pPr>
      <w:r>
        <w:rPr>
          <w:rFonts w:hint="eastAsia" w:ascii="宋体" w:hAnsi="宋体" w:cs="宋体"/>
          <w:b w:val="0"/>
          <w:sz w:val="24"/>
          <w:szCs w:val="24"/>
          <w:highlight w:val="none"/>
        </w:rPr>
        <w:t>格式</w:t>
      </w:r>
      <w:r>
        <w:rPr>
          <w:rFonts w:hint="eastAsia" w:ascii="宋体" w:hAnsi="宋体" w:cs="宋体"/>
          <w:b w:val="0"/>
          <w:sz w:val="24"/>
          <w:szCs w:val="24"/>
          <w:highlight w:val="none"/>
          <w:lang w:val="en-US" w:eastAsia="zh-CN"/>
        </w:rPr>
        <w:t>B3</w:t>
      </w:r>
      <w:r>
        <w:rPr>
          <w:rFonts w:hint="eastAsia" w:ascii="宋体" w:hAnsi="宋体" w:cs="宋体"/>
          <w:b w:val="0"/>
          <w:sz w:val="24"/>
          <w:szCs w:val="24"/>
          <w:highlight w:val="none"/>
        </w:rPr>
        <w:t>：</w:t>
      </w:r>
      <w:r>
        <w:rPr>
          <w:rFonts w:hint="eastAsia" w:ascii="宋体" w:hAnsi="宋体" w:cs="宋体"/>
          <w:b w:val="0"/>
          <w:bCs w:val="0"/>
          <w:sz w:val="24"/>
          <w:szCs w:val="24"/>
          <w:highlight w:val="none"/>
        </w:rPr>
        <w:t>技术条款响应表格式</w:t>
      </w:r>
    </w:p>
    <w:p w14:paraId="6103187F">
      <w:pPr>
        <w:spacing w:line="360" w:lineRule="auto"/>
        <w:jc w:val="center"/>
        <w:rPr>
          <w:rFonts w:ascii="宋体" w:hAnsi="宋体"/>
          <w:b/>
          <w:bCs/>
          <w:color w:val="auto"/>
          <w:kern w:val="0"/>
          <w:sz w:val="28"/>
          <w:szCs w:val="28"/>
          <w:highlight w:val="none"/>
        </w:rPr>
      </w:pPr>
      <w:r>
        <w:rPr>
          <w:rFonts w:hint="eastAsia" w:ascii="宋体" w:hAnsi="宋体"/>
          <w:b/>
          <w:bCs/>
          <w:color w:val="auto"/>
          <w:kern w:val="0"/>
          <w:sz w:val="28"/>
          <w:szCs w:val="28"/>
          <w:highlight w:val="none"/>
        </w:rPr>
        <w:t>技术条款响应表</w:t>
      </w:r>
    </w:p>
    <w:tbl>
      <w:tblPr>
        <w:tblStyle w:val="49"/>
        <w:tblW w:w="49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51"/>
        <w:gridCol w:w="1768"/>
        <w:gridCol w:w="2037"/>
        <w:gridCol w:w="2030"/>
        <w:gridCol w:w="927"/>
        <w:gridCol w:w="1235"/>
      </w:tblGrid>
      <w:tr w14:paraId="7A8D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1" w:type="pct"/>
            <w:noWrap w:val="0"/>
            <w:vAlign w:val="center"/>
          </w:tcPr>
          <w:p w14:paraId="35380B16">
            <w:pPr>
              <w:adjustRightInd w:val="0"/>
              <w:jc w:val="center"/>
              <w:rPr>
                <w:rFonts w:ascii="Arial" w:hAnsi="Arial" w:cs="Arial"/>
                <w:b/>
                <w:color w:val="auto"/>
                <w:szCs w:val="21"/>
                <w:highlight w:val="none"/>
              </w:rPr>
            </w:pPr>
            <w:r>
              <w:rPr>
                <w:rFonts w:hint="eastAsia" w:ascii="Arial" w:hAnsi="Arial" w:cs="Arial"/>
                <w:b/>
                <w:color w:val="auto"/>
                <w:szCs w:val="21"/>
                <w:highlight w:val="none"/>
              </w:rPr>
              <w:t>序号</w:t>
            </w:r>
          </w:p>
        </w:tc>
        <w:tc>
          <w:tcPr>
            <w:tcW w:w="988" w:type="pct"/>
            <w:noWrap w:val="0"/>
            <w:vAlign w:val="center"/>
          </w:tcPr>
          <w:p w14:paraId="23F26804">
            <w:pPr>
              <w:adjustRightInd w:val="0"/>
              <w:jc w:val="center"/>
              <w:rPr>
                <w:rFonts w:ascii="Arial" w:hAnsi="Arial" w:cs="Arial"/>
                <w:b/>
                <w:color w:val="auto"/>
                <w:szCs w:val="21"/>
                <w:highlight w:val="none"/>
              </w:rPr>
            </w:pPr>
            <w:r>
              <w:rPr>
                <w:rFonts w:hint="eastAsia" w:ascii="Arial" w:hAnsi="Arial" w:cs="Arial"/>
                <w:b/>
                <w:color w:val="auto"/>
                <w:szCs w:val="21"/>
                <w:highlight w:val="none"/>
              </w:rPr>
              <w:t>招标文件条目号</w:t>
            </w:r>
          </w:p>
        </w:tc>
        <w:tc>
          <w:tcPr>
            <w:tcW w:w="1138" w:type="pct"/>
            <w:noWrap w:val="0"/>
            <w:vAlign w:val="center"/>
          </w:tcPr>
          <w:p w14:paraId="5BEFB057">
            <w:pPr>
              <w:adjustRightInd w:val="0"/>
              <w:jc w:val="center"/>
              <w:rPr>
                <w:rFonts w:ascii="Arial" w:hAnsi="Arial" w:cs="Arial"/>
                <w:b/>
                <w:color w:val="auto"/>
                <w:szCs w:val="21"/>
                <w:highlight w:val="none"/>
              </w:rPr>
            </w:pPr>
            <w:r>
              <w:rPr>
                <w:rFonts w:hint="eastAsia" w:ascii="Arial" w:hAnsi="Arial" w:cs="Arial"/>
                <w:b/>
                <w:color w:val="auto"/>
                <w:szCs w:val="21"/>
                <w:highlight w:val="none"/>
              </w:rPr>
              <w:t>招标文件要求</w:t>
            </w:r>
          </w:p>
        </w:tc>
        <w:tc>
          <w:tcPr>
            <w:tcW w:w="1134" w:type="pct"/>
            <w:noWrap w:val="0"/>
            <w:vAlign w:val="center"/>
          </w:tcPr>
          <w:p w14:paraId="28D30614">
            <w:pPr>
              <w:adjustRightInd w:val="0"/>
              <w:jc w:val="center"/>
              <w:rPr>
                <w:rFonts w:ascii="Arial" w:hAnsi="Arial" w:cs="Arial"/>
                <w:b/>
                <w:color w:val="auto"/>
                <w:szCs w:val="21"/>
                <w:highlight w:val="none"/>
              </w:rPr>
            </w:pPr>
            <w:r>
              <w:rPr>
                <w:rFonts w:hint="eastAsia" w:ascii="Arial" w:hAnsi="Arial" w:cs="Arial"/>
                <w:b/>
                <w:color w:val="auto"/>
                <w:szCs w:val="21"/>
                <w:highlight w:val="none"/>
              </w:rPr>
              <w:t>投标文件响应</w:t>
            </w:r>
          </w:p>
        </w:tc>
        <w:tc>
          <w:tcPr>
            <w:tcW w:w="518" w:type="pct"/>
            <w:noWrap w:val="0"/>
            <w:vAlign w:val="center"/>
          </w:tcPr>
          <w:p w14:paraId="02DC8BEE">
            <w:pPr>
              <w:adjustRightInd w:val="0"/>
              <w:jc w:val="center"/>
              <w:rPr>
                <w:rFonts w:ascii="Arial" w:hAnsi="Arial" w:cs="Arial"/>
                <w:b/>
                <w:color w:val="auto"/>
                <w:szCs w:val="21"/>
                <w:highlight w:val="none"/>
              </w:rPr>
            </w:pPr>
            <w:r>
              <w:rPr>
                <w:rFonts w:hint="eastAsia" w:ascii="Arial" w:hAnsi="Arial" w:cs="Arial"/>
                <w:b/>
                <w:color w:val="auto"/>
                <w:szCs w:val="21"/>
                <w:highlight w:val="none"/>
              </w:rPr>
              <w:t>偏离</w:t>
            </w:r>
          </w:p>
        </w:tc>
        <w:tc>
          <w:tcPr>
            <w:tcW w:w="690" w:type="pct"/>
            <w:noWrap w:val="0"/>
            <w:vAlign w:val="center"/>
          </w:tcPr>
          <w:p w14:paraId="7823754D">
            <w:pPr>
              <w:adjustRightInd w:val="0"/>
              <w:jc w:val="center"/>
              <w:rPr>
                <w:rFonts w:ascii="Arial" w:hAnsi="Arial" w:cs="Arial"/>
                <w:b/>
                <w:color w:val="auto"/>
                <w:szCs w:val="21"/>
                <w:highlight w:val="none"/>
              </w:rPr>
            </w:pPr>
            <w:r>
              <w:rPr>
                <w:rFonts w:hint="eastAsia" w:ascii="Arial" w:hAnsi="Arial" w:cs="Arial"/>
                <w:b/>
                <w:color w:val="auto"/>
                <w:szCs w:val="21"/>
                <w:highlight w:val="none"/>
              </w:rPr>
              <w:t>说明</w:t>
            </w:r>
          </w:p>
        </w:tc>
      </w:tr>
      <w:tr w14:paraId="566D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3CA62120">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10089C69">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115807FB">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789A99DC">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020366A7">
            <w:pPr>
              <w:adjustRightInd w:val="0"/>
              <w:spacing w:line="440" w:lineRule="exact"/>
              <w:jc w:val="center"/>
              <w:rPr>
                <w:rFonts w:ascii="Arial" w:hAnsi="Arial" w:cs="Arial"/>
                <w:color w:val="auto"/>
                <w:sz w:val="24"/>
                <w:highlight w:val="none"/>
                <w:u w:val="single"/>
              </w:rPr>
            </w:pPr>
          </w:p>
        </w:tc>
        <w:tc>
          <w:tcPr>
            <w:tcW w:w="690" w:type="pct"/>
            <w:noWrap w:val="0"/>
            <w:vAlign w:val="top"/>
          </w:tcPr>
          <w:p w14:paraId="099ADBF4">
            <w:pPr>
              <w:adjustRightInd w:val="0"/>
              <w:spacing w:line="440" w:lineRule="exact"/>
              <w:jc w:val="center"/>
              <w:rPr>
                <w:rFonts w:ascii="Arial" w:hAnsi="Arial" w:cs="Arial"/>
                <w:color w:val="auto"/>
                <w:sz w:val="24"/>
                <w:highlight w:val="none"/>
                <w:u w:val="single"/>
              </w:rPr>
            </w:pPr>
          </w:p>
        </w:tc>
      </w:tr>
      <w:tr w14:paraId="32CC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31" w:type="pct"/>
            <w:noWrap w:val="0"/>
            <w:vAlign w:val="center"/>
          </w:tcPr>
          <w:p w14:paraId="3F091DDE">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47BA8AEC">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5B0D3E84">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24BD992C">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4ECC0646">
            <w:pPr>
              <w:adjustRightInd w:val="0"/>
              <w:spacing w:line="440" w:lineRule="exact"/>
              <w:jc w:val="center"/>
              <w:rPr>
                <w:rFonts w:ascii="Arial" w:hAnsi="Arial" w:cs="Arial"/>
                <w:color w:val="auto"/>
                <w:sz w:val="24"/>
                <w:highlight w:val="none"/>
                <w:u w:val="single"/>
              </w:rPr>
            </w:pPr>
          </w:p>
        </w:tc>
        <w:tc>
          <w:tcPr>
            <w:tcW w:w="690" w:type="pct"/>
            <w:noWrap w:val="0"/>
            <w:vAlign w:val="top"/>
          </w:tcPr>
          <w:p w14:paraId="226B16CC">
            <w:pPr>
              <w:adjustRightInd w:val="0"/>
              <w:spacing w:line="440" w:lineRule="exact"/>
              <w:jc w:val="center"/>
              <w:rPr>
                <w:rFonts w:ascii="Arial" w:hAnsi="Arial" w:cs="Arial"/>
                <w:color w:val="auto"/>
                <w:sz w:val="24"/>
                <w:highlight w:val="none"/>
                <w:u w:val="single"/>
              </w:rPr>
            </w:pPr>
          </w:p>
        </w:tc>
      </w:tr>
      <w:tr w14:paraId="2390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31" w:type="pct"/>
            <w:noWrap w:val="0"/>
            <w:vAlign w:val="center"/>
          </w:tcPr>
          <w:p w14:paraId="05671FBC">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2D40843C">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3939CD7B">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634D7E51">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25F72D8E">
            <w:pPr>
              <w:adjustRightInd w:val="0"/>
              <w:spacing w:line="440" w:lineRule="exact"/>
              <w:jc w:val="center"/>
              <w:rPr>
                <w:rFonts w:ascii="Arial" w:hAnsi="Arial" w:cs="Arial"/>
                <w:color w:val="auto"/>
                <w:sz w:val="24"/>
                <w:highlight w:val="none"/>
                <w:u w:val="single"/>
              </w:rPr>
            </w:pPr>
          </w:p>
        </w:tc>
        <w:tc>
          <w:tcPr>
            <w:tcW w:w="690" w:type="pct"/>
            <w:noWrap w:val="0"/>
            <w:vAlign w:val="top"/>
          </w:tcPr>
          <w:p w14:paraId="03B8E95A">
            <w:pPr>
              <w:adjustRightInd w:val="0"/>
              <w:spacing w:line="440" w:lineRule="exact"/>
              <w:jc w:val="center"/>
              <w:rPr>
                <w:rFonts w:ascii="Arial" w:hAnsi="Arial" w:cs="Arial"/>
                <w:color w:val="auto"/>
                <w:sz w:val="24"/>
                <w:highlight w:val="none"/>
                <w:u w:val="single"/>
              </w:rPr>
            </w:pPr>
          </w:p>
        </w:tc>
      </w:tr>
      <w:tr w14:paraId="12BA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3650D43D">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25121D8F">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488C511B">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696835B1">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021574D8">
            <w:pPr>
              <w:adjustRightInd w:val="0"/>
              <w:spacing w:line="440" w:lineRule="exact"/>
              <w:jc w:val="center"/>
              <w:rPr>
                <w:rFonts w:ascii="Arial" w:hAnsi="Arial" w:cs="Arial"/>
                <w:color w:val="auto"/>
                <w:sz w:val="24"/>
                <w:highlight w:val="none"/>
                <w:u w:val="single"/>
              </w:rPr>
            </w:pPr>
          </w:p>
        </w:tc>
        <w:tc>
          <w:tcPr>
            <w:tcW w:w="690" w:type="pct"/>
            <w:noWrap w:val="0"/>
            <w:vAlign w:val="top"/>
          </w:tcPr>
          <w:p w14:paraId="2563C76A">
            <w:pPr>
              <w:adjustRightInd w:val="0"/>
              <w:spacing w:line="440" w:lineRule="exact"/>
              <w:jc w:val="center"/>
              <w:rPr>
                <w:rFonts w:ascii="Arial" w:hAnsi="Arial" w:cs="Arial"/>
                <w:color w:val="auto"/>
                <w:sz w:val="24"/>
                <w:highlight w:val="none"/>
                <w:u w:val="single"/>
              </w:rPr>
            </w:pPr>
          </w:p>
        </w:tc>
      </w:tr>
      <w:tr w14:paraId="277E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2446E59E">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505DFA02">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6E15AC76">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1C4C0216">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05A34B37">
            <w:pPr>
              <w:adjustRightInd w:val="0"/>
              <w:spacing w:line="440" w:lineRule="exact"/>
              <w:jc w:val="center"/>
              <w:rPr>
                <w:rFonts w:ascii="Arial" w:hAnsi="Arial" w:cs="Arial"/>
                <w:color w:val="auto"/>
                <w:sz w:val="24"/>
                <w:highlight w:val="none"/>
                <w:u w:val="single"/>
              </w:rPr>
            </w:pPr>
          </w:p>
        </w:tc>
        <w:tc>
          <w:tcPr>
            <w:tcW w:w="690" w:type="pct"/>
            <w:noWrap w:val="0"/>
            <w:vAlign w:val="top"/>
          </w:tcPr>
          <w:p w14:paraId="05C0D19F">
            <w:pPr>
              <w:adjustRightInd w:val="0"/>
              <w:spacing w:line="440" w:lineRule="exact"/>
              <w:jc w:val="center"/>
              <w:rPr>
                <w:rFonts w:ascii="Arial" w:hAnsi="Arial" w:cs="Arial"/>
                <w:color w:val="auto"/>
                <w:sz w:val="24"/>
                <w:highlight w:val="none"/>
                <w:u w:val="single"/>
              </w:rPr>
            </w:pPr>
          </w:p>
        </w:tc>
      </w:tr>
      <w:tr w14:paraId="31C1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5000" w:type="pct"/>
            <w:gridSpan w:val="6"/>
            <w:noWrap w:val="0"/>
            <w:vAlign w:val="center"/>
          </w:tcPr>
          <w:p w14:paraId="65B1964F">
            <w:pPr>
              <w:spacing w:line="440" w:lineRule="exact"/>
              <w:rPr>
                <w:rFonts w:ascii="Arial" w:hAnsi="Arial" w:cs="Arial"/>
                <w:color w:val="auto"/>
                <w:szCs w:val="21"/>
                <w:highlight w:val="none"/>
              </w:rPr>
            </w:pPr>
            <w:r>
              <w:rPr>
                <w:rFonts w:hint="eastAsia" w:ascii="Arial" w:hAnsi="Arial" w:cs="Arial"/>
                <w:color w:val="auto"/>
                <w:szCs w:val="21"/>
                <w:highlight w:val="none"/>
              </w:rPr>
              <w:t>我方确认：除了表中所列的条款外，我方的投标函将依从招标文件对于技术的全部要求和规定。</w:t>
            </w:r>
          </w:p>
        </w:tc>
      </w:tr>
    </w:tbl>
    <w:p w14:paraId="28A8895D">
      <w:pPr>
        <w:tabs>
          <w:tab w:val="left" w:pos="9120"/>
        </w:tabs>
        <w:ind w:firstLine="420" w:firstLineChars="200"/>
        <w:rPr>
          <w:rFonts w:ascii="Arial" w:hAnsi="Arial" w:cs="Arial"/>
          <w:color w:val="auto"/>
          <w:highlight w:val="none"/>
        </w:rPr>
      </w:pPr>
      <w:r>
        <w:rPr>
          <w:rFonts w:hint="eastAsia" w:ascii="Arial" w:hAnsi="Arial" w:cs="Arial"/>
          <w:color w:val="auto"/>
          <w:highlight w:val="none"/>
        </w:rPr>
        <w:t>注：</w:t>
      </w:r>
    </w:p>
    <w:p w14:paraId="52132D78">
      <w:pPr>
        <w:tabs>
          <w:tab w:val="left" w:pos="9120"/>
        </w:tabs>
        <w:spacing w:line="360" w:lineRule="auto"/>
        <w:ind w:firstLine="420" w:firstLineChars="200"/>
        <w:rPr>
          <w:rFonts w:ascii="Arial" w:hAnsi="Arial" w:cs="Arial"/>
          <w:color w:val="auto"/>
          <w:kern w:val="0"/>
          <w:highlight w:val="none"/>
        </w:rPr>
      </w:pPr>
      <w:r>
        <w:rPr>
          <w:rFonts w:hint="eastAsia" w:ascii="Arial" w:hAnsi="Arial" w:cs="Arial"/>
          <w:color w:val="auto"/>
          <w:highlight w:val="none"/>
        </w:rPr>
        <w:t>1、</w:t>
      </w:r>
      <w:r>
        <w:rPr>
          <w:rFonts w:hint="eastAsia" w:ascii="Arial" w:hAnsi="Arial" w:cs="Arial"/>
          <w:color w:val="auto"/>
          <w:kern w:val="0"/>
          <w:highlight w:val="none"/>
        </w:rPr>
        <w:t>投标人必须仔细阅读招标文件所有条款，并对所有偏离的条目列入上表，未列入上表的视作投标人完全接受。</w:t>
      </w:r>
    </w:p>
    <w:p w14:paraId="68568789">
      <w:pPr>
        <w:tabs>
          <w:tab w:val="left" w:pos="9120"/>
        </w:tabs>
        <w:spacing w:line="360" w:lineRule="auto"/>
        <w:ind w:firstLine="420" w:firstLineChars="200"/>
        <w:rPr>
          <w:rFonts w:ascii="Arial" w:hAnsi="Arial" w:cs="Arial"/>
          <w:b/>
          <w:color w:val="auto"/>
          <w:highlight w:val="none"/>
        </w:rPr>
      </w:pPr>
      <w:r>
        <w:rPr>
          <w:rFonts w:hint="eastAsia" w:ascii="Arial" w:hAnsi="Arial" w:cs="Arial"/>
          <w:color w:val="auto"/>
          <w:kern w:val="0"/>
          <w:highlight w:val="none"/>
        </w:rPr>
        <w:t>2、投标人如无偏离，可在上表空格中填写内容“/”或者“完全响应”表示。</w:t>
      </w:r>
    </w:p>
    <w:p w14:paraId="7819756E">
      <w:pPr>
        <w:tabs>
          <w:tab w:val="left" w:pos="9120"/>
        </w:tabs>
        <w:spacing w:line="440" w:lineRule="exact"/>
        <w:ind w:firstLine="5163"/>
        <w:rPr>
          <w:rFonts w:ascii="Arial" w:hAnsi="Arial" w:cs="Arial"/>
          <w:b/>
          <w:color w:val="auto"/>
          <w:szCs w:val="21"/>
          <w:highlight w:val="none"/>
        </w:rPr>
      </w:pPr>
    </w:p>
    <w:p w14:paraId="1E60E5DF">
      <w:pPr>
        <w:spacing w:before="120" w:beforeLines="50" w:line="360" w:lineRule="auto"/>
        <w:ind w:left="479" w:leftChars="220" w:right="-57" w:rightChars="-27" w:hanging="17"/>
        <w:rPr>
          <w:rFonts w:eastAsia="Times New Roman"/>
          <w:color w:val="auto"/>
          <w:kern w:val="0"/>
          <w:sz w:val="24"/>
          <w:highlight w:val="none"/>
        </w:rPr>
      </w:pPr>
      <w:r>
        <w:rPr>
          <w:rFonts w:hint="eastAsia" w:cs="宋体"/>
          <w:color w:val="auto"/>
          <w:highlight w:val="none"/>
        </w:rPr>
        <w:t>投标人：（公章）</w:t>
      </w:r>
    </w:p>
    <w:p w14:paraId="5987651B">
      <w:pPr>
        <w:spacing w:before="120" w:beforeLines="50" w:line="360" w:lineRule="auto"/>
        <w:ind w:left="478" w:leftChars="227" w:right="-57" w:rightChars="-27" w:hanging="1"/>
        <w:rPr>
          <w:rFonts w:eastAsia="Times New Roman"/>
          <w:color w:val="auto"/>
          <w:kern w:val="0"/>
          <w:sz w:val="24"/>
          <w:highlight w:val="none"/>
        </w:rPr>
      </w:pPr>
      <w:r>
        <w:rPr>
          <w:rFonts w:hint="eastAsia" w:cs="宋体"/>
          <w:color w:val="auto"/>
          <w:highlight w:val="none"/>
        </w:rPr>
        <w:t>法定代表人或其委托代理人：（签字或盖章）</w:t>
      </w:r>
    </w:p>
    <w:p w14:paraId="4E3CF156">
      <w:pPr>
        <w:spacing w:before="120" w:beforeLines="50" w:line="360" w:lineRule="auto"/>
        <w:ind w:left="463" w:leftChars="220" w:right="-57" w:rightChars="-27" w:hanging="1"/>
        <w:rPr>
          <w:color w:val="auto"/>
          <w:szCs w:val="21"/>
          <w:highlight w:val="none"/>
        </w:rPr>
      </w:pPr>
      <w:r>
        <w:rPr>
          <w:rFonts w:hint="eastAsia" w:cs="宋体"/>
          <w:color w:val="auto"/>
          <w:highlight w:val="none"/>
        </w:rPr>
        <w:t>日期：</w:t>
      </w:r>
      <w:r>
        <w:rPr>
          <w:rFonts w:hint="eastAsia"/>
          <w:color w:val="auto"/>
          <w:szCs w:val="21"/>
          <w:highlight w:val="none"/>
        </w:rPr>
        <w:t xml:space="preserve">    </w:t>
      </w:r>
      <w:r>
        <w:rPr>
          <w:color w:val="auto"/>
          <w:szCs w:val="21"/>
          <w:highlight w:val="none"/>
        </w:rPr>
        <w:t>年</w:t>
      </w:r>
      <w:r>
        <w:rPr>
          <w:rFonts w:hint="eastAsia"/>
          <w:color w:val="auto"/>
          <w:szCs w:val="21"/>
          <w:highlight w:val="none"/>
        </w:rPr>
        <w:t xml:space="preserve">    </w:t>
      </w:r>
      <w:r>
        <w:rPr>
          <w:color w:val="auto"/>
          <w:szCs w:val="21"/>
          <w:highlight w:val="none"/>
        </w:rPr>
        <w:t>月</w:t>
      </w:r>
      <w:r>
        <w:rPr>
          <w:rFonts w:hint="eastAsia"/>
          <w:color w:val="auto"/>
          <w:szCs w:val="21"/>
          <w:highlight w:val="none"/>
        </w:rPr>
        <w:t xml:space="preserve">    </w:t>
      </w:r>
      <w:r>
        <w:rPr>
          <w:color w:val="auto"/>
          <w:szCs w:val="21"/>
          <w:highlight w:val="none"/>
        </w:rPr>
        <w:t>日</w:t>
      </w:r>
    </w:p>
    <w:p w14:paraId="6810E046">
      <w:pPr>
        <w:keepNext w:val="0"/>
        <w:keepLines w:val="0"/>
        <w:spacing w:line="240" w:lineRule="auto"/>
        <w:jc w:val="left"/>
        <w:outlineLvl w:val="9"/>
        <w:rPr>
          <w:rFonts w:hint="eastAsia" w:ascii="宋体" w:hAnsi="宋体"/>
          <w:b/>
          <w:color w:val="auto"/>
          <w:szCs w:val="28"/>
          <w:highlight w:val="none"/>
        </w:rPr>
      </w:pPr>
      <w:r>
        <w:rPr>
          <w:rFonts w:hint="eastAsia" w:ascii="宋体" w:hAnsi="宋体"/>
          <w:b/>
          <w:color w:val="auto"/>
          <w:szCs w:val="28"/>
          <w:highlight w:val="none"/>
        </w:rPr>
        <w:br w:type="page"/>
      </w:r>
    </w:p>
    <w:p w14:paraId="01073257">
      <w:pPr>
        <w:pageBreakBefore w:val="0"/>
        <w:snapToGrid/>
        <w:spacing w:line="240" w:lineRule="auto"/>
        <w:jc w:val="left"/>
        <w:outlineLvl w:val="2"/>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B4</w:t>
      </w:r>
      <w:r>
        <w:rPr>
          <w:rFonts w:hint="eastAsia" w:ascii="宋体" w:hAnsi="宋体" w:eastAsia="宋体" w:cs="宋体"/>
          <w:b w:val="0"/>
          <w:sz w:val="24"/>
          <w:szCs w:val="24"/>
          <w:highlight w:val="none"/>
        </w:rPr>
        <w:t>：按期交货承诺书</w:t>
      </w:r>
    </w:p>
    <w:p w14:paraId="255B4CA2">
      <w:pPr>
        <w:spacing w:before="240" w:beforeLines="100" w:after="240" w:afterLines="100" w:line="360" w:lineRule="auto"/>
        <w:ind w:right="-57" w:rightChars="-27"/>
        <w:jc w:val="center"/>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按期交货承诺书</w:t>
      </w:r>
    </w:p>
    <w:p w14:paraId="60D939A6">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51381D20">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color w:val="auto"/>
          <w:sz w:val="22"/>
          <w:szCs w:val="22"/>
          <w:highlight w:val="none"/>
          <w:lang w:val="en-US" w:eastAsia="zh-CN"/>
        </w:rPr>
        <w:t>钢筋</w:t>
      </w:r>
      <w:r>
        <w:rPr>
          <w:rFonts w:hint="eastAsia" w:ascii="宋体" w:hAnsi="宋体" w:eastAsia="宋体"/>
          <w:color w:val="auto"/>
          <w:sz w:val="22"/>
          <w:szCs w:val="22"/>
          <w:highlight w:val="none"/>
        </w:rPr>
        <w:t>的供货时间要求。</w:t>
      </w:r>
    </w:p>
    <w:p w14:paraId="5CF7AB8F">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7FC547F1">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58132FAC">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4B254418">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sz w:val="22"/>
          <w:szCs w:val="22"/>
          <w:highlight w:val="none"/>
        </w:rPr>
        <w:t>我公司承诺本次响应上述项目的货物的供货周期为</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rPr>
        <w:t>天。接到贵公司供货通知后，将所需货物及对应资料（厂检验报告、合格证和生产厂家资质）按我司响应的供货周期</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rPr>
        <w:t>天运达需方指定地点，并在产品装运发车当日将发货情况向需方报告。</w:t>
      </w:r>
    </w:p>
    <w:p w14:paraId="444A8C14">
      <w:pPr>
        <w:spacing w:before="120" w:beforeLines="50" w:line="360" w:lineRule="auto"/>
        <w:ind w:right="-57" w:rightChars="-27"/>
        <w:rPr>
          <w:rFonts w:hint="eastAsia" w:ascii="宋体" w:hAnsi="宋体" w:eastAsia="宋体" w:cs="宋体"/>
          <w:color w:val="000000"/>
          <w:sz w:val="24"/>
          <w:szCs w:val="24"/>
          <w:highlight w:val="none"/>
        </w:rPr>
      </w:pPr>
    </w:p>
    <w:p w14:paraId="068D874A">
      <w:pPr>
        <w:spacing w:line="360" w:lineRule="auto"/>
        <w:ind w:left="1338" w:leftChars="637" w:right="-57" w:rightChars="-27" w:firstLine="3280" w:firstLineChars="1367"/>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投标人：（公章）</w:t>
      </w:r>
    </w:p>
    <w:p w14:paraId="6AEBE266">
      <w:pPr>
        <w:spacing w:line="360" w:lineRule="auto"/>
        <w:ind w:left="0" w:leftChars="0" w:right="-57" w:rightChars="-27" w:firstLine="4620" w:firstLineChars="192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法定代表人或其委托代理人：（签字或盖章）</w:t>
      </w:r>
    </w:p>
    <w:p w14:paraId="5C2CBB12">
      <w:pPr>
        <w:spacing w:line="360" w:lineRule="auto"/>
        <w:ind w:left="1338" w:leftChars="637" w:right="-57" w:rightChars="-27" w:firstLine="3280" w:firstLineChars="1367"/>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w:t>
      </w:r>
    </w:p>
    <w:p w14:paraId="5A44CF40">
      <w:pPr>
        <w:pageBreakBefore w:val="0"/>
        <w:snapToGrid/>
        <w:spacing w:line="240" w:lineRule="auto"/>
        <w:jc w:val="left"/>
        <w:outlineLvl w:val="9"/>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br w:type="page"/>
      </w:r>
    </w:p>
    <w:p w14:paraId="6F5C9A9F">
      <w:pPr>
        <w:pageBreakBefore w:val="0"/>
        <w:snapToGrid/>
        <w:spacing w:line="360" w:lineRule="auto"/>
        <w:jc w:val="left"/>
        <w:outlineLvl w:val="2"/>
        <w:rPr>
          <w:rFonts w:hint="eastAsia" w:ascii="宋体" w:hAnsi="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B5</w:t>
      </w:r>
      <w:r>
        <w:rPr>
          <w:rFonts w:hint="eastAsia" w:ascii="宋体" w:hAnsi="宋体" w:eastAsia="宋体" w:cs="宋体"/>
          <w:b w:val="0"/>
          <w:sz w:val="24"/>
          <w:szCs w:val="24"/>
          <w:highlight w:val="none"/>
        </w:rPr>
        <w:t>：</w:t>
      </w:r>
      <w:r>
        <w:rPr>
          <w:rFonts w:hint="eastAsia" w:ascii="宋体" w:hAnsi="宋体" w:cs="宋体"/>
          <w:b w:val="0"/>
          <w:sz w:val="24"/>
          <w:szCs w:val="24"/>
          <w:highlight w:val="none"/>
        </w:rPr>
        <w:t>售后服务承诺书</w:t>
      </w:r>
    </w:p>
    <w:p w14:paraId="3324B31B">
      <w:pPr>
        <w:spacing w:before="240" w:beforeLines="100" w:after="240" w:afterLines="100" w:line="240" w:lineRule="auto"/>
        <w:ind w:left="948" w:right="-57" w:rightChars="-27" w:hanging="948"/>
        <w:jc w:val="center"/>
        <w:rPr>
          <w:rFonts w:hAnsi="宋体"/>
          <w:b/>
          <w:color w:val="000000"/>
          <w:sz w:val="28"/>
          <w:szCs w:val="28"/>
          <w:highlight w:val="none"/>
        </w:rPr>
      </w:pPr>
      <w:r>
        <w:rPr>
          <w:rFonts w:hint="eastAsia" w:hAnsi="宋体"/>
          <w:b/>
          <w:color w:val="000000"/>
          <w:sz w:val="28"/>
          <w:szCs w:val="28"/>
          <w:highlight w:val="none"/>
        </w:rPr>
        <w:t>售后服务承诺书</w:t>
      </w:r>
    </w:p>
    <w:p w14:paraId="6C909870">
      <w:pPr>
        <w:spacing w:line="360" w:lineRule="auto"/>
        <w:ind w:left="619" w:hanging="649" w:hangingChars="295"/>
        <w:rPr>
          <w:rFonts w:ascii="宋体" w:hAnsi="宋体"/>
          <w:color w:val="000000"/>
          <w:sz w:val="22"/>
          <w:szCs w:val="22"/>
          <w:highlight w:val="none"/>
        </w:rPr>
      </w:pPr>
      <w:r>
        <w:rPr>
          <w:rFonts w:hint="eastAsia" w:ascii="宋体" w:hAnsi="宋体"/>
          <w:color w:val="000000"/>
          <w:sz w:val="22"/>
          <w:szCs w:val="22"/>
          <w:highlight w:val="none"/>
        </w:rPr>
        <w:t>南宁轨道地产建筑工程有限责任公司：</w:t>
      </w:r>
    </w:p>
    <w:p w14:paraId="04C2B609">
      <w:pPr>
        <w:spacing w:line="360" w:lineRule="auto"/>
        <w:ind w:firstLine="440" w:firstLineChars="200"/>
        <w:rPr>
          <w:rFonts w:ascii="宋体" w:hAnsi="宋体"/>
          <w:color w:val="000000"/>
          <w:sz w:val="22"/>
          <w:szCs w:val="22"/>
          <w:highlight w:val="none"/>
        </w:rPr>
      </w:pPr>
      <w:r>
        <w:rPr>
          <w:rFonts w:hint="eastAsia" w:ascii="宋体" w:hAnsi="宋体"/>
          <w:color w:val="000000"/>
          <w:sz w:val="22"/>
          <w:szCs w:val="22"/>
          <w:highlight w:val="none"/>
        </w:rPr>
        <w:t>我公司参与贵公司</w:t>
      </w:r>
      <w:r>
        <w:rPr>
          <w:rFonts w:ascii="宋体" w:hAnsi="宋体"/>
          <w:color w:val="000000"/>
          <w:sz w:val="22"/>
          <w:szCs w:val="22"/>
          <w:highlight w:val="none"/>
        </w:rPr>
        <w:t>采购项目</w:t>
      </w:r>
      <w:r>
        <w:rPr>
          <w:rFonts w:hint="eastAsia" w:ascii="宋体" w:hAnsi="宋体"/>
          <w:color w:val="000000"/>
          <w:sz w:val="22"/>
          <w:szCs w:val="22"/>
          <w:highlight w:val="none"/>
        </w:rPr>
        <w:t>的采购活动</w:t>
      </w:r>
      <w:r>
        <w:rPr>
          <w:rFonts w:ascii="宋体" w:hAnsi="宋体"/>
          <w:color w:val="000000"/>
          <w:sz w:val="22"/>
          <w:szCs w:val="22"/>
          <w:highlight w:val="none"/>
        </w:rPr>
        <w:t>并</w:t>
      </w:r>
      <w:r>
        <w:rPr>
          <w:rFonts w:hint="eastAsia" w:ascii="宋体" w:hAnsi="宋体"/>
          <w:color w:val="000000"/>
          <w:sz w:val="22"/>
          <w:szCs w:val="22"/>
          <w:highlight w:val="none"/>
        </w:rPr>
        <w:t>做出</w:t>
      </w:r>
      <w:r>
        <w:rPr>
          <w:rFonts w:ascii="宋体" w:hAnsi="宋体"/>
          <w:color w:val="000000"/>
          <w:sz w:val="22"/>
          <w:szCs w:val="22"/>
          <w:highlight w:val="none"/>
        </w:rPr>
        <w:t>以下承诺：</w:t>
      </w:r>
    </w:p>
    <w:p w14:paraId="2EFA186A">
      <w:pPr>
        <w:pStyle w:val="117"/>
        <w:spacing w:line="360" w:lineRule="auto"/>
        <w:rPr>
          <w:rFonts w:ascii="宋体" w:hAnsi="宋体"/>
          <w:color w:val="000000"/>
          <w:sz w:val="22"/>
          <w:highlight w:val="none"/>
        </w:rPr>
      </w:pPr>
      <w:r>
        <w:rPr>
          <w:rFonts w:hint="eastAsia" w:ascii="宋体" w:hAnsi="宋体"/>
          <w:color w:val="000000"/>
          <w:sz w:val="22"/>
          <w:highlight w:val="none"/>
        </w:rPr>
        <w:t>1.所有产品的</w:t>
      </w:r>
      <w:r>
        <w:rPr>
          <w:rFonts w:ascii="宋体" w:hAnsi="宋体"/>
          <w:color w:val="000000"/>
          <w:sz w:val="22"/>
          <w:highlight w:val="none"/>
        </w:rPr>
        <w:t>质量、质保期、售后</w:t>
      </w:r>
      <w:r>
        <w:rPr>
          <w:rFonts w:hint="eastAsia" w:ascii="宋体" w:hAnsi="宋体"/>
          <w:color w:val="000000"/>
          <w:sz w:val="22"/>
          <w:highlight w:val="none"/>
        </w:rPr>
        <w:t>技术</w:t>
      </w:r>
      <w:r>
        <w:rPr>
          <w:rFonts w:ascii="宋体" w:hAnsi="宋体"/>
          <w:color w:val="000000"/>
          <w:sz w:val="22"/>
          <w:highlight w:val="none"/>
        </w:rPr>
        <w:t>服务等</w:t>
      </w:r>
      <w:r>
        <w:rPr>
          <w:rFonts w:hint="eastAsia" w:ascii="宋体" w:hAnsi="宋体"/>
          <w:color w:val="000000"/>
          <w:sz w:val="22"/>
          <w:highlight w:val="none"/>
        </w:rPr>
        <w:t>完全符合或优于贵公司的采购要求，全部符合国家和</w:t>
      </w:r>
      <w:r>
        <w:rPr>
          <w:rFonts w:ascii="宋体" w:hAnsi="宋体"/>
          <w:color w:val="000000"/>
          <w:sz w:val="22"/>
          <w:highlight w:val="none"/>
        </w:rPr>
        <w:t>行业相关</w:t>
      </w:r>
      <w:r>
        <w:rPr>
          <w:rFonts w:hint="eastAsia" w:ascii="宋体" w:hAnsi="宋体"/>
          <w:color w:val="000000"/>
          <w:sz w:val="22"/>
          <w:highlight w:val="none"/>
        </w:rPr>
        <w:t>标准，</w:t>
      </w:r>
      <w:r>
        <w:rPr>
          <w:rFonts w:ascii="宋体" w:hAnsi="宋体"/>
          <w:color w:val="000000"/>
          <w:sz w:val="22"/>
          <w:highlight w:val="none"/>
        </w:rPr>
        <w:t>所有产品</w:t>
      </w:r>
      <w:r>
        <w:rPr>
          <w:rFonts w:hint="eastAsia" w:ascii="宋体" w:hAnsi="宋体"/>
          <w:color w:val="000000"/>
          <w:sz w:val="22"/>
          <w:highlight w:val="none"/>
        </w:rPr>
        <w:t>均为全新的正牌产品，具备产品合格证。货到验收如发现与产品描述不符或无产品合格证，我司接受</w:t>
      </w:r>
      <w:r>
        <w:rPr>
          <w:rFonts w:ascii="宋体" w:hAnsi="宋体"/>
          <w:color w:val="000000"/>
          <w:sz w:val="22"/>
          <w:highlight w:val="none"/>
        </w:rPr>
        <w:t>无条件</w:t>
      </w:r>
      <w:r>
        <w:rPr>
          <w:rFonts w:hint="eastAsia" w:ascii="宋体" w:hAnsi="宋体"/>
          <w:color w:val="000000"/>
          <w:sz w:val="22"/>
          <w:highlight w:val="none"/>
        </w:rPr>
        <w:t>退货。如为假冒伪劣产品，造成损失的由我司承担全部法律责任。</w:t>
      </w:r>
    </w:p>
    <w:p w14:paraId="67B85032">
      <w:pPr>
        <w:pStyle w:val="117"/>
        <w:spacing w:line="360" w:lineRule="auto"/>
        <w:rPr>
          <w:rFonts w:ascii="宋体" w:hAnsi="宋体"/>
          <w:color w:val="000000"/>
          <w:sz w:val="22"/>
          <w:highlight w:val="none"/>
        </w:rPr>
      </w:pPr>
      <w:r>
        <w:rPr>
          <w:rFonts w:hint="eastAsia" w:ascii="宋体" w:hAnsi="宋体"/>
          <w:color w:val="000000"/>
          <w:sz w:val="22"/>
          <w:highlight w:val="none"/>
        </w:rPr>
        <w:t>2.我公司</w:t>
      </w:r>
      <w:r>
        <w:rPr>
          <w:rFonts w:ascii="宋体" w:hAnsi="宋体"/>
          <w:color w:val="000000"/>
          <w:sz w:val="22"/>
          <w:highlight w:val="none"/>
        </w:rPr>
        <w:t>知悉，本次</w:t>
      </w:r>
      <w:r>
        <w:rPr>
          <w:rFonts w:hint="eastAsia" w:ascii="宋体" w:hAnsi="宋体"/>
          <w:color w:val="000000"/>
          <w:sz w:val="22"/>
          <w:highlight w:val="none"/>
        </w:rPr>
        <w:t>各货物的数量为贵公司</w:t>
      </w:r>
      <w:r>
        <w:rPr>
          <w:rFonts w:ascii="宋体" w:hAnsi="宋体"/>
          <w:color w:val="000000"/>
          <w:sz w:val="22"/>
          <w:highlight w:val="none"/>
        </w:rPr>
        <w:t>的</w:t>
      </w:r>
      <w:r>
        <w:rPr>
          <w:rFonts w:hint="eastAsia" w:ascii="宋体" w:hAnsi="宋体"/>
          <w:color w:val="000000"/>
          <w:sz w:val="22"/>
          <w:highlight w:val="none"/>
        </w:rPr>
        <w:t>预计采购数量，如有调整以贵公司发出的通知为准。贵公司可以根据实际使用情况及需求变更情况对未交货产品数量进行部分或全部调整，包括增加或减少，不论实际数量大于或低于预计数量，均按照成交单价执行。</w:t>
      </w:r>
    </w:p>
    <w:p w14:paraId="1EA0B98A">
      <w:pPr>
        <w:pStyle w:val="117"/>
        <w:spacing w:line="360" w:lineRule="auto"/>
        <w:rPr>
          <w:rFonts w:ascii="宋体" w:hAnsi="宋体"/>
          <w:color w:val="000000"/>
          <w:sz w:val="22"/>
          <w:highlight w:val="none"/>
        </w:rPr>
      </w:pPr>
      <w:r>
        <w:rPr>
          <w:rFonts w:hint="eastAsia" w:ascii="宋体" w:hAnsi="宋体"/>
          <w:color w:val="000000"/>
          <w:sz w:val="22"/>
          <w:highlight w:val="none"/>
        </w:rPr>
        <w:t>3.我公司</w:t>
      </w:r>
      <w:r>
        <w:rPr>
          <w:rFonts w:ascii="宋体" w:hAnsi="宋体"/>
          <w:color w:val="000000"/>
          <w:sz w:val="22"/>
          <w:highlight w:val="none"/>
        </w:rPr>
        <w:t>知悉，</w:t>
      </w:r>
      <w:r>
        <w:rPr>
          <w:rFonts w:hint="eastAsia" w:ascii="宋体" w:hAnsi="宋体"/>
          <w:color w:val="000000"/>
          <w:sz w:val="22"/>
          <w:highlight w:val="none"/>
        </w:rPr>
        <w:t>贵公司</w:t>
      </w:r>
      <w:r>
        <w:rPr>
          <w:rFonts w:ascii="宋体" w:hAnsi="宋体"/>
          <w:color w:val="000000"/>
          <w:sz w:val="22"/>
          <w:highlight w:val="none"/>
        </w:rPr>
        <w:t>的</w:t>
      </w:r>
      <w:r>
        <w:rPr>
          <w:rFonts w:hint="eastAsia" w:ascii="宋体" w:hAnsi="宋体"/>
          <w:color w:val="000000"/>
          <w:sz w:val="22"/>
          <w:highlight w:val="none"/>
        </w:rPr>
        <w:t>采购文件并未充分引用有关条文和标准规范，提出的是最基本的技术要求，我公司</w:t>
      </w:r>
      <w:r>
        <w:rPr>
          <w:rFonts w:ascii="宋体" w:hAnsi="宋体"/>
          <w:color w:val="000000"/>
          <w:sz w:val="22"/>
          <w:highlight w:val="none"/>
        </w:rPr>
        <w:t>保证</w:t>
      </w:r>
      <w:r>
        <w:rPr>
          <w:rFonts w:hint="eastAsia" w:ascii="宋体" w:hAnsi="宋体"/>
          <w:color w:val="000000"/>
          <w:sz w:val="22"/>
          <w:highlight w:val="none"/>
        </w:rPr>
        <w:t>所有</w:t>
      </w:r>
      <w:r>
        <w:rPr>
          <w:rFonts w:ascii="宋体" w:hAnsi="宋体"/>
          <w:color w:val="000000"/>
          <w:sz w:val="22"/>
          <w:highlight w:val="none"/>
        </w:rPr>
        <w:t>产品</w:t>
      </w:r>
      <w:r>
        <w:rPr>
          <w:rFonts w:hint="eastAsia" w:ascii="宋体" w:hAnsi="宋体"/>
          <w:color w:val="000000"/>
          <w:sz w:val="22"/>
          <w:highlight w:val="none"/>
        </w:rPr>
        <w:t>符合工业制造标准，为优质的市场已有的成熟产品以满足使用可靠、技术先进、操作简单、维护方便的要求；除非贵公司主动提出，贵公司</w:t>
      </w:r>
      <w:r>
        <w:rPr>
          <w:rFonts w:ascii="宋体" w:hAnsi="宋体"/>
          <w:color w:val="000000"/>
          <w:sz w:val="22"/>
          <w:highlight w:val="none"/>
        </w:rPr>
        <w:t>可无条件拒绝</w:t>
      </w:r>
      <w:r>
        <w:rPr>
          <w:rFonts w:hint="eastAsia" w:ascii="宋体" w:hAnsi="宋体"/>
          <w:color w:val="000000"/>
          <w:sz w:val="22"/>
          <w:highlight w:val="none"/>
        </w:rPr>
        <w:t>接受任何形式的改装或定制类产品。  </w:t>
      </w:r>
    </w:p>
    <w:p w14:paraId="4FBE2350">
      <w:pPr>
        <w:pStyle w:val="117"/>
        <w:spacing w:line="360" w:lineRule="auto"/>
        <w:rPr>
          <w:rFonts w:ascii="宋体" w:hAnsi="宋体"/>
          <w:color w:val="000000"/>
          <w:sz w:val="22"/>
          <w:highlight w:val="none"/>
        </w:rPr>
      </w:pPr>
      <w:r>
        <w:rPr>
          <w:rFonts w:hint="eastAsia" w:ascii="宋体" w:hAnsi="宋体"/>
          <w:color w:val="000000"/>
          <w:sz w:val="22"/>
          <w:highlight w:val="none"/>
        </w:rPr>
        <w:t>4.交货前贵公司有权要求我公司提供样品；如贵公司对样品不认可有权不签订</w:t>
      </w:r>
      <w:r>
        <w:rPr>
          <w:rFonts w:ascii="宋体" w:hAnsi="宋体"/>
          <w:color w:val="000000"/>
          <w:sz w:val="22"/>
          <w:highlight w:val="none"/>
        </w:rPr>
        <w:t>合同或撤销</w:t>
      </w:r>
      <w:r>
        <w:rPr>
          <w:rFonts w:hint="eastAsia" w:ascii="宋体" w:hAnsi="宋体"/>
          <w:color w:val="000000"/>
          <w:sz w:val="22"/>
          <w:highlight w:val="none"/>
        </w:rPr>
        <w:t>、</w:t>
      </w:r>
      <w:r>
        <w:rPr>
          <w:rFonts w:ascii="宋体" w:hAnsi="宋体"/>
          <w:color w:val="000000"/>
          <w:sz w:val="22"/>
          <w:highlight w:val="none"/>
        </w:rPr>
        <w:t>终止已签订的合同</w:t>
      </w:r>
      <w:r>
        <w:rPr>
          <w:rFonts w:hint="eastAsia" w:ascii="宋体" w:hAnsi="宋体"/>
          <w:color w:val="000000"/>
          <w:sz w:val="22"/>
          <w:highlight w:val="none"/>
        </w:rPr>
        <w:t>，</w:t>
      </w:r>
      <w:r>
        <w:rPr>
          <w:rFonts w:ascii="宋体" w:hAnsi="宋体"/>
          <w:color w:val="000000"/>
          <w:sz w:val="22"/>
          <w:highlight w:val="none"/>
        </w:rPr>
        <w:t>如</w:t>
      </w:r>
      <w:r>
        <w:rPr>
          <w:rFonts w:hint="eastAsia" w:ascii="宋体" w:hAnsi="宋体"/>
          <w:color w:val="000000"/>
          <w:sz w:val="22"/>
          <w:highlight w:val="none"/>
        </w:rPr>
        <w:t>贵公司</w:t>
      </w:r>
      <w:r>
        <w:rPr>
          <w:rFonts w:ascii="宋体" w:hAnsi="宋体"/>
          <w:color w:val="000000"/>
          <w:sz w:val="22"/>
          <w:highlight w:val="none"/>
        </w:rPr>
        <w:t>对样品认可</w:t>
      </w:r>
      <w:r>
        <w:rPr>
          <w:rFonts w:hint="eastAsia" w:ascii="宋体" w:hAnsi="宋体"/>
          <w:color w:val="000000"/>
          <w:sz w:val="22"/>
          <w:highlight w:val="none"/>
        </w:rPr>
        <w:t>且</w:t>
      </w:r>
      <w:r>
        <w:rPr>
          <w:rFonts w:ascii="宋体" w:hAnsi="宋体"/>
          <w:color w:val="000000"/>
          <w:sz w:val="22"/>
          <w:highlight w:val="none"/>
        </w:rPr>
        <w:t>样品未因</w:t>
      </w:r>
      <w:r>
        <w:rPr>
          <w:rFonts w:hint="eastAsia" w:ascii="宋体" w:hAnsi="宋体"/>
          <w:color w:val="000000"/>
          <w:sz w:val="22"/>
          <w:highlight w:val="none"/>
        </w:rPr>
        <w:t>检验</w:t>
      </w:r>
      <w:r>
        <w:rPr>
          <w:rFonts w:ascii="宋体" w:hAnsi="宋体"/>
          <w:color w:val="000000"/>
          <w:sz w:val="22"/>
          <w:highlight w:val="none"/>
        </w:rPr>
        <w:t>检测</w:t>
      </w:r>
      <w:r>
        <w:rPr>
          <w:rFonts w:hint="eastAsia" w:ascii="宋体" w:hAnsi="宋体"/>
          <w:color w:val="000000"/>
          <w:sz w:val="22"/>
          <w:highlight w:val="none"/>
        </w:rPr>
        <w:t>而</w:t>
      </w:r>
      <w:r>
        <w:rPr>
          <w:rFonts w:ascii="宋体" w:hAnsi="宋体"/>
          <w:color w:val="000000"/>
          <w:sz w:val="22"/>
          <w:highlight w:val="none"/>
        </w:rPr>
        <w:t>发生性能改变</w:t>
      </w:r>
      <w:r>
        <w:rPr>
          <w:rFonts w:hint="eastAsia" w:ascii="宋体" w:hAnsi="宋体"/>
          <w:color w:val="000000"/>
          <w:sz w:val="22"/>
          <w:highlight w:val="none"/>
        </w:rPr>
        <w:t>，</w:t>
      </w:r>
      <w:r>
        <w:rPr>
          <w:rFonts w:ascii="宋体" w:hAnsi="宋体"/>
          <w:color w:val="000000"/>
          <w:sz w:val="22"/>
          <w:highlight w:val="none"/>
        </w:rPr>
        <w:t>则样品数量</w:t>
      </w:r>
      <w:r>
        <w:rPr>
          <w:rFonts w:hint="eastAsia" w:ascii="宋体" w:hAnsi="宋体"/>
          <w:color w:val="000000"/>
          <w:sz w:val="22"/>
          <w:highlight w:val="none"/>
        </w:rPr>
        <w:t>可</w:t>
      </w:r>
      <w:r>
        <w:rPr>
          <w:rFonts w:ascii="宋体" w:hAnsi="宋体"/>
          <w:color w:val="000000"/>
          <w:sz w:val="22"/>
          <w:highlight w:val="none"/>
        </w:rPr>
        <w:t>计入</w:t>
      </w:r>
      <w:r>
        <w:rPr>
          <w:rFonts w:hint="eastAsia" w:ascii="宋体" w:hAnsi="宋体"/>
          <w:color w:val="000000"/>
          <w:sz w:val="22"/>
          <w:highlight w:val="none"/>
        </w:rPr>
        <w:t>交货</w:t>
      </w:r>
      <w:r>
        <w:rPr>
          <w:rFonts w:ascii="宋体" w:hAnsi="宋体"/>
          <w:color w:val="000000"/>
          <w:sz w:val="22"/>
          <w:highlight w:val="none"/>
        </w:rPr>
        <w:t>数量</w:t>
      </w:r>
      <w:r>
        <w:rPr>
          <w:rFonts w:hint="eastAsia" w:ascii="宋体" w:hAnsi="宋体"/>
          <w:color w:val="000000"/>
          <w:sz w:val="22"/>
          <w:highlight w:val="none"/>
        </w:rPr>
        <w:t>。</w:t>
      </w:r>
    </w:p>
    <w:p w14:paraId="5E1BC416">
      <w:pPr>
        <w:widowControl w:val="0"/>
        <w:spacing w:before="0" w:after="0" w:afterAutospacing="0" w:line="360" w:lineRule="auto"/>
        <w:ind w:left="0" w:right="0" w:firstLine="440" w:firstLineChars="200"/>
        <w:jc w:val="both"/>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5.质保期内货物出现问题</w:t>
      </w:r>
      <w:r>
        <w:rPr>
          <w:rFonts w:hint="eastAsia" w:ascii="宋体" w:hAnsi="宋体" w:cs="宋体"/>
          <w:color w:val="auto"/>
          <w:sz w:val="22"/>
          <w:szCs w:val="22"/>
          <w:highlight w:val="none"/>
          <w:lang w:val="en-US" w:eastAsia="zh-CN" w:bidi="ar-SA"/>
        </w:rPr>
        <w:t>或破损需更换时，</w:t>
      </w:r>
      <w:r>
        <w:rPr>
          <w:rFonts w:hint="eastAsia" w:ascii="宋体" w:hAnsi="宋体" w:eastAsia="宋体" w:cs="宋体"/>
          <w:color w:val="auto"/>
          <w:sz w:val="22"/>
          <w:szCs w:val="22"/>
          <w:highlight w:val="none"/>
          <w:lang w:val="en-US" w:eastAsia="zh-CN" w:bidi="ar-SA"/>
        </w:rPr>
        <w:t>我公司承诺在1小时内做出响应，2小时将货物送至现场。一般问题应在1小时内解决，重大问题或其它无法迅速解决的问题应在24小时内解决。质保期内的货物出现破损等均为免费更换。质保期</w:t>
      </w:r>
      <w:r>
        <w:rPr>
          <w:rFonts w:hint="eastAsia" w:ascii="宋体" w:hAnsi="宋体" w:cs="宋体"/>
          <w:color w:val="auto"/>
          <w:sz w:val="22"/>
          <w:szCs w:val="22"/>
          <w:highlight w:val="none"/>
          <w:lang w:val="en-US" w:eastAsia="zh-CN" w:bidi="ar-SA"/>
        </w:rPr>
        <w:t>过</w:t>
      </w:r>
      <w:r>
        <w:rPr>
          <w:rFonts w:hint="eastAsia" w:ascii="宋体" w:hAnsi="宋体" w:eastAsia="宋体" w:cs="宋体"/>
          <w:color w:val="auto"/>
          <w:sz w:val="22"/>
          <w:szCs w:val="22"/>
          <w:highlight w:val="none"/>
          <w:lang w:val="en-US" w:eastAsia="zh-CN" w:bidi="ar-SA"/>
        </w:rPr>
        <w:t>后，我公司仍保持质保期内的响应服务，对于货物出现质量问题需更换时按市场价格收取成本费。</w:t>
      </w:r>
    </w:p>
    <w:p w14:paraId="44707A9C">
      <w:pPr>
        <w:pStyle w:val="117"/>
        <w:spacing w:line="360" w:lineRule="auto"/>
        <w:rPr>
          <w:rFonts w:ascii="宋体" w:hAnsi="宋体"/>
          <w:color w:val="000000"/>
          <w:sz w:val="22"/>
          <w:highlight w:val="none"/>
        </w:rPr>
      </w:pPr>
      <w:r>
        <w:rPr>
          <w:rFonts w:hint="eastAsia" w:ascii="宋体" w:hAnsi="宋体"/>
          <w:color w:val="000000"/>
          <w:sz w:val="22"/>
          <w:highlight w:val="none"/>
        </w:rPr>
        <w:t>6.若我公司因自身原因不能履约签订合同或履行合同的，贵公司可取消我公司的中标资格，并从后续排名的</w:t>
      </w:r>
      <w:r>
        <w:rPr>
          <w:rFonts w:ascii="宋体" w:hAnsi="宋体"/>
          <w:color w:val="000000"/>
          <w:sz w:val="22"/>
          <w:highlight w:val="none"/>
        </w:rPr>
        <w:t>其他</w:t>
      </w:r>
      <w:r>
        <w:rPr>
          <w:rFonts w:hint="eastAsia" w:ascii="宋体" w:hAnsi="宋体"/>
          <w:color w:val="000000"/>
          <w:sz w:val="22"/>
          <w:highlight w:val="none"/>
        </w:rPr>
        <w:t>中标候选人中依次向上递补确定供应商或重新组织采购，同时贵公司有权将我公司列入黑名单。</w:t>
      </w:r>
    </w:p>
    <w:p w14:paraId="1D08B813">
      <w:pPr>
        <w:pStyle w:val="117"/>
        <w:spacing w:line="360" w:lineRule="auto"/>
        <w:ind w:left="480"/>
        <w:rPr>
          <w:rFonts w:ascii="宋体" w:hAnsi="宋体"/>
          <w:color w:val="000000"/>
          <w:sz w:val="22"/>
          <w:szCs w:val="22"/>
          <w:highlight w:val="none"/>
        </w:rPr>
      </w:pPr>
      <w:r>
        <w:rPr>
          <w:rFonts w:hint="eastAsia" w:ascii="宋体" w:hAnsi="宋体"/>
          <w:color w:val="000000"/>
          <w:sz w:val="22"/>
          <w:highlight w:val="none"/>
        </w:rPr>
        <w:t>联系人:</w:t>
      </w:r>
      <w:r>
        <w:rPr>
          <w:rFonts w:hint="eastAsia" w:ascii="宋体" w:hAnsi="宋体"/>
          <w:color w:val="000000"/>
          <w:sz w:val="22"/>
          <w:highlight w:val="none"/>
          <w:u w:val="single"/>
        </w:rPr>
        <w:t xml:space="preserve">（填写）   </w:t>
      </w:r>
      <w:r>
        <w:rPr>
          <w:rFonts w:hint="eastAsia" w:ascii="宋体" w:hAnsi="宋体"/>
          <w:color w:val="000000"/>
          <w:sz w:val="22"/>
          <w:highlight w:val="none"/>
        </w:rPr>
        <w:t xml:space="preserve"> 联系方式:</w:t>
      </w:r>
      <w:r>
        <w:rPr>
          <w:rFonts w:hint="eastAsia" w:ascii="宋体" w:hAnsi="宋体"/>
          <w:color w:val="000000"/>
          <w:sz w:val="22"/>
          <w:highlight w:val="none"/>
          <w:u w:val="single"/>
        </w:rPr>
        <w:t xml:space="preserve">（填写）   </w:t>
      </w:r>
      <w:r>
        <w:rPr>
          <w:rFonts w:hint="eastAsia" w:ascii="宋体" w:hAnsi="宋体"/>
          <w:color w:val="000000"/>
          <w:sz w:val="22"/>
          <w:highlight w:val="none"/>
        </w:rPr>
        <w:t>身份证号:</w:t>
      </w:r>
      <w:r>
        <w:rPr>
          <w:rFonts w:hint="eastAsia" w:ascii="宋体" w:hAnsi="宋体"/>
          <w:color w:val="000000"/>
          <w:sz w:val="22"/>
          <w:highlight w:val="none"/>
          <w:u w:val="single"/>
        </w:rPr>
        <w:t xml:space="preserve">（填写）   </w:t>
      </w:r>
    </w:p>
    <w:p w14:paraId="0FA2AB65">
      <w:pPr>
        <w:spacing w:line="360" w:lineRule="auto"/>
        <w:ind w:left="1338" w:leftChars="637" w:right="-57" w:rightChars="-27" w:firstLine="3700" w:firstLineChars="1682"/>
        <w:rPr>
          <w:color w:val="000000"/>
          <w:sz w:val="22"/>
          <w:szCs w:val="22"/>
          <w:highlight w:val="none"/>
        </w:rPr>
      </w:pPr>
    </w:p>
    <w:p w14:paraId="5D192719">
      <w:pPr>
        <w:spacing w:line="360" w:lineRule="auto"/>
        <w:ind w:left="1338" w:leftChars="637" w:right="-57" w:rightChars="-27" w:firstLine="3700" w:firstLineChars="1682"/>
        <w:rPr>
          <w:color w:val="000000"/>
          <w:sz w:val="22"/>
          <w:szCs w:val="22"/>
          <w:highlight w:val="none"/>
        </w:rPr>
      </w:pPr>
      <w:r>
        <w:rPr>
          <w:color w:val="000000"/>
          <w:sz w:val="22"/>
          <w:szCs w:val="22"/>
          <w:highlight w:val="none"/>
        </w:rPr>
        <w:t>投标人：（公章）</w:t>
      </w:r>
    </w:p>
    <w:p w14:paraId="322716A1">
      <w:pPr>
        <w:spacing w:line="360" w:lineRule="auto"/>
        <w:ind w:left="0" w:leftChars="0" w:right="-57" w:rightChars="-27" w:firstLine="5038" w:firstLineChars="2290"/>
        <w:rPr>
          <w:color w:val="000000"/>
          <w:sz w:val="22"/>
          <w:szCs w:val="22"/>
          <w:highlight w:val="none"/>
        </w:rPr>
      </w:pPr>
      <w:r>
        <w:rPr>
          <w:color w:val="000000"/>
          <w:sz w:val="22"/>
          <w:szCs w:val="22"/>
          <w:highlight w:val="none"/>
        </w:rPr>
        <w:t>法定代表人或其</w:t>
      </w:r>
      <w:r>
        <w:rPr>
          <w:rFonts w:hint="eastAsia"/>
          <w:color w:val="000000"/>
          <w:sz w:val="22"/>
          <w:szCs w:val="22"/>
          <w:highlight w:val="none"/>
        </w:rPr>
        <w:t>委托代理人</w:t>
      </w:r>
      <w:r>
        <w:rPr>
          <w:color w:val="000000"/>
          <w:sz w:val="22"/>
          <w:szCs w:val="22"/>
          <w:highlight w:val="none"/>
        </w:rPr>
        <w:t>：（签字或盖章）</w:t>
      </w:r>
    </w:p>
    <w:p w14:paraId="1C26AF60">
      <w:pPr>
        <w:spacing w:line="360" w:lineRule="auto"/>
        <w:ind w:left="0" w:leftChars="0" w:right="-57" w:rightChars="-27" w:firstLine="5038" w:firstLineChars="2290"/>
        <w:rPr>
          <w:color w:val="000000"/>
          <w:sz w:val="22"/>
          <w:szCs w:val="22"/>
          <w:highlight w:val="none"/>
        </w:rPr>
      </w:pPr>
      <w:r>
        <w:rPr>
          <w:color w:val="000000"/>
          <w:sz w:val="22"/>
          <w:szCs w:val="22"/>
          <w:highlight w:val="none"/>
        </w:rPr>
        <w:t>日期：</w:t>
      </w:r>
    </w:p>
    <w:p w14:paraId="4E167779">
      <w:pPr>
        <w:spacing w:line="240" w:lineRule="auto"/>
        <w:ind w:left="0" w:leftChars="0" w:right="0" w:rightChars="0" w:firstLine="0" w:firstLineChars="0"/>
        <w:rPr>
          <w:color w:val="000000"/>
          <w:sz w:val="22"/>
          <w:szCs w:val="22"/>
          <w:highlight w:val="none"/>
        </w:rPr>
      </w:pPr>
      <w:r>
        <w:rPr>
          <w:color w:val="000000"/>
          <w:sz w:val="22"/>
          <w:szCs w:val="22"/>
          <w:highlight w:val="none"/>
        </w:rPr>
        <w:br w:type="page"/>
      </w:r>
    </w:p>
    <w:p w14:paraId="2D6D2888">
      <w:pPr>
        <w:keepNext w:val="0"/>
        <w:keepLines w:val="0"/>
        <w:spacing w:line="360" w:lineRule="auto"/>
        <w:jc w:val="left"/>
        <w:outlineLvl w:val="2"/>
        <w:rPr>
          <w:rFonts w:hint="eastAsia" w:ascii="宋体" w:hAnsi="宋体" w:cs="宋体"/>
          <w:b w:val="0"/>
          <w:sz w:val="24"/>
          <w:szCs w:val="24"/>
          <w:highlight w:val="none"/>
        </w:rPr>
      </w:pPr>
      <w:r>
        <w:rPr>
          <w:rFonts w:hint="eastAsia" w:ascii="宋体" w:hAnsi="宋体" w:cs="宋体"/>
          <w:b w:val="0"/>
          <w:sz w:val="24"/>
          <w:szCs w:val="24"/>
          <w:highlight w:val="none"/>
        </w:rPr>
        <w:t>格式B</w:t>
      </w:r>
      <w:r>
        <w:rPr>
          <w:rFonts w:hint="eastAsia" w:ascii="宋体" w:hAnsi="宋体" w:cs="宋体"/>
          <w:b w:val="0"/>
          <w:sz w:val="24"/>
          <w:szCs w:val="24"/>
          <w:highlight w:val="none"/>
          <w:lang w:val="en-US" w:eastAsia="zh-CN"/>
        </w:rPr>
        <w:t>6</w:t>
      </w:r>
      <w:r>
        <w:rPr>
          <w:rFonts w:hint="eastAsia" w:ascii="宋体" w:hAnsi="宋体" w:cs="宋体"/>
          <w:b w:val="0"/>
          <w:sz w:val="24"/>
          <w:szCs w:val="24"/>
          <w:highlight w:val="none"/>
        </w:rPr>
        <w:t>：</w:t>
      </w:r>
      <w:r>
        <w:rPr>
          <w:rFonts w:hint="eastAsia" w:ascii="宋体" w:hAnsi="宋体" w:eastAsia="宋体" w:cs="宋体"/>
          <w:b w:val="0"/>
          <w:sz w:val="24"/>
          <w:szCs w:val="24"/>
          <w:highlight w:val="none"/>
        </w:rPr>
        <w:t>拟投入本项目人员情况表</w:t>
      </w:r>
    </w:p>
    <w:p w14:paraId="7E61A76D">
      <w:pPr>
        <w:widowControl/>
        <w:spacing w:line="360" w:lineRule="auto"/>
        <w:jc w:val="center"/>
        <w:rPr>
          <w:rFonts w:ascii="宋体" w:hAnsi="宋体"/>
          <w:b/>
          <w:bCs/>
          <w:color w:val="auto"/>
          <w:sz w:val="24"/>
          <w:highlight w:val="none"/>
        </w:rPr>
      </w:pPr>
      <w:r>
        <w:rPr>
          <w:rFonts w:hint="eastAsia" w:ascii="宋体" w:hAnsi="宋体"/>
          <w:b/>
          <w:bCs/>
          <w:color w:val="auto"/>
          <w:sz w:val="24"/>
          <w:highlight w:val="none"/>
        </w:rPr>
        <w:t>拟投入本项目人员情况表</w:t>
      </w:r>
    </w:p>
    <w:tbl>
      <w:tblPr>
        <w:tblStyle w:val="49"/>
        <w:tblW w:w="47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799"/>
        <w:gridCol w:w="1038"/>
        <w:gridCol w:w="851"/>
        <w:gridCol w:w="899"/>
        <w:gridCol w:w="1543"/>
        <w:gridCol w:w="1109"/>
        <w:gridCol w:w="1038"/>
        <w:gridCol w:w="888"/>
      </w:tblGrid>
      <w:tr w14:paraId="55DE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8C6A4F9">
            <w:pPr>
              <w:jc w:val="center"/>
              <w:rPr>
                <w:rFonts w:ascii="Arial" w:hAnsi="Arial"/>
                <w:color w:val="auto"/>
                <w:szCs w:val="21"/>
                <w:highlight w:val="none"/>
              </w:rPr>
            </w:pPr>
            <w:r>
              <w:rPr>
                <w:rFonts w:hint="eastAsia" w:ascii="Arial" w:hAnsi="Arial"/>
                <w:color w:val="auto"/>
                <w:szCs w:val="21"/>
                <w:highlight w:val="none"/>
              </w:rPr>
              <w:t>序号</w:t>
            </w:r>
          </w:p>
        </w:tc>
        <w:tc>
          <w:tcPr>
            <w:tcW w:w="449" w:type="pct"/>
            <w:noWrap w:val="0"/>
            <w:vAlign w:val="center"/>
          </w:tcPr>
          <w:p w14:paraId="4A6882F2">
            <w:pPr>
              <w:rPr>
                <w:rFonts w:ascii="Arial" w:hAnsi="Arial"/>
                <w:color w:val="auto"/>
                <w:szCs w:val="21"/>
                <w:highlight w:val="none"/>
              </w:rPr>
            </w:pPr>
            <w:r>
              <w:rPr>
                <w:rFonts w:hint="eastAsia" w:ascii="宋体" w:hAnsi="宋体"/>
                <w:color w:val="auto"/>
                <w:kern w:val="0"/>
                <w:szCs w:val="21"/>
                <w:highlight w:val="none"/>
              </w:rPr>
              <w:t>职 务</w:t>
            </w:r>
          </w:p>
        </w:tc>
        <w:tc>
          <w:tcPr>
            <w:tcW w:w="583" w:type="pct"/>
            <w:noWrap w:val="0"/>
            <w:vAlign w:val="center"/>
          </w:tcPr>
          <w:p w14:paraId="3C136BC6">
            <w:pPr>
              <w:jc w:val="center"/>
              <w:rPr>
                <w:rFonts w:ascii="Arial" w:hAnsi="Arial"/>
                <w:color w:val="auto"/>
                <w:szCs w:val="21"/>
                <w:highlight w:val="none"/>
              </w:rPr>
            </w:pPr>
            <w:r>
              <w:rPr>
                <w:rFonts w:hint="eastAsia" w:ascii="Arial" w:hAnsi="Arial"/>
                <w:color w:val="auto"/>
                <w:szCs w:val="21"/>
                <w:highlight w:val="none"/>
              </w:rPr>
              <w:t>姓名</w:t>
            </w:r>
          </w:p>
        </w:tc>
        <w:tc>
          <w:tcPr>
            <w:tcW w:w="478" w:type="pct"/>
            <w:noWrap w:val="0"/>
            <w:vAlign w:val="center"/>
          </w:tcPr>
          <w:p w14:paraId="670EE59B">
            <w:pPr>
              <w:jc w:val="center"/>
              <w:rPr>
                <w:rFonts w:ascii="Arial" w:hAnsi="Arial"/>
                <w:color w:val="auto"/>
                <w:szCs w:val="21"/>
                <w:highlight w:val="none"/>
              </w:rPr>
            </w:pPr>
            <w:r>
              <w:rPr>
                <w:rFonts w:hint="eastAsia" w:ascii="宋体" w:hAnsi="宋体"/>
                <w:color w:val="auto"/>
                <w:kern w:val="0"/>
                <w:szCs w:val="21"/>
                <w:highlight w:val="none"/>
              </w:rPr>
              <w:t>年龄</w:t>
            </w:r>
          </w:p>
        </w:tc>
        <w:tc>
          <w:tcPr>
            <w:tcW w:w="505" w:type="pct"/>
            <w:noWrap w:val="0"/>
            <w:vAlign w:val="center"/>
          </w:tcPr>
          <w:p w14:paraId="32FEF746">
            <w:pPr>
              <w:jc w:val="center"/>
              <w:rPr>
                <w:rFonts w:ascii="Arial" w:hAnsi="Arial"/>
                <w:color w:val="auto"/>
                <w:szCs w:val="21"/>
                <w:highlight w:val="none"/>
              </w:rPr>
            </w:pPr>
            <w:r>
              <w:rPr>
                <w:rFonts w:hint="eastAsia" w:ascii="Arial" w:hAnsi="Arial"/>
                <w:color w:val="auto"/>
                <w:szCs w:val="21"/>
                <w:highlight w:val="none"/>
              </w:rPr>
              <w:t>性别</w:t>
            </w:r>
          </w:p>
        </w:tc>
        <w:tc>
          <w:tcPr>
            <w:tcW w:w="867" w:type="pct"/>
            <w:noWrap w:val="0"/>
            <w:vAlign w:val="center"/>
          </w:tcPr>
          <w:p w14:paraId="37412E4D">
            <w:pPr>
              <w:jc w:val="center"/>
              <w:rPr>
                <w:rFonts w:hint="default" w:ascii="Arial" w:hAnsi="Arial" w:eastAsia="宋体"/>
                <w:color w:val="auto"/>
                <w:szCs w:val="21"/>
                <w:highlight w:val="none"/>
                <w:lang w:val="en-US" w:eastAsia="zh-CN"/>
              </w:rPr>
            </w:pPr>
            <w:r>
              <w:rPr>
                <w:rFonts w:hint="eastAsia" w:ascii="Arial" w:hAnsi="Arial"/>
                <w:color w:val="auto"/>
                <w:szCs w:val="21"/>
                <w:highlight w:val="none"/>
                <w:lang w:val="en-US" w:eastAsia="zh-CN"/>
              </w:rPr>
              <w:t>身份证号码</w:t>
            </w:r>
          </w:p>
        </w:tc>
        <w:tc>
          <w:tcPr>
            <w:tcW w:w="623" w:type="pct"/>
            <w:noWrap w:val="0"/>
            <w:vAlign w:val="center"/>
          </w:tcPr>
          <w:p w14:paraId="2A10E799">
            <w:pPr>
              <w:jc w:val="center"/>
              <w:rPr>
                <w:rFonts w:ascii="Arial" w:hAnsi="Arial"/>
                <w:color w:val="auto"/>
                <w:szCs w:val="21"/>
                <w:highlight w:val="none"/>
              </w:rPr>
            </w:pPr>
            <w:r>
              <w:rPr>
                <w:rFonts w:hint="eastAsia" w:ascii="Arial" w:hAnsi="Arial"/>
                <w:color w:val="auto"/>
                <w:szCs w:val="21"/>
                <w:highlight w:val="none"/>
              </w:rPr>
              <w:t>参加工作时间</w:t>
            </w:r>
          </w:p>
        </w:tc>
        <w:tc>
          <w:tcPr>
            <w:tcW w:w="583" w:type="pct"/>
            <w:noWrap w:val="0"/>
            <w:vAlign w:val="center"/>
          </w:tcPr>
          <w:p w14:paraId="19AB2D13">
            <w:pPr>
              <w:jc w:val="center"/>
              <w:rPr>
                <w:rFonts w:ascii="Arial" w:hAnsi="Arial"/>
                <w:color w:val="auto"/>
                <w:szCs w:val="21"/>
                <w:highlight w:val="none"/>
              </w:rPr>
            </w:pPr>
            <w:r>
              <w:rPr>
                <w:rFonts w:hint="eastAsia" w:ascii="Arial" w:hAnsi="Arial"/>
                <w:color w:val="auto"/>
                <w:szCs w:val="21"/>
                <w:highlight w:val="none"/>
              </w:rPr>
              <w:t>相关资质证书</w:t>
            </w:r>
          </w:p>
        </w:tc>
        <w:tc>
          <w:tcPr>
            <w:tcW w:w="499" w:type="pct"/>
            <w:noWrap w:val="0"/>
            <w:vAlign w:val="center"/>
          </w:tcPr>
          <w:p w14:paraId="09A7725E">
            <w:pPr>
              <w:jc w:val="center"/>
              <w:rPr>
                <w:rFonts w:ascii="Arial" w:hAnsi="Arial"/>
                <w:color w:val="auto"/>
                <w:szCs w:val="21"/>
                <w:highlight w:val="none"/>
              </w:rPr>
            </w:pPr>
            <w:r>
              <w:rPr>
                <w:rFonts w:hint="eastAsia" w:ascii="Arial" w:hAnsi="Arial"/>
                <w:color w:val="auto"/>
                <w:szCs w:val="21"/>
                <w:highlight w:val="none"/>
              </w:rPr>
              <w:t>备注</w:t>
            </w:r>
          </w:p>
        </w:tc>
      </w:tr>
      <w:tr w14:paraId="201C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63F837FC">
            <w:pPr>
              <w:spacing w:line="360" w:lineRule="auto"/>
              <w:rPr>
                <w:rFonts w:ascii="Arial" w:hAnsi="Arial"/>
                <w:color w:val="auto"/>
                <w:szCs w:val="21"/>
                <w:highlight w:val="none"/>
              </w:rPr>
            </w:pPr>
          </w:p>
        </w:tc>
        <w:tc>
          <w:tcPr>
            <w:tcW w:w="449" w:type="pct"/>
            <w:noWrap w:val="0"/>
            <w:vAlign w:val="top"/>
          </w:tcPr>
          <w:p w14:paraId="5E25FA12">
            <w:pPr>
              <w:spacing w:line="360" w:lineRule="auto"/>
              <w:rPr>
                <w:rFonts w:ascii="Arial" w:hAnsi="Arial"/>
                <w:color w:val="auto"/>
                <w:szCs w:val="21"/>
                <w:highlight w:val="none"/>
              </w:rPr>
            </w:pPr>
          </w:p>
        </w:tc>
        <w:tc>
          <w:tcPr>
            <w:tcW w:w="583" w:type="pct"/>
            <w:noWrap w:val="0"/>
            <w:vAlign w:val="top"/>
          </w:tcPr>
          <w:p w14:paraId="7054A95F">
            <w:pPr>
              <w:spacing w:line="360" w:lineRule="auto"/>
              <w:rPr>
                <w:rFonts w:ascii="Arial" w:hAnsi="Arial"/>
                <w:color w:val="auto"/>
                <w:szCs w:val="21"/>
                <w:highlight w:val="none"/>
              </w:rPr>
            </w:pPr>
          </w:p>
        </w:tc>
        <w:tc>
          <w:tcPr>
            <w:tcW w:w="478" w:type="pct"/>
            <w:noWrap w:val="0"/>
            <w:vAlign w:val="top"/>
          </w:tcPr>
          <w:p w14:paraId="65648AE2">
            <w:pPr>
              <w:spacing w:line="360" w:lineRule="auto"/>
              <w:rPr>
                <w:rFonts w:ascii="Arial" w:hAnsi="Arial"/>
                <w:color w:val="auto"/>
                <w:szCs w:val="21"/>
                <w:highlight w:val="none"/>
              </w:rPr>
            </w:pPr>
          </w:p>
        </w:tc>
        <w:tc>
          <w:tcPr>
            <w:tcW w:w="505" w:type="pct"/>
            <w:noWrap w:val="0"/>
            <w:vAlign w:val="top"/>
          </w:tcPr>
          <w:p w14:paraId="55C50BAE">
            <w:pPr>
              <w:spacing w:line="360" w:lineRule="auto"/>
              <w:rPr>
                <w:rFonts w:ascii="Arial" w:hAnsi="Arial"/>
                <w:color w:val="auto"/>
                <w:szCs w:val="21"/>
                <w:highlight w:val="none"/>
              </w:rPr>
            </w:pPr>
          </w:p>
        </w:tc>
        <w:tc>
          <w:tcPr>
            <w:tcW w:w="867" w:type="pct"/>
            <w:noWrap w:val="0"/>
            <w:vAlign w:val="top"/>
          </w:tcPr>
          <w:p w14:paraId="0CF16DFF">
            <w:pPr>
              <w:spacing w:line="360" w:lineRule="auto"/>
              <w:rPr>
                <w:rFonts w:ascii="Arial" w:hAnsi="Arial"/>
                <w:color w:val="auto"/>
                <w:szCs w:val="21"/>
                <w:highlight w:val="none"/>
              </w:rPr>
            </w:pPr>
          </w:p>
        </w:tc>
        <w:tc>
          <w:tcPr>
            <w:tcW w:w="623" w:type="pct"/>
            <w:noWrap w:val="0"/>
            <w:vAlign w:val="top"/>
          </w:tcPr>
          <w:p w14:paraId="5CFA5D96">
            <w:pPr>
              <w:spacing w:line="360" w:lineRule="auto"/>
              <w:rPr>
                <w:rFonts w:ascii="Arial" w:hAnsi="Arial"/>
                <w:color w:val="auto"/>
                <w:szCs w:val="21"/>
                <w:highlight w:val="none"/>
              </w:rPr>
            </w:pPr>
          </w:p>
        </w:tc>
        <w:tc>
          <w:tcPr>
            <w:tcW w:w="583" w:type="pct"/>
            <w:noWrap w:val="0"/>
            <w:vAlign w:val="top"/>
          </w:tcPr>
          <w:p w14:paraId="289A5084">
            <w:pPr>
              <w:spacing w:line="360" w:lineRule="auto"/>
              <w:rPr>
                <w:rFonts w:ascii="Arial" w:hAnsi="Arial"/>
                <w:color w:val="auto"/>
                <w:szCs w:val="21"/>
                <w:highlight w:val="none"/>
              </w:rPr>
            </w:pPr>
          </w:p>
        </w:tc>
        <w:tc>
          <w:tcPr>
            <w:tcW w:w="499" w:type="pct"/>
            <w:noWrap w:val="0"/>
            <w:vAlign w:val="top"/>
          </w:tcPr>
          <w:p w14:paraId="4993CB2A">
            <w:pPr>
              <w:spacing w:line="360" w:lineRule="auto"/>
              <w:rPr>
                <w:rFonts w:ascii="Arial" w:hAnsi="Arial"/>
                <w:color w:val="auto"/>
                <w:szCs w:val="21"/>
                <w:highlight w:val="none"/>
              </w:rPr>
            </w:pPr>
          </w:p>
        </w:tc>
      </w:tr>
      <w:tr w14:paraId="1349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4AC7AF45">
            <w:pPr>
              <w:spacing w:line="360" w:lineRule="auto"/>
              <w:rPr>
                <w:rFonts w:ascii="Arial" w:hAnsi="Arial"/>
                <w:color w:val="auto"/>
                <w:szCs w:val="21"/>
                <w:highlight w:val="none"/>
              </w:rPr>
            </w:pPr>
          </w:p>
        </w:tc>
        <w:tc>
          <w:tcPr>
            <w:tcW w:w="449" w:type="pct"/>
            <w:noWrap w:val="0"/>
            <w:vAlign w:val="top"/>
          </w:tcPr>
          <w:p w14:paraId="2C11A915">
            <w:pPr>
              <w:spacing w:line="360" w:lineRule="auto"/>
              <w:rPr>
                <w:rFonts w:ascii="Arial" w:hAnsi="Arial"/>
                <w:color w:val="auto"/>
                <w:szCs w:val="21"/>
                <w:highlight w:val="none"/>
              </w:rPr>
            </w:pPr>
          </w:p>
        </w:tc>
        <w:tc>
          <w:tcPr>
            <w:tcW w:w="583" w:type="pct"/>
            <w:noWrap w:val="0"/>
            <w:vAlign w:val="top"/>
          </w:tcPr>
          <w:p w14:paraId="4256B630">
            <w:pPr>
              <w:spacing w:line="360" w:lineRule="auto"/>
              <w:rPr>
                <w:rFonts w:ascii="Arial" w:hAnsi="Arial"/>
                <w:color w:val="auto"/>
                <w:szCs w:val="21"/>
                <w:highlight w:val="none"/>
              </w:rPr>
            </w:pPr>
          </w:p>
        </w:tc>
        <w:tc>
          <w:tcPr>
            <w:tcW w:w="478" w:type="pct"/>
            <w:noWrap w:val="0"/>
            <w:vAlign w:val="top"/>
          </w:tcPr>
          <w:p w14:paraId="59DDAA8E">
            <w:pPr>
              <w:spacing w:line="360" w:lineRule="auto"/>
              <w:rPr>
                <w:rFonts w:ascii="Arial" w:hAnsi="Arial"/>
                <w:color w:val="auto"/>
                <w:szCs w:val="21"/>
                <w:highlight w:val="none"/>
              </w:rPr>
            </w:pPr>
          </w:p>
        </w:tc>
        <w:tc>
          <w:tcPr>
            <w:tcW w:w="505" w:type="pct"/>
            <w:noWrap w:val="0"/>
            <w:vAlign w:val="top"/>
          </w:tcPr>
          <w:p w14:paraId="3F5389F0">
            <w:pPr>
              <w:spacing w:line="360" w:lineRule="auto"/>
              <w:rPr>
                <w:rFonts w:ascii="Arial" w:hAnsi="Arial"/>
                <w:color w:val="auto"/>
                <w:szCs w:val="21"/>
                <w:highlight w:val="none"/>
              </w:rPr>
            </w:pPr>
          </w:p>
        </w:tc>
        <w:tc>
          <w:tcPr>
            <w:tcW w:w="867" w:type="pct"/>
            <w:noWrap w:val="0"/>
            <w:vAlign w:val="top"/>
          </w:tcPr>
          <w:p w14:paraId="30E5AE3D">
            <w:pPr>
              <w:spacing w:line="360" w:lineRule="auto"/>
              <w:rPr>
                <w:rFonts w:ascii="Arial" w:hAnsi="Arial"/>
                <w:color w:val="auto"/>
                <w:szCs w:val="21"/>
                <w:highlight w:val="none"/>
              </w:rPr>
            </w:pPr>
          </w:p>
        </w:tc>
        <w:tc>
          <w:tcPr>
            <w:tcW w:w="623" w:type="pct"/>
            <w:noWrap w:val="0"/>
            <w:vAlign w:val="top"/>
          </w:tcPr>
          <w:p w14:paraId="5FD21B05">
            <w:pPr>
              <w:spacing w:line="360" w:lineRule="auto"/>
              <w:rPr>
                <w:rFonts w:ascii="Arial" w:hAnsi="Arial"/>
                <w:color w:val="auto"/>
                <w:szCs w:val="21"/>
                <w:highlight w:val="none"/>
              </w:rPr>
            </w:pPr>
          </w:p>
        </w:tc>
        <w:tc>
          <w:tcPr>
            <w:tcW w:w="583" w:type="pct"/>
            <w:noWrap w:val="0"/>
            <w:vAlign w:val="top"/>
          </w:tcPr>
          <w:p w14:paraId="367BDD5C">
            <w:pPr>
              <w:spacing w:line="360" w:lineRule="auto"/>
              <w:rPr>
                <w:rFonts w:ascii="Arial" w:hAnsi="Arial"/>
                <w:color w:val="auto"/>
                <w:szCs w:val="21"/>
                <w:highlight w:val="none"/>
              </w:rPr>
            </w:pPr>
          </w:p>
        </w:tc>
        <w:tc>
          <w:tcPr>
            <w:tcW w:w="499" w:type="pct"/>
            <w:noWrap w:val="0"/>
            <w:vAlign w:val="top"/>
          </w:tcPr>
          <w:p w14:paraId="6D78F33C">
            <w:pPr>
              <w:spacing w:line="360" w:lineRule="auto"/>
              <w:rPr>
                <w:rFonts w:ascii="Arial" w:hAnsi="Arial"/>
                <w:color w:val="auto"/>
                <w:szCs w:val="21"/>
                <w:highlight w:val="none"/>
              </w:rPr>
            </w:pPr>
          </w:p>
        </w:tc>
      </w:tr>
      <w:tr w14:paraId="27A5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5EC53833">
            <w:pPr>
              <w:spacing w:line="360" w:lineRule="auto"/>
              <w:rPr>
                <w:rFonts w:ascii="Arial" w:hAnsi="Arial"/>
                <w:color w:val="auto"/>
                <w:szCs w:val="21"/>
                <w:highlight w:val="none"/>
              </w:rPr>
            </w:pPr>
          </w:p>
        </w:tc>
        <w:tc>
          <w:tcPr>
            <w:tcW w:w="449" w:type="pct"/>
            <w:noWrap w:val="0"/>
            <w:vAlign w:val="top"/>
          </w:tcPr>
          <w:p w14:paraId="70089B32">
            <w:pPr>
              <w:spacing w:line="360" w:lineRule="auto"/>
              <w:rPr>
                <w:rFonts w:ascii="Arial" w:hAnsi="Arial"/>
                <w:color w:val="auto"/>
                <w:szCs w:val="21"/>
                <w:highlight w:val="none"/>
              </w:rPr>
            </w:pPr>
          </w:p>
        </w:tc>
        <w:tc>
          <w:tcPr>
            <w:tcW w:w="583" w:type="pct"/>
            <w:noWrap w:val="0"/>
            <w:vAlign w:val="top"/>
          </w:tcPr>
          <w:p w14:paraId="55AA164D">
            <w:pPr>
              <w:spacing w:line="360" w:lineRule="auto"/>
              <w:rPr>
                <w:rFonts w:ascii="Arial" w:hAnsi="Arial"/>
                <w:color w:val="auto"/>
                <w:szCs w:val="21"/>
                <w:highlight w:val="none"/>
              </w:rPr>
            </w:pPr>
          </w:p>
        </w:tc>
        <w:tc>
          <w:tcPr>
            <w:tcW w:w="478" w:type="pct"/>
            <w:noWrap w:val="0"/>
            <w:vAlign w:val="top"/>
          </w:tcPr>
          <w:p w14:paraId="56AB1C05">
            <w:pPr>
              <w:spacing w:line="360" w:lineRule="auto"/>
              <w:rPr>
                <w:rFonts w:ascii="Arial" w:hAnsi="Arial"/>
                <w:color w:val="auto"/>
                <w:szCs w:val="21"/>
                <w:highlight w:val="none"/>
              </w:rPr>
            </w:pPr>
          </w:p>
        </w:tc>
        <w:tc>
          <w:tcPr>
            <w:tcW w:w="505" w:type="pct"/>
            <w:noWrap w:val="0"/>
            <w:vAlign w:val="top"/>
          </w:tcPr>
          <w:p w14:paraId="75ACFB68">
            <w:pPr>
              <w:spacing w:line="360" w:lineRule="auto"/>
              <w:rPr>
                <w:rFonts w:ascii="Arial" w:hAnsi="Arial"/>
                <w:color w:val="auto"/>
                <w:szCs w:val="21"/>
                <w:highlight w:val="none"/>
              </w:rPr>
            </w:pPr>
          </w:p>
        </w:tc>
        <w:tc>
          <w:tcPr>
            <w:tcW w:w="867" w:type="pct"/>
            <w:noWrap w:val="0"/>
            <w:vAlign w:val="top"/>
          </w:tcPr>
          <w:p w14:paraId="27A45FD9">
            <w:pPr>
              <w:spacing w:line="360" w:lineRule="auto"/>
              <w:rPr>
                <w:rFonts w:ascii="Arial" w:hAnsi="Arial"/>
                <w:color w:val="auto"/>
                <w:szCs w:val="21"/>
                <w:highlight w:val="none"/>
              </w:rPr>
            </w:pPr>
          </w:p>
        </w:tc>
        <w:tc>
          <w:tcPr>
            <w:tcW w:w="623" w:type="pct"/>
            <w:noWrap w:val="0"/>
            <w:vAlign w:val="top"/>
          </w:tcPr>
          <w:p w14:paraId="7427FD7E">
            <w:pPr>
              <w:spacing w:line="360" w:lineRule="auto"/>
              <w:rPr>
                <w:rFonts w:ascii="Arial" w:hAnsi="Arial"/>
                <w:color w:val="auto"/>
                <w:szCs w:val="21"/>
                <w:highlight w:val="none"/>
              </w:rPr>
            </w:pPr>
          </w:p>
        </w:tc>
        <w:tc>
          <w:tcPr>
            <w:tcW w:w="583" w:type="pct"/>
            <w:noWrap w:val="0"/>
            <w:vAlign w:val="top"/>
          </w:tcPr>
          <w:p w14:paraId="4FC74003">
            <w:pPr>
              <w:spacing w:line="360" w:lineRule="auto"/>
              <w:rPr>
                <w:rFonts w:ascii="Arial" w:hAnsi="Arial"/>
                <w:color w:val="auto"/>
                <w:szCs w:val="21"/>
                <w:highlight w:val="none"/>
              </w:rPr>
            </w:pPr>
          </w:p>
        </w:tc>
        <w:tc>
          <w:tcPr>
            <w:tcW w:w="499" w:type="pct"/>
            <w:noWrap w:val="0"/>
            <w:vAlign w:val="top"/>
          </w:tcPr>
          <w:p w14:paraId="7BC2A767">
            <w:pPr>
              <w:spacing w:line="360" w:lineRule="auto"/>
              <w:rPr>
                <w:rFonts w:ascii="Arial" w:hAnsi="Arial"/>
                <w:color w:val="auto"/>
                <w:szCs w:val="21"/>
                <w:highlight w:val="none"/>
              </w:rPr>
            </w:pPr>
          </w:p>
        </w:tc>
      </w:tr>
      <w:tr w14:paraId="2392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1DA945DD">
            <w:pPr>
              <w:spacing w:line="360" w:lineRule="auto"/>
              <w:rPr>
                <w:rFonts w:ascii="Arial" w:hAnsi="Arial"/>
                <w:color w:val="auto"/>
                <w:szCs w:val="21"/>
                <w:highlight w:val="none"/>
              </w:rPr>
            </w:pPr>
          </w:p>
        </w:tc>
        <w:tc>
          <w:tcPr>
            <w:tcW w:w="449" w:type="pct"/>
            <w:noWrap w:val="0"/>
            <w:vAlign w:val="top"/>
          </w:tcPr>
          <w:p w14:paraId="7173C6D4">
            <w:pPr>
              <w:spacing w:line="360" w:lineRule="auto"/>
              <w:rPr>
                <w:rFonts w:ascii="Arial" w:hAnsi="Arial"/>
                <w:color w:val="auto"/>
                <w:szCs w:val="21"/>
                <w:highlight w:val="none"/>
              </w:rPr>
            </w:pPr>
          </w:p>
        </w:tc>
        <w:tc>
          <w:tcPr>
            <w:tcW w:w="583" w:type="pct"/>
            <w:noWrap w:val="0"/>
            <w:vAlign w:val="top"/>
          </w:tcPr>
          <w:p w14:paraId="6FB3E80D">
            <w:pPr>
              <w:spacing w:line="360" w:lineRule="auto"/>
              <w:rPr>
                <w:rFonts w:ascii="Arial" w:hAnsi="Arial"/>
                <w:color w:val="auto"/>
                <w:szCs w:val="21"/>
                <w:highlight w:val="none"/>
              </w:rPr>
            </w:pPr>
          </w:p>
        </w:tc>
        <w:tc>
          <w:tcPr>
            <w:tcW w:w="478" w:type="pct"/>
            <w:noWrap w:val="0"/>
            <w:vAlign w:val="top"/>
          </w:tcPr>
          <w:p w14:paraId="019FAFF7">
            <w:pPr>
              <w:spacing w:line="360" w:lineRule="auto"/>
              <w:rPr>
                <w:rFonts w:ascii="Arial" w:hAnsi="Arial"/>
                <w:color w:val="auto"/>
                <w:szCs w:val="21"/>
                <w:highlight w:val="none"/>
              </w:rPr>
            </w:pPr>
          </w:p>
        </w:tc>
        <w:tc>
          <w:tcPr>
            <w:tcW w:w="505" w:type="pct"/>
            <w:noWrap w:val="0"/>
            <w:vAlign w:val="top"/>
          </w:tcPr>
          <w:p w14:paraId="31F7A1DD">
            <w:pPr>
              <w:spacing w:line="360" w:lineRule="auto"/>
              <w:rPr>
                <w:rFonts w:ascii="Arial" w:hAnsi="Arial"/>
                <w:color w:val="auto"/>
                <w:szCs w:val="21"/>
                <w:highlight w:val="none"/>
              </w:rPr>
            </w:pPr>
          </w:p>
        </w:tc>
        <w:tc>
          <w:tcPr>
            <w:tcW w:w="867" w:type="pct"/>
            <w:noWrap w:val="0"/>
            <w:vAlign w:val="top"/>
          </w:tcPr>
          <w:p w14:paraId="58FC34CD">
            <w:pPr>
              <w:spacing w:line="360" w:lineRule="auto"/>
              <w:rPr>
                <w:rFonts w:ascii="Arial" w:hAnsi="Arial"/>
                <w:color w:val="auto"/>
                <w:szCs w:val="21"/>
                <w:highlight w:val="none"/>
              </w:rPr>
            </w:pPr>
          </w:p>
        </w:tc>
        <w:tc>
          <w:tcPr>
            <w:tcW w:w="623" w:type="pct"/>
            <w:noWrap w:val="0"/>
            <w:vAlign w:val="top"/>
          </w:tcPr>
          <w:p w14:paraId="43698B1D">
            <w:pPr>
              <w:spacing w:line="360" w:lineRule="auto"/>
              <w:rPr>
                <w:rFonts w:ascii="Arial" w:hAnsi="Arial"/>
                <w:color w:val="auto"/>
                <w:szCs w:val="21"/>
                <w:highlight w:val="none"/>
              </w:rPr>
            </w:pPr>
          </w:p>
        </w:tc>
        <w:tc>
          <w:tcPr>
            <w:tcW w:w="583" w:type="pct"/>
            <w:noWrap w:val="0"/>
            <w:vAlign w:val="top"/>
          </w:tcPr>
          <w:p w14:paraId="497BAA23">
            <w:pPr>
              <w:spacing w:line="360" w:lineRule="auto"/>
              <w:rPr>
                <w:rFonts w:ascii="Arial" w:hAnsi="Arial"/>
                <w:color w:val="auto"/>
                <w:szCs w:val="21"/>
                <w:highlight w:val="none"/>
              </w:rPr>
            </w:pPr>
          </w:p>
        </w:tc>
        <w:tc>
          <w:tcPr>
            <w:tcW w:w="499" w:type="pct"/>
            <w:noWrap w:val="0"/>
            <w:vAlign w:val="top"/>
          </w:tcPr>
          <w:p w14:paraId="250BAE92">
            <w:pPr>
              <w:spacing w:line="360" w:lineRule="auto"/>
              <w:rPr>
                <w:rFonts w:ascii="Arial" w:hAnsi="Arial"/>
                <w:color w:val="auto"/>
                <w:szCs w:val="21"/>
                <w:highlight w:val="none"/>
              </w:rPr>
            </w:pPr>
          </w:p>
        </w:tc>
      </w:tr>
      <w:tr w14:paraId="54AD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7EE92681">
            <w:pPr>
              <w:spacing w:line="360" w:lineRule="auto"/>
              <w:rPr>
                <w:rFonts w:ascii="Arial" w:hAnsi="Arial"/>
                <w:color w:val="auto"/>
                <w:szCs w:val="21"/>
                <w:highlight w:val="none"/>
              </w:rPr>
            </w:pPr>
          </w:p>
        </w:tc>
        <w:tc>
          <w:tcPr>
            <w:tcW w:w="449" w:type="pct"/>
            <w:noWrap w:val="0"/>
            <w:vAlign w:val="top"/>
          </w:tcPr>
          <w:p w14:paraId="0A8D3ECC">
            <w:pPr>
              <w:spacing w:line="360" w:lineRule="auto"/>
              <w:rPr>
                <w:rFonts w:ascii="Arial" w:hAnsi="Arial"/>
                <w:color w:val="auto"/>
                <w:szCs w:val="21"/>
                <w:highlight w:val="none"/>
              </w:rPr>
            </w:pPr>
          </w:p>
        </w:tc>
        <w:tc>
          <w:tcPr>
            <w:tcW w:w="583" w:type="pct"/>
            <w:noWrap w:val="0"/>
            <w:vAlign w:val="top"/>
          </w:tcPr>
          <w:p w14:paraId="6F241DC0">
            <w:pPr>
              <w:spacing w:line="360" w:lineRule="auto"/>
              <w:rPr>
                <w:rFonts w:ascii="Arial" w:hAnsi="Arial"/>
                <w:color w:val="auto"/>
                <w:szCs w:val="21"/>
                <w:highlight w:val="none"/>
              </w:rPr>
            </w:pPr>
          </w:p>
        </w:tc>
        <w:tc>
          <w:tcPr>
            <w:tcW w:w="478" w:type="pct"/>
            <w:noWrap w:val="0"/>
            <w:vAlign w:val="top"/>
          </w:tcPr>
          <w:p w14:paraId="029A74AB">
            <w:pPr>
              <w:spacing w:line="360" w:lineRule="auto"/>
              <w:rPr>
                <w:rFonts w:ascii="Arial" w:hAnsi="Arial"/>
                <w:color w:val="auto"/>
                <w:szCs w:val="21"/>
                <w:highlight w:val="none"/>
              </w:rPr>
            </w:pPr>
          </w:p>
        </w:tc>
        <w:tc>
          <w:tcPr>
            <w:tcW w:w="505" w:type="pct"/>
            <w:noWrap w:val="0"/>
            <w:vAlign w:val="top"/>
          </w:tcPr>
          <w:p w14:paraId="58B688B8">
            <w:pPr>
              <w:spacing w:line="360" w:lineRule="auto"/>
              <w:rPr>
                <w:rFonts w:ascii="Arial" w:hAnsi="Arial"/>
                <w:color w:val="auto"/>
                <w:szCs w:val="21"/>
                <w:highlight w:val="none"/>
              </w:rPr>
            </w:pPr>
          </w:p>
        </w:tc>
        <w:tc>
          <w:tcPr>
            <w:tcW w:w="867" w:type="pct"/>
            <w:noWrap w:val="0"/>
            <w:vAlign w:val="top"/>
          </w:tcPr>
          <w:p w14:paraId="064C249E">
            <w:pPr>
              <w:spacing w:line="360" w:lineRule="auto"/>
              <w:rPr>
                <w:rFonts w:ascii="Arial" w:hAnsi="Arial"/>
                <w:color w:val="auto"/>
                <w:szCs w:val="21"/>
                <w:highlight w:val="none"/>
              </w:rPr>
            </w:pPr>
          </w:p>
        </w:tc>
        <w:tc>
          <w:tcPr>
            <w:tcW w:w="623" w:type="pct"/>
            <w:noWrap w:val="0"/>
            <w:vAlign w:val="top"/>
          </w:tcPr>
          <w:p w14:paraId="2871DEA2">
            <w:pPr>
              <w:spacing w:line="360" w:lineRule="auto"/>
              <w:rPr>
                <w:rFonts w:ascii="Arial" w:hAnsi="Arial"/>
                <w:color w:val="auto"/>
                <w:szCs w:val="21"/>
                <w:highlight w:val="none"/>
              </w:rPr>
            </w:pPr>
          </w:p>
        </w:tc>
        <w:tc>
          <w:tcPr>
            <w:tcW w:w="583" w:type="pct"/>
            <w:noWrap w:val="0"/>
            <w:vAlign w:val="top"/>
          </w:tcPr>
          <w:p w14:paraId="7932528A">
            <w:pPr>
              <w:spacing w:line="360" w:lineRule="auto"/>
              <w:rPr>
                <w:rFonts w:ascii="Arial" w:hAnsi="Arial"/>
                <w:color w:val="auto"/>
                <w:szCs w:val="21"/>
                <w:highlight w:val="none"/>
              </w:rPr>
            </w:pPr>
          </w:p>
        </w:tc>
        <w:tc>
          <w:tcPr>
            <w:tcW w:w="499" w:type="pct"/>
            <w:noWrap w:val="0"/>
            <w:vAlign w:val="top"/>
          </w:tcPr>
          <w:p w14:paraId="40921884">
            <w:pPr>
              <w:spacing w:line="360" w:lineRule="auto"/>
              <w:rPr>
                <w:rFonts w:ascii="Arial" w:hAnsi="Arial"/>
                <w:color w:val="auto"/>
                <w:szCs w:val="21"/>
                <w:highlight w:val="none"/>
              </w:rPr>
            </w:pPr>
          </w:p>
        </w:tc>
      </w:tr>
      <w:tr w14:paraId="1E7E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420E06BD">
            <w:pPr>
              <w:spacing w:line="360" w:lineRule="auto"/>
              <w:rPr>
                <w:rFonts w:ascii="Arial" w:hAnsi="Arial"/>
                <w:color w:val="auto"/>
                <w:szCs w:val="21"/>
                <w:highlight w:val="none"/>
              </w:rPr>
            </w:pPr>
          </w:p>
        </w:tc>
        <w:tc>
          <w:tcPr>
            <w:tcW w:w="449" w:type="pct"/>
            <w:noWrap w:val="0"/>
            <w:vAlign w:val="top"/>
          </w:tcPr>
          <w:p w14:paraId="024FC89C">
            <w:pPr>
              <w:spacing w:line="360" w:lineRule="auto"/>
              <w:rPr>
                <w:rFonts w:ascii="Arial" w:hAnsi="Arial"/>
                <w:color w:val="auto"/>
                <w:szCs w:val="21"/>
                <w:highlight w:val="none"/>
              </w:rPr>
            </w:pPr>
          </w:p>
        </w:tc>
        <w:tc>
          <w:tcPr>
            <w:tcW w:w="583" w:type="pct"/>
            <w:noWrap w:val="0"/>
            <w:vAlign w:val="top"/>
          </w:tcPr>
          <w:p w14:paraId="3ADA4AAF">
            <w:pPr>
              <w:spacing w:line="360" w:lineRule="auto"/>
              <w:rPr>
                <w:rFonts w:ascii="Arial" w:hAnsi="Arial"/>
                <w:color w:val="auto"/>
                <w:szCs w:val="21"/>
                <w:highlight w:val="none"/>
              </w:rPr>
            </w:pPr>
          </w:p>
        </w:tc>
        <w:tc>
          <w:tcPr>
            <w:tcW w:w="478" w:type="pct"/>
            <w:noWrap w:val="0"/>
            <w:vAlign w:val="top"/>
          </w:tcPr>
          <w:p w14:paraId="0A998E08">
            <w:pPr>
              <w:spacing w:line="360" w:lineRule="auto"/>
              <w:rPr>
                <w:rFonts w:ascii="Arial" w:hAnsi="Arial"/>
                <w:color w:val="auto"/>
                <w:szCs w:val="21"/>
                <w:highlight w:val="none"/>
              </w:rPr>
            </w:pPr>
          </w:p>
        </w:tc>
        <w:tc>
          <w:tcPr>
            <w:tcW w:w="505" w:type="pct"/>
            <w:noWrap w:val="0"/>
            <w:vAlign w:val="top"/>
          </w:tcPr>
          <w:p w14:paraId="73E880AC">
            <w:pPr>
              <w:spacing w:line="360" w:lineRule="auto"/>
              <w:rPr>
                <w:rFonts w:ascii="Arial" w:hAnsi="Arial"/>
                <w:color w:val="auto"/>
                <w:szCs w:val="21"/>
                <w:highlight w:val="none"/>
              </w:rPr>
            </w:pPr>
          </w:p>
        </w:tc>
        <w:tc>
          <w:tcPr>
            <w:tcW w:w="867" w:type="pct"/>
            <w:noWrap w:val="0"/>
            <w:vAlign w:val="top"/>
          </w:tcPr>
          <w:p w14:paraId="2B3E000D">
            <w:pPr>
              <w:spacing w:line="360" w:lineRule="auto"/>
              <w:rPr>
                <w:rFonts w:ascii="Arial" w:hAnsi="Arial"/>
                <w:color w:val="auto"/>
                <w:szCs w:val="21"/>
                <w:highlight w:val="none"/>
              </w:rPr>
            </w:pPr>
          </w:p>
        </w:tc>
        <w:tc>
          <w:tcPr>
            <w:tcW w:w="623" w:type="pct"/>
            <w:noWrap w:val="0"/>
            <w:vAlign w:val="top"/>
          </w:tcPr>
          <w:p w14:paraId="7E00F05D">
            <w:pPr>
              <w:spacing w:line="360" w:lineRule="auto"/>
              <w:rPr>
                <w:rFonts w:ascii="Arial" w:hAnsi="Arial"/>
                <w:color w:val="auto"/>
                <w:szCs w:val="21"/>
                <w:highlight w:val="none"/>
              </w:rPr>
            </w:pPr>
          </w:p>
        </w:tc>
        <w:tc>
          <w:tcPr>
            <w:tcW w:w="583" w:type="pct"/>
            <w:noWrap w:val="0"/>
            <w:vAlign w:val="top"/>
          </w:tcPr>
          <w:p w14:paraId="76B67A70">
            <w:pPr>
              <w:spacing w:line="360" w:lineRule="auto"/>
              <w:rPr>
                <w:rFonts w:ascii="Arial" w:hAnsi="Arial"/>
                <w:color w:val="auto"/>
                <w:szCs w:val="21"/>
                <w:highlight w:val="none"/>
              </w:rPr>
            </w:pPr>
          </w:p>
        </w:tc>
        <w:tc>
          <w:tcPr>
            <w:tcW w:w="499" w:type="pct"/>
            <w:noWrap w:val="0"/>
            <w:vAlign w:val="top"/>
          </w:tcPr>
          <w:p w14:paraId="7996C064">
            <w:pPr>
              <w:spacing w:line="360" w:lineRule="auto"/>
              <w:rPr>
                <w:rFonts w:ascii="Arial" w:hAnsi="Arial"/>
                <w:color w:val="auto"/>
                <w:szCs w:val="21"/>
                <w:highlight w:val="none"/>
              </w:rPr>
            </w:pPr>
          </w:p>
        </w:tc>
      </w:tr>
    </w:tbl>
    <w:p w14:paraId="56D65FE4">
      <w:pPr>
        <w:spacing w:line="360" w:lineRule="auto"/>
        <w:rPr>
          <w:rFonts w:ascii="宋体" w:hAnsi="宋体"/>
          <w:b/>
          <w:color w:val="auto"/>
          <w:kern w:val="0"/>
          <w:szCs w:val="21"/>
          <w:highlight w:val="none"/>
        </w:rPr>
      </w:pPr>
      <w:r>
        <w:rPr>
          <w:rFonts w:ascii="宋体" w:hAnsi="宋体"/>
          <w:b/>
          <w:bCs/>
          <w:color w:val="auto"/>
          <w:kern w:val="0"/>
          <w:szCs w:val="21"/>
          <w:highlight w:val="none"/>
        </w:rPr>
        <w:t>注：</w:t>
      </w:r>
      <w:r>
        <w:rPr>
          <w:rFonts w:hint="eastAsia" w:ascii="宋体" w:hAnsi="宋体"/>
          <w:bCs/>
          <w:color w:val="auto"/>
          <w:kern w:val="0"/>
          <w:szCs w:val="21"/>
          <w:highlight w:val="none"/>
        </w:rPr>
        <w:t>1、投标人根据评标办法及标准的要求并附上述人员的劳动合同等资料复印件</w:t>
      </w:r>
      <w:r>
        <w:rPr>
          <w:rFonts w:hint="eastAsia" w:ascii="宋体" w:hAnsi="宋体"/>
          <w:color w:val="auto"/>
          <w:kern w:val="0"/>
          <w:szCs w:val="21"/>
          <w:highlight w:val="none"/>
        </w:rPr>
        <w:t>。</w:t>
      </w:r>
    </w:p>
    <w:p w14:paraId="551044F6">
      <w:pPr>
        <w:widowControl/>
        <w:spacing w:line="360" w:lineRule="auto"/>
        <w:ind w:firstLine="420" w:firstLineChars="200"/>
        <w:jc w:val="left"/>
        <w:rPr>
          <w:rFonts w:ascii="宋体" w:hAnsi="宋体"/>
          <w:color w:val="auto"/>
          <w:szCs w:val="21"/>
          <w:highlight w:val="none"/>
        </w:rPr>
      </w:pPr>
    </w:p>
    <w:p w14:paraId="53E0A7DD">
      <w:pPr>
        <w:ind w:left="479" w:leftChars="220" w:right="-57" w:rightChars="-27" w:hanging="17"/>
        <w:rPr>
          <w:rFonts w:cs="宋体"/>
          <w:color w:val="auto"/>
          <w:highlight w:val="none"/>
        </w:rPr>
      </w:pPr>
    </w:p>
    <w:p w14:paraId="3A2AFF86">
      <w:pPr>
        <w:ind w:left="479" w:leftChars="220" w:right="-57" w:rightChars="-27" w:hanging="17"/>
        <w:rPr>
          <w:rFonts w:cs="宋体"/>
          <w:color w:val="auto"/>
          <w:highlight w:val="none"/>
        </w:rPr>
      </w:pPr>
    </w:p>
    <w:p w14:paraId="1B4A37CE">
      <w:pPr>
        <w:pStyle w:val="18"/>
        <w:rPr>
          <w:rFonts w:ascii="宋体" w:hAnsi="宋体"/>
          <w:color w:val="auto"/>
          <w:kern w:val="0"/>
          <w:szCs w:val="21"/>
          <w:highlight w:val="none"/>
        </w:rPr>
      </w:pPr>
    </w:p>
    <w:p w14:paraId="57C7FC1D">
      <w:pPr>
        <w:spacing w:before="120" w:beforeLines="50" w:line="360" w:lineRule="auto"/>
        <w:ind w:left="479" w:leftChars="220" w:right="-57" w:rightChars="-27" w:hanging="17"/>
        <w:rPr>
          <w:rFonts w:eastAsia="Times New Roman"/>
          <w:color w:val="auto"/>
          <w:kern w:val="0"/>
          <w:sz w:val="24"/>
          <w:highlight w:val="none"/>
        </w:rPr>
      </w:pPr>
      <w:r>
        <w:rPr>
          <w:rFonts w:hint="eastAsia" w:cs="宋体"/>
          <w:color w:val="auto"/>
          <w:highlight w:val="none"/>
        </w:rPr>
        <w:t>投标人：（公章）</w:t>
      </w:r>
    </w:p>
    <w:p w14:paraId="2ADA19BA">
      <w:pPr>
        <w:spacing w:before="120" w:beforeLines="50" w:line="360" w:lineRule="auto"/>
        <w:ind w:left="478" w:leftChars="227" w:right="-57" w:rightChars="-27" w:hanging="1"/>
        <w:rPr>
          <w:rFonts w:eastAsia="Times New Roman"/>
          <w:color w:val="auto"/>
          <w:kern w:val="0"/>
          <w:sz w:val="24"/>
          <w:highlight w:val="none"/>
        </w:rPr>
      </w:pPr>
      <w:r>
        <w:rPr>
          <w:rFonts w:hint="eastAsia" w:cs="宋体"/>
          <w:color w:val="auto"/>
          <w:highlight w:val="none"/>
        </w:rPr>
        <w:t>法定代表人或其委托代理人：（签字或盖章）</w:t>
      </w:r>
    </w:p>
    <w:p w14:paraId="2B76559B">
      <w:pPr>
        <w:spacing w:before="120" w:beforeLines="50" w:line="360" w:lineRule="auto"/>
        <w:ind w:left="463" w:leftChars="220" w:right="-57" w:rightChars="-27" w:hanging="1"/>
        <w:rPr>
          <w:rFonts w:eastAsia="Times New Roman"/>
          <w:color w:val="auto"/>
          <w:kern w:val="0"/>
          <w:sz w:val="24"/>
          <w:highlight w:val="none"/>
        </w:rPr>
      </w:pPr>
      <w:r>
        <w:rPr>
          <w:rFonts w:hint="eastAsia" w:cs="宋体"/>
          <w:color w:val="auto"/>
          <w:highlight w:val="none"/>
        </w:rPr>
        <w:t>日期：</w:t>
      </w:r>
      <w:r>
        <w:rPr>
          <w:rFonts w:hint="eastAsia"/>
          <w:color w:val="auto"/>
          <w:szCs w:val="21"/>
          <w:highlight w:val="none"/>
        </w:rPr>
        <w:t xml:space="preserve">    </w:t>
      </w:r>
      <w:r>
        <w:rPr>
          <w:color w:val="auto"/>
          <w:szCs w:val="21"/>
          <w:highlight w:val="none"/>
        </w:rPr>
        <w:t>年</w:t>
      </w:r>
      <w:r>
        <w:rPr>
          <w:rFonts w:hint="eastAsia"/>
          <w:color w:val="auto"/>
          <w:szCs w:val="21"/>
          <w:highlight w:val="none"/>
        </w:rPr>
        <w:t xml:space="preserve">    </w:t>
      </w:r>
      <w:r>
        <w:rPr>
          <w:color w:val="auto"/>
          <w:szCs w:val="21"/>
          <w:highlight w:val="none"/>
        </w:rPr>
        <w:t>月</w:t>
      </w:r>
      <w:r>
        <w:rPr>
          <w:rFonts w:hint="eastAsia"/>
          <w:color w:val="auto"/>
          <w:szCs w:val="21"/>
          <w:highlight w:val="none"/>
        </w:rPr>
        <w:t xml:space="preserve">    </w:t>
      </w:r>
      <w:r>
        <w:rPr>
          <w:color w:val="auto"/>
          <w:szCs w:val="21"/>
          <w:highlight w:val="none"/>
        </w:rPr>
        <w:t>日</w:t>
      </w:r>
    </w:p>
    <w:p w14:paraId="647050D3">
      <w:pPr>
        <w:spacing w:before="0" w:after="0"/>
        <w:ind w:left="0" w:right="0"/>
        <w:outlineLvl w:val="9"/>
        <w:rPr>
          <w:rFonts w:hint="eastAsia" w:ascii="宋体" w:hAnsi="宋体" w:eastAsia="宋体" w:cs="宋体"/>
          <w:b w:val="0"/>
          <w:bCs w:val="0"/>
          <w:i w:val="0"/>
          <w:iCs w:val="0"/>
          <w:color w:val="auto"/>
          <w:kern w:val="2"/>
          <w:sz w:val="24"/>
          <w:szCs w:val="24"/>
          <w:highlight w:val="none"/>
        </w:rPr>
      </w:pPr>
      <w:r>
        <w:rPr>
          <w:rFonts w:hint="eastAsia" w:ascii="宋体" w:hAnsi="宋体" w:eastAsia="宋体" w:cs="宋体"/>
          <w:b w:val="0"/>
          <w:bCs w:val="0"/>
          <w:i w:val="0"/>
          <w:iCs w:val="0"/>
          <w:color w:val="auto"/>
          <w:kern w:val="2"/>
          <w:sz w:val="24"/>
          <w:szCs w:val="24"/>
          <w:highlight w:val="none"/>
        </w:rPr>
        <w:br w:type="page"/>
      </w:r>
    </w:p>
    <w:p w14:paraId="03BF5E7B">
      <w:pPr>
        <w:pStyle w:val="47"/>
        <w:numPr>
          <w:ilvl w:val="-1"/>
          <w:numId w:val="0"/>
        </w:numPr>
        <w:spacing w:before="0" w:after="0" w:line="360" w:lineRule="auto"/>
        <w:ind w:left="0" w:right="0"/>
        <w:outlineLvl w:val="2"/>
        <w:rPr>
          <w:rFonts w:hint="eastAsia" w:ascii="宋体" w:hAnsi="宋体" w:eastAsia="宋体" w:cs="宋体"/>
          <w:b w:val="0"/>
          <w:bCs w:val="0"/>
          <w:i w:val="0"/>
          <w:iCs w:val="0"/>
          <w:color w:val="auto"/>
          <w:kern w:val="2"/>
          <w:sz w:val="24"/>
          <w:szCs w:val="24"/>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B7</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lang w:val="en-US"/>
        </w:rPr>
        <w:t>售后服务方案</w:t>
      </w:r>
      <w:r>
        <w:rPr>
          <w:rFonts w:hint="eastAsia" w:ascii="宋体" w:hAnsi="宋体" w:eastAsia="宋体" w:cs="宋体"/>
          <w:b w:val="0"/>
          <w:bCs w:val="0"/>
          <w:i w:val="0"/>
          <w:iCs w:val="0"/>
          <w:color w:val="auto"/>
          <w:kern w:val="2"/>
          <w:sz w:val="24"/>
          <w:szCs w:val="24"/>
          <w:highlight w:val="none"/>
          <w:lang w:val="en-US" w:eastAsia="zh-CN"/>
        </w:rPr>
        <w:t>（格式自拟）；</w:t>
      </w:r>
    </w:p>
    <w:p w14:paraId="4EF4C96D">
      <w:pPr>
        <w:pStyle w:val="47"/>
        <w:numPr>
          <w:ilvl w:val="-1"/>
          <w:numId w:val="0"/>
        </w:numPr>
        <w:spacing w:before="0" w:after="0" w:line="360" w:lineRule="auto"/>
        <w:ind w:left="0" w:right="0"/>
        <w:outlineLvl w:val="2"/>
        <w:rPr>
          <w:rFonts w:hint="eastAsia" w:ascii="宋体" w:hAnsi="宋体" w:eastAsia="宋体" w:cs="宋体"/>
          <w:b w:val="0"/>
          <w:bCs w:val="0"/>
          <w:i w:val="0"/>
          <w:iCs w:val="0"/>
          <w:color w:val="auto"/>
          <w:kern w:val="2"/>
          <w:sz w:val="24"/>
          <w:szCs w:val="24"/>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B8</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lang w:val="en-US"/>
        </w:rPr>
        <w:t>应急供货服务方案</w:t>
      </w:r>
      <w:r>
        <w:rPr>
          <w:rFonts w:hint="eastAsia" w:ascii="宋体" w:hAnsi="宋体" w:eastAsia="宋体" w:cs="宋体"/>
          <w:b w:val="0"/>
          <w:bCs w:val="0"/>
          <w:i w:val="0"/>
          <w:iCs w:val="0"/>
          <w:color w:val="auto"/>
          <w:kern w:val="2"/>
          <w:sz w:val="24"/>
          <w:szCs w:val="24"/>
          <w:highlight w:val="none"/>
          <w:lang w:val="en-US" w:eastAsia="zh-CN"/>
        </w:rPr>
        <w:t>（格式自拟）；</w:t>
      </w:r>
    </w:p>
    <w:p w14:paraId="0B56BA3F">
      <w:pPr>
        <w:pStyle w:val="47"/>
        <w:numPr>
          <w:ilvl w:val="-1"/>
          <w:numId w:val="0"/>
        </w:numPr>
        <w:spacing w:before="0" w:after="0" w:line="360" w:lineRule="auto"/>
        <w:ind w:left="0" w:right="0"/>
        <w:outlineLvl w:val="2"/>
        <w:rPr>
          <w:rFonts w:hint="eastAsia" w:ascii="宋体" w:hAnsi="宋体" w:eastAsia="宋体" w:cs="宋体"/>
          <w:b w:val="0"/>
          <w:bCs w:val="0"/>
          <w:i w:val="0"/>
          <w:iCs w:val="0"/>
          <w:color w:val="auto"/>
          <w:kern w:val="2"/>
          <w:sz w:val="24"/>
          <w:szCs w:val="24"/>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B9</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u w:val="none"/>
          <w:lang w:val="en-US" w:eastAsia="zh-CN" w:bidi="ar-SA"/>
        </w:rPr>
        <w:t>质量保证措施、安全保证措施</w:t>
      </w:r>
      <w:r>
        <w:rPr>
          <w:rFonts w:hint="eastAsia" w:ascii="宋体" w:hAnsi="宋体" w:eastAsia="宋体" w:cs="宋体"/>
          <w:b w:val="0"/>
          <w:bCs w:val="0"/>
          <w:i w:val="0"/>
          <w:iCs w:val="0"/>
          <w:color w:val="auto"/>
          <w:kern w:val="2"/>
          <w:sz w:val="24"/>
          <w:szCs w:val="24"/>
          <w:highlight w:val="none"/>
          <w:lang w:val="en-US" w:eastAsia="zh-CN"/>
        </w:rPr>
        <w:t>（格式自拟）；</w:t>
      </w:r>
    </w:p>
    <w:p w14:paraId="588A8020">
      <w:pPr>
        <w:pStyle w:val="47"/>
        <w:numPr>
          <w:ilvl w:val="0"/>
          <w:numId w:val="0"/>
        </w:numPr>
        <w:spacing w:before="0" w:after="0" w:line="360" w:lineRule="auto"/>
        <w:ind w:left="0" w:right="0"/>
        <w:outlineLvl w:val="2"/>
        <w:rPr>
          <w:rFonts w:hint="eastAsia" w:ascii="宋体" w:hAnsi="宋体" w:eastAsia="宋体" w:cs="Times New Roman"/>
          <w:b/>
          <w:bCs w:val="0"/>
          <w:i w:val="0"/>
          <w:iCs w:val="0"/>
          <w:color w:val="auto"/>
          <w:kern w:val="2"/>
          <w:sz w:val="21"/>
          <w:szCs w:val="28"/>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B10</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u w:val="none"/>
          <w:lang w:val="en-US" w:eastAsia="zh-CN" w:bidi="ar-SA"/>
        </w:rPr>
        <w:t>投标人认为需要提交的其他</w:t>
      </w:r>
      <w:r>
        <w:rPr>
          <w:rFonts w:hint="eastAsia" w:ascii="宋体" w:hAnsi="宋体" w:eastAsia="宋体" w:cs="宋体"/>
          <w:b w:val="0"/>
          <w:bCs w:val="0"/>
          <w:i w:val="0"/>
          <w:iCs w:val="0"/>
          <w:color w:val="auto"/>
          <w:kern w:val="2"/>
          <w:sz w:val="24"/>
          <w:szCs w:val="24"/>
          <w:highlight w:val="none"/>
          <w:lang w:val="en-US" w:eastAsia="zh-CN"/>
        </w:rPr>
        <w:t>资料（格式自拟）。（如有）</w:t>
      </w:r>
    </w:p>
    <w:p w14:paraId="5BA8F93A">
      <w:pPr>
        <w:pStyle w:val="46"/>
        <w:ind w:left="0" w:leftChars="0" w:firstLine="0" w:firstLineChars="0"/>
      </w:pPr>
    </w:p>
    <w:p w14:paraId="6D62A857">
      <w:pPr>
        <w:keepNext w:val="0"/>
        <w:keepLines w:val="0"/>
        <w:widowControl/>
        <w:spacing w:before="0" w:after="0" w:line="240" w:lineRule="auto"/>
        <w:jc w:val="left"/>
        <w:outlineLvl w:val="9"/>
        <w:rPr>
          <w:rFonts w:hint="default"/>
          <w:color w:val="000000"/>
          <w:highlight w:val="none"/>
          <w:lang w:val="en-US" w:eastAsia="zh-CN" w:bidi="ar"/>
        </w:rPr>
      </w:pPr>
      <w:r>
        <w:rPr>
          <w:rFonts w:hint="default"/>
          <w:color w:val="000000"/>
          <w:highlight w:val="none"/>
          <w:lang w:val="en-US" w:eastAsia="zh-CN" w:bidi="ar"/>
        </w:rPr>
        <w:br w:type="page"/>
      </w:r>
    </w:p>
    <w:p w14:paraId="582486D0">
      <w:pPr>
        <w:keepNext w:val="0"/>
        <w:keepLines w:val="0"/>
        <w:widowControl/>
        <w:spacing w:before="50" w:after="0" w:line="360" w:lineRule="auto"/>
        <w:jc w:val="left"/>
        <w:outlineLvl w:val="1"/>
        <w:rPr>
          <w:rFonts w:ascii="宋体" w:hAnsi="宋体"/>
          <w:b/>
          <w:bCs/>
          <w:color w:val="000000"/>
          <w:sz w:val="28"/>
          <w:szCs w:val="28"/>
          <w:highlight w:val="none"/>
        </w:rPr>
      </w:pPr>
      <w:bookmarkStart w:id="374" w:name="_Toc3883"/>
      <w:bookmarkStart w:id="375" w:name="_Toc30028"/>
      <w:bookmarkStart w:id="376" w:name="_Toc2568"/>
      <w:bookmarkStart w:id="377" w:name="_Toc10752"/>
      <w:bookmarkStart w:id="378" w:name="_Toc29786945"/>
      <w:bookmarkStart w:id="379" w:name="_Toc392941013"/>
      <w:bookmarkStart w:id="380" w:name="_Toc530736606"/>
      <w:bookmarkStart w:id="381" w:name="_Toc318213168"/>
      <w:bookmarkStart w:id="382" w:name="_Toc469486625"/>
      <w:bookmarkStart w:id="383" w:name="_Toc6480"/>
      <w:bookmarkStart w:id="384" w:name="_Toc8569"/>
      <w:bookmarkStart w:id="385" w:name="_Toc27384"/>
      <w:bookmarkStart w:id="386" w:name="_Toc395312610"/>
      <w:r>
        <w:rPr>
          <w:rFonts w:hint="eastAsia"/>
          <w:color w:val="000000"/>
          <w:highlight w:val="none"/>
          <w:lang w:val="en-US" w:eastAsia="zh-CN" w:bidi="ar"/>
        </w:rPr>
        <w:t>三</w:t>
      </w:r>
      <w:r>
        <w:rPr>
          <w:rFonts w:hint="eastAsia" w:ascii="宋体" w:hAnsi="宋体"/>
          <w:b/>
          <w:bCs/>
          <w:color w:val="000000"/>
          <w:sz w:val="24"/>
          <w:highlight w:val="none"/>
        </w:rPr>
        <w:t>、</w:t>
      </w:r>
      <w:r>
        <w:rPr>
          <w:rFonts w:hint="eastAsia" w:ascii="宋体" w:hAnsi="宋体"/>
          <w:b/>
          <w:bCs/>
          <w:color w:val="000000"/>
          <w:sz w:val="24"/>
          <w:highlight w:val="none"/>
          <w:lang w:eastAsia="zh-CN"/>
        </w:rPr>
        <w:t>商务文件</w:t>
      </w:r>
      <w:r>
        <w:rPr>
          <w:rFonts w:hint="eastAsia" w:ascii="宋体" w:hAnsi="宋体"/>
          <w:b/>
          <w:bCs/>
          <w:color w:val="000000"/>
          <w:sz w:val="24"/>
          <w:highlight w:val="none"/>
        </w:rPr>
        <w:t>格式</w:t>
      </w:r>
      <w:bookmarkEnd w:id="373"/>
      <w:bookmarkEnd w:id="374"/>
      <w:bookmarkEnd w:id="375"/>
      <w:bookmarkEnd w:id="376"/>
      <w:bookmarkEnd w:id="377"/>
      <w:bookmarkEnd w:id="378"/>
    </w:p>
    <w:p w14:paraId="08CE28B8">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47896899">
      <w:pPr>
        <w:jc w:val="left"/>
        <w:rPr>
          <w:rFonts w:ascii="宋体" w:hAnsi="宋体"/>
          <w:color w:val="000000"/>
          <w:kern w:val="0"/>
          <w:szCs w:val="21"/>
          <w:highlight w:val="none"/>
        </w:rPr>
      </w:pPr>
    </w:p>
    <w:p w14:paraId="40C7C7F7">
      <w:pPr>
        <w:ind w:right="840"/>
        <w:rPr>
          <w:rFonts w:ascii="宋体" w:hAnsi="宋体"/>
          <w:color w:val="000000"/>
          <w:kern w:val="0"/>
          <w:szCs w:val="21"/>
          <w:highlight w:val="none"/>
        </w:rPr>
      </w:pPr>
    </w:p>
    <w:p w14:paraId="4EC2989A">
      <w:pPr>
        <w:ind w:right="840"/>
        <w:rPr>
          <w:rFonts w:ascii="宋体" w:hAnsi="宋体"/>
          <w:color w:val="000000"/>
          <w:kern w:val="0"/>
          <w:szCs w:val="21"/>
          <w:highlight w:val="none"/>
        </w:rPr>
      </w:pPr>
    </w:p>
    <w:p w14:paraId="355A8A10">
      <w:pPr>
        <w:jc w:val="center"/>
        <w:rPr>
          <w:rFonts w:ascii="宋体" w:hAnsi="宋体"/>
          <w:color w:val="000000"/>
          <w:kern w:val="0"/>
          <w:sz w:val="32"/>
          <w:szCs w:val="32"/>
          <w:highlight w:val="none"/>
        </w:rPr>
      </w:pPr>
    </w:p>
    <w:p w14:paraId="531534FD">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4E2FAB35">
      <w:pPr>
        <w:jc w:val="center"/>
        <w:rPr>
          <w:rFonts w:ascii="宋体" w:hAnsi="宋体"/>
          <w:color w:val="000000"/>
          <w:kern w:val="0"/>
          <w:sz w:val="28"/>
          <w:szCs w:val="28"/>
          <w:highlight w:val="none"/>
        </w:rPr>
      </w:pPr>
    </w:p>
    <w:p w14:paraId="3EB3800F">
      <w:pPr>
        <w:jc w:val="center"/>
        <w:rPr>
          <w:rFonts w:ascii="宋体" w:hAnsi="宋体"/>
          <w:color w:val="000000"/>
          <w:kern w:val="0"/>
          <w:sz w:val="28"/>
          <w:szCs w:val="28"/>
          <w:highlight w:val="none"/>
        </w:rPr>
      </w:pPr>
    </w:p>
    <w:p w14:paraId="3CAC5F80">
      <w:pPr>
        <w:jc w:val="center"/>
        <w:rPr>
          <w:rFonts w:ascii="宋体" w:hAnsi="宋体"/>
          <w:color w:val="000000"/>
          <w:kern w:val="0"/>
          <w:sz w:val="28"/>
          <w:szCs w:val="28"/>
          <w:highlight w:val="none"/>
        </w:rPr>
      </w:pPr>
    </w:p>
    <w:p w14:paraId="2343250A">
      <w:pPr>
        <w:jc w:val="center"/>
        <w:rPr>
          <w:rFonts w:ascii="宋体" w:hAnsi="宋体"/>
          <w:color w:val="000000"/>
          <w:kern w:val="0"/>
          <w:sz w:val="28"/>
          <w:szCs w:val="28"/>
          <w:highlight w:val="none"/>
        </w:rPr>
      </w:pPr>
    </w:p>
    <w:p w14:paraId="2D90F5C4">
      <w:pPr>
        <w:jc w:val="center"/>
        <w:rPr>
          <w:rFonts w:ascii="宋体" w:hAnsi="宋体"/>
          <w:color w:val="000000"/>
          <w:kern w:val="0"/>
          <w:sz w:val="28"/>
          <w:szCs w:val="28"/>
          <w:highlight w:val="none"/>
        </w:rPr>
      </w:pPr>
    </w:p>
    <w:p w14:paraId="1F90B5C1">
      <w:pPr>
        <w:jc w:val="center"/>
        <w:rPr>
          <w:rFonts w:ascii="宋体" w:hAnsi="宋体"/>
          <w:color w:val="000000"/>
          <w:kern w:val="0"/>
          <w:sz w:val="28"/>
          <w:szCs w:val="28"/>
          <w:highlight w:val="none"/>
        </w:rPr>
      </w:pPr>
    </w:p>
    <w:p w14:paraId="1298608A">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5ADD9E5E">
      <w:pPr>
        <w:spacing w:line="360" w:lineRule="auto"/>
        <w:jc w:val="center"/>
        <w:rPr>
          <w:rFonts w:hint="eastAsia" w:ascii="宋体" w:hAnsi="宋体"/>
          <w:color w:val="000000"/>
          <w:kern w:val="0"/>
          <w:sz w:val="32"/>
          <w:szCs w:val="32"/>
          <w:highlight w:val="none"/>
          <w:u w:val="single"/>
          <w:lang w:eastAsia="zh-CN"/>
        </w:rPr>
      </w:pPr>
      <w:r>
        <w:rPr>
          <w:rFonts w:hint="eastAsia" w:ascii="宋体" w:hAnsi="宋体"/>
          <w:color w:val="000000"/>
          <w:kern w:val="0"/>
          <w:sz w:val="32"/>
          <w:szCs w:val="32"/>
          <w:highlight w:val="none"/>
          <w:u w:val="single"/>
          <w:lang w:eastAsia="zh-CN"/>
        </w:rPr>
        <w:t>商务文件</w:t>
      </w:r>
    </w:p>
    <w:p w14:paraId="0D882CD8">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35E617E4">
      <w:pPr>
        <w:rPr>
          <w:rFonts w:ascii="宋体" w:hAnsi="宋体"/>
          <w:color w:val="000000"/>
          <w:kern w:val="0"/>
          <w:sz w:val="32"/>
          <w:szCs w:val="32"/>
          <w:highlight w:val="none"/>
        </w:rPr>
      </w:pPr>
    </w:p>
    <w:p w14:paraId="4E7BD007">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C2E9BDF">
      <w:pPr>
        <w:jc w:val="center"/>
        <w:rPr>
          <w:rFonts w:ascii="宋体" w:hAnsi="宋体"/>
          <w:color w:val="000000"/>
          <w:kern w:val="0"/>
          <w:sz w:val="32"/>
          <w:szCs w:val="32"/>
          <w:highlight w:val="none"/>
        </w:rPr>
      </w:pPr>
    </w:p>
    <w:p w14:paraId="3E1D7C0C">
      <w:pPr>
        <w:jc w:val="center"/>
        <w:rPr>
          <w:rFonts w:ascii="宋体" w:hAnsi="宋体"/>
          <w:color w:val="000000"/>
          <w:kern w:val="0"/>
          <w:sz w:val="32"/>
          <w:szCs w:val="32"/>
          <w:highlight w:val="none"/>
        </w:rPr>
      </w:pPr>
    </w:p>
    <w:p w14:paraId="1F050B1C">
      <w:pPr>
        <w:rPr>
          <w:rFonts w:ascii="宋体" w:hAnsi="宋体"/>
          <w:color w:val="000000"/>
          <w:kern w:val="0"/>
          <w:sz w:val="32"/>
          <w:szCs w:val="32"/>
          <w:highlight w:val="none"/>
        </w:rPr>
      </w:pPr>
    </w:p>
    <w:p w14:paraId="4C51938F">
      <w:pPr>
        <w:jc w:val="center"/>
        <w:rPr>
          <w:rFonts w:ascii="宋体" w:hAnsi="宋体"/>
          <w:color w:val="000000"/>
          <w:kern w:val="0"/>
          <w:sz w:val="32"/>
          <w:szCs w:val="32"/>
          <w:highlight w:val="none"/>
        </w:rPr>
      </w:pPr>
    </w:p>
    <w:p w14:paraId="38643777">
      <w:pPr>
        <w:jc w:val="center"/>
        <w:rPr>
          <w:rFonts w:ascii="宋体" w:hAnsi="宋体"/>
          <w:color w:val="000000"/>
          <w:kern w:val="0"/>
          <w:sz w:val="32"/>
          <w:szCs w:val="32"/>
          <w:highlight w:val="none"/>
        </w:rPr>
      </w:pPr>
    </w:p>
    <w:p w14:paraId="3FEFF235">
      <w:pPr>
        <w:jc w:val="center"/>
        <w:rPr>
          <w:rFonts w:ascii="宋体" w:hAnsi="宋体"/>
          <w:color w:val="000000"/>
          <w:kern w:val="0"/>
          <w:sz w:val="32"/>
          <w:szCs w:val="32"/>
          <w:highlight w:val="none"/>
        </w:rPr>
      </w:pPr>
    </w:p>
    <w:p w14:paraId="0B453D7C">
      <w:pPr>
        <w:jc w:val="center"/>
        <w:rPr>
          <w:rFonts w:ascii="宋体" w:hAnsi="宋体"/>
          <w:color w:val="000000"/>
          <w:kern w:val="0"/>
          <w:sz w:val="32"/>
          <w:szCs w:val="32"/>
          <w:highlight w:val="none"/>
        </w:rPr>
      </w:pPr>
    </w:p>
    <w:p w14:paraId="54BA6072">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750798CF">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39EE7330">
      <w:pPr>
        <w:rPr>
          <w:rFonts w:ascii="宋体" w:hAnsi="宋体"/>
          <w:color w:val="000000"/>
          <w:kern w:val="0"/>
          <w:sz w:val="28"/>
          <w:szCs w:val="28"/>
          <w:highlight w:val="none"/>
        </w:rPr>
      </w:pPr>
    </w:p>
    <w:p w14:paraId="220C30FE">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300C50E6">
      <w:pPr>
        <w:spacing w:line="360" w:lineRule="auto"/>
        <w:jc w:val="left"/>
        <w:rPr>
          <w:rFonts w:ascii="宋体" w:hAnsi="宋体"/>
          <w:color w:val="000000"/>
          <w:kern w:val="0"/>
          <w:sz w:val="22"/>
          <w:szCs w:val="22"/>
          <w:highlight w:val="none"/>
        </w:rPr>
      </w:pPr>
      <w:r>
        <w:rPr>
          <w:rFonts w:ascii="宋体" w:hAnsi="宋体"/>
          <w:color w:val="000000"/>
          <w:kern w:val="0"/>
          <w:sz w:val="28"/>
          <w:szCs w:val="28"/>
          <w:highlight w:val="none"/>
        </w:rPr>
        <w:br w:type="page"/>
      </w:r>
      <w:r>
        <w:rPr>
          <w:rFonts w:ascii="宋体" w:hAnsi="宋体"/>
          <w:color w:val="000000"/>
          <w:kern w:val="0"/>
          <w:sz w:val="22"/>
          <w:szCs w:val="22"/>
          <w:highlight w:val="none"/>
        </w:rPr>
        <w:t xml:space="preserve"> </w:t>
      </w:r>
      <w:r>
        <w:rPr>
          <w:rFonts w:hint="eastAsia" w:ascii="宋体" w:hAnsi="宋体"/>
          <w:color w:val="000000"/>
          <w:kern w:val="0"/>
          <w:sz w:val="22"/>
          <w:szCs w:val="22"/>
          <w:highlight w:val="none"/>
        </w:rPr>
        <w:t>（二）</w:t>
      </w:r>
      <w:r>
        <w:rPr>
          <w:rFonts w:hint="eastAsia" w:ascii="宋体" w:hAnsi="宋体"/>
          <w:color w:val="000000"/>
          <w:kern w:val="0"/>
          <w:sz w:val="22"/>
          <w:szCs w:val="22"/>
          <w:highlight w:val="none"/>
          <w:lang w:eastAsia="zh-CN"/>
        </w:rPr>
        <w:t>商务文件</w:t>
      </w:r>
      <w:r>
        <w:rPr>
          <w:rFonts w:hint="eastAsia" w:ascii="宋体" w:hAnsi="宋体"/>
          <w:color w:val="000000"/>
          <w:kern w:val="0"/>
          <w:sz w:val="22"/>
          <w:szCs w:val="22"/>
          <w:highlight w:val="none"/>
        </w:rPr>
        <w:t>内容格式</w:t>
      </w:r>
    </w:p>
    <w:p w14:paraId="24CB63C3">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26B4E22B">
      <w:pPr>
        <w:spacing w:line="360" w:lineRule="auto"/>
        <w:ind w:firstLine="440" w:firstLineChars="200"/>
        <w:jc w:val="left"/>
        <w:rPr>
          <w:rFonts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1</w:t>
      </w: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rPr>
        <w:t>投标函（详见格式</w:t>
      </w:r>
      <w:r>
        <w:rPr>
          <w:rFonts w:hint="eastAsia" w:ascii="宋体" w:hAnsi="宋体"/>
          <w:bCs/>
          <w:color w:val="000000"/>
          <w:kern w:val="0"/>
          <w:sz w:val="22"/>
          <w:szCs w:val="22"/>
          <w:highlight w:val="none"/>
          <w:lang w:val="en-US" w:eastAsia="zh-CN"/>
        </w:rPr>
        <w:t>C1</w:t>
      </w:r>
      <w:r>
        <w:rPr>
          <w:rFonts w:hint="eastAsia" w:ascii="宋体" w:hAnsi="宋体"/>
          <w:bCs/>
          <w:color w:val="000000"/>
          <w:kern w:val="0"/>
          <w:sz w:val="22"/>
          <w:szCs w:val="22"/>
          <w:highlight w:val="none"/>
        </w:rPr>
        <w:t>）；</w:t>
      </w:r>
    </w:p>
    <w:p w14:paraId="32F3D1BF">
      <w:pPr>
        <w:spacing w:line="360" w:lineRule="auto"/>
        <w:ind w:firstLine="440" w:firstLineChars="200"/>
        <w:jc w:val="left"/>
        <w:rPr>
          <w:rFonts w:hint="eastAsia"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2</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投标报价表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C2</w:t>
      </w:r>
      <w:r>
        <w:rPr>
          <w:rFonts w:hint="eastAsia" w:ascii="宋体" w:hAnsi="宋体"/>
          <w:bCs/>
          <w:color w:val="000000"/>
          <w:kern w:val="0"/>
          <w:sz w:val="22"/>
          <w:szCs w:val="22"/>
          <w:highlight w:val="none"/>
        </w:rPr>
        <w:t>）；</w:t>
      </w:r>
    </w:p>
    <w:p w14:paraId="454B9EA7">
      <w:pPr>
        <w:spacing w:line="360" w:lineRule="auto"/>
        <w:ind w:firstLine="440" w:firstLineChars="200"/>
        <w:jc w:val="left"/>
        <w:rPr>
          <w:rFonts w:hint="eastAsia" w:ascii="宋体" w:hAnsi="宋体"/>
          <w:color w:val="00000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3</w:t>
      </w:r>
      <w:r>
        <w:rPr>
          <w:rFonts w:hint="eastAsia" w:ascii="宋体" w:hAnsi="宋体"/>
          <w:bCs/>
          <w:color w:val="000000"/>
          <w:kern w:val="0"/>
          <w:sz w:val="22"/>
          <w:szCs w:val="22"/>
          <w:highlight w:val="none"/>
          <w:lang w:eastAsia="zh-CN"/>
        </w:rPr>
        <w:t>）</w:t>
      </w:r>
      <w:r>
        <w:rPr>
          <w:rFonts w:hint="eastAsia" w:hAnsi="宋体"/>
          <w:bCs/>
          <w:color w:val="000000"/>
          <w:kern w:val="0"/>
          <w:sz w:val="22"/>
          <w:szCs w:val="22"/>
          <w:highlight w:val="none"/>
          <w:lang w:val="en-US" w:eastAsia="zh-CN"/>
        </w:rPr>
        <w:t>投标报价明细表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C3</w:t>
      </w:r>
      <w:r>
        <w:rPr>
          <w:rFonts w:hint="eastAsia" w:ascii="宋体" w:hAnsi="宋体"/>
          <w:bCs/>
          <w:color w:val="000000"/>
          <w:kern w:val="0"/>
          <w:sz w:val="22"/>
          <w:szCs w:val="22"/>
          <w:highlight w:val="none"/>
        </w:rPr>
        <w:t>）；</w:t>
      </w:r>
    </w:p>
    <w:p w14:paraId="3AB7FE1F">
      <w:pPr>
        <w:spacing w:line="360" w:lineRule="auto"/>
        <w:ind w:firstLine="440" w:firstLineChars="200"/>
        <w:jc w:val="left"/>
        <w:rPr>
          <w:rFonts w:hint="eastAsia" w:ascii="宋体" w:hAnsi="宋体"/>
          <w:color w:val="000000"/>
          <w:sz w:val="22"/>
          <w:szCs w:val="22"/>
          <w:highlight w:val="none"/>
        </w:rPr>
      </w:pPr>
      <w:r>
        <w:rPr>
          <w:rFonts w:hint="eastAsia" w:ascii="宋体" w:hAnsi="宋体"/>
          <w:bCs/>
          <w:color w:val="000000"/>
          <w:kern w:val="0"/>
          <w:sz w:val="22"/>
          <w:szCs w:val="22"/>
          <w:highlight w:val="none"/>
          <w:lang w:val="en-US" w:eastAsia="zh-CN"/>
        </w:rPr>
        <w:t>（4）投标人类似项目业绩表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C4</w:t>
      </w:r>
      <w:r>
        <w:rPr>
          <w:rFonts w:hint="eastAsia" w:ascii="宋体" w:hAnsi="宋体"/>
          <w:bCs/>
          <w:color w:val="000000"/>
          <w:kern w:val="0"/>
          <w:sz w:val="22"/>
          <w:szCs w:val="22"/>
          <w:highlight w:val="none"/>
        </w:rPr>
        <w:t>）</w:t>
      </w:r>
      <w:r>
        <w:rPr>
          <w:rFonts w:hint="eastAsia" w:ascii="宋体" w:hAnsi="宋体"/>
          <w:bCs/>
          <w:color w:val="000000"/>
          <w:kern w:val="0"/>
          <w:sz w:val="22"/>
          <w:szCs w:val="22"/>
          <w:highlight w:val="none"/>
          <w:lang w:eastAsia="zh-CN"/>
        </w:rPr>
        <w:t>；</w:t>
      </w:r>
      <w:r>
        <w:rPr>
          <w:rFonts w:hint="eastAsia" w:ascii="宋体" w:hAnsi="宋体"/>
          <w:color w:val="000000"/>
          <w:sz w:val="22"/>
          <w:szCs w:val="22"/>
          <w:highlight w:val="none"/>
        </w:rPr>
        <w:t xml:space="preserve"> </w:t>
      </w:r>
    </w:p>
    <w:p w14:paraId="35062B9E">
      <w:pPr>
        <w:spacing w:line="360" w:lineRule="auto"/>
        <w:ind w:firstLine="440" w:firstLineChars="200"/>
        <w:jc w:val="left"/>
        <w:rPr>
          <w:color w:val="000000"/>
          <w:sz w:val="22"/>
          <w:szCs w:val="28"/>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5</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投标人认为需要提交的其他资料</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C5</w:t>
      </w:r>
      <w:r>
        <w:rPr>
          <w:rFonts w:hint="eastAsia" w:ascii="宋体" w:hAnsi="宋体"/>
          <w:bCs/>
          <w:color w:val="000000"/>
          <w:kern w:val="0"/>
          <w:sz w:val="22"/>
          <w:szCs w:val="22"/>
          <w:highlight w:val="none"/>
        </w:rPr>
        <w:t>）</w:t>
      </w:r>
      <w:r>
        <w:rPr>
          <w:rFonts w:hint="eastAsia" w:ascii="宋体" w:hAnsi="宋体"/>
          <w:color w:val="000000"/>
          <w:kern w:val="0"/>
          <w:sz w:val="22"/>
          <w:szCs w:val="22"/>
          <w:highlight w:val="none"/>
        </w:rPr>
        <w:t>（如有，格式自拟）。</w:t>
      </w:r>
    </w:p>
    <w:bookmarkEnd w:id="379"/>
    <w:bookmarkEnd w:id="380"/>
    <w:bookmarkEnd w:id="381"/>
    <w:bookmarkEnd w:id="382"/>
    <w:bookmarkEnd w:id="383"/>
    <w:bookmarkEnd w:id="384"/>
    <w:bookmarkEnd w:id="385"/>
    <w:bookmarkEnd w:id="386"/>
    <w:p w14:paraId="58743D4A">
      <w:pPr>
        <w:spacing w:before="40" w:after="40"/>
        <w:ind w:firstLine="420" w:firstLineChars="200"/>
        <w:rPr>
          <w:color w:val="000000"/>
          <w:highlight w:val="none"/>
        </w:rPr>
      </w:pPr>
      <w:r>
        <w:rPr>
          <w:color w:val="000000"/>
          <w:highlight w:val="none"/>
        </w:rPr>
        <w:br w:type="page"/>
      </w:r>
    </w:p>
    <w:p w14:paraId="75B48C68">
      <w:pPr>
        <w:widowControl/>
        <w:spacing w:before="0" w:line="240" w:lineRule="auto"/>
        <w:jc w:val="left"/>
        <w:rPr>
          <w:rFonts w:ascii="宋体" w:hAnsi="宋体"/>
          <w:b/>
          <w:color w:val="000000"/>
          <w:szCs w:val="28"/>
          <w:highlight w:val="none"/>
        </w:rPr>
        <w:sectPr>
          <w:headerReference r:id="rId10" w:type="default"/>
          <w:footerReference r:id="rId11" w:type="default"/>
          <w:pgSz w:w="11905" w:h="16838"/>
          <w:pgMar w:top="1304" w:right="1417" w:bottom="1304" w:left="1417" w:header="850" w:footer="992" w:gutter="0"/>
          <w:pgNumType w:fmt="decimal"/>
          <w:cols w:space="720" w:num="1"/>
          <w:docGrid w:linePitch="312" w:charSpace="0"/>
        </w:sectPr>
      </w:pPr>
      <w:bookmarkStart w:id="387" w:name="_Toc318213169"/>
      <w:bookmarkStart w:id="388" w:name="_Toc395312611"/>
      <w:bookmarkStart w:id="389" w:name="_Toc392941014"/>
    </w:p>
    <w:p w14:paraId="5DC50C22">
      <w:pPr>
        <w:pStyle w:val="4"/>
        <w:spacing w:line="360" w:lineRule="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C1</w:t>
      </w:r>
      <w:r>
        <w:rPr>
          <w:rFonts w:hint="eastAsia" w:ascii="宋体" w:hAnsi="宋体" w:eastAsia="宋体" w:cs="宋体"/>
          <w:b w:val="0"/>
          <w:sz w:val="24"/>
          <w:szCs w:val="24"/>
          <w:highlight w:val="none"/>
        </w:rPr>
        <w:t>：投标函</w:t>
      </w:r>
    </w:p>
    <w:p w14:paraId="70BC5577">
      <w:pPr>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投标函</w:t>
      </w:r>
    </w:p>
    <w:p w14:paraId="15140585">
      <w:pPr>
        <w:spacing w:line="360" w:lineRule="auto"/>
        <w:rPr>
          <w:rFonts w:hint="eastAsia" w:ascii="宋体" w:hAnsi="宋体" w:eastAsia="宋体" w:cs="宋体"/>
          <w:color w:val="000000"/>
          <w:kern w:val="0"/>
          <w:sz w:val="22"/>
          <w:szCs w:val="22"/>
          <w:highlight w:val="none"/>
          <w:u w:val="single"/>
        </w:rPr>
      </w:pPr>
      <w:r>
        <w:rPr>
          <w:rFonts w:hint="eastAsia" w:ascii="宋体" w:hAnsi="宋体" w:eastAsia="宋体" w:cs="宋体"/>
          <w:color w:val="000000"/>
          <w:kern w:val="0"/>
          <w:sz w:val="22"/>
          <w:szCs w:val="22"/>
          <w:highlight w:val="none"/>
        </w:rPr>
        <w:t>致：</w:t>
      </w:r>
      <w:r>
        <w:rPr>
          <w:rFonts w:hint="eastAsia" w:ascii="宋体" w:hAnsi="宋体" w:eastAsia="宋体" w:cs="宋体"/>
          <w:color w:val="000000"/>
          <w:kern w:val="0"/>
          <w:sz w:val="22"/>
          <w:szCs w:val="22"/>
          <w:highlight w:val="none"/>
          <w:u w:val="single"/>
          <w:lang w:eastAsia="zh-CN"/>
        </w:rPr>
        <w:t>南宁轨道地产建筑工程有限责任公司</w:t>
      </w:r>
    </w:p>
    <w:p w14:paraId="1D3B10B5">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在研究了贵公司提供的《</w:t>
      </w:r>
      <w:r>
        <w:rPr>
          <w:rFonts w:hint="eastAsia" w:ascii="宋体" w:hAnsi="宋体" w:cs="宋体"/>
          <w:color w:val="000000"/>
          <w:kern w:val="0"/>
          <w:sz w:val="22"/>
          <w:szCs w:val="22"/>
          <w:highlight w:val="none"/>
          <w:lang w:eastAsia="zh-CN"/>
        </w:rPr>
        <w:t>2025年-2026年南宁轨道地产建筑工程有限责任公司钢筋集中采购项目</w:t>
      </w:r>
      <w:r>
        <w:rPr>
          <w:rFonts w:hint="eastAsia" w:ascii="宋体" w:hAnsi="宋体" w:eastAsia="宋体" w:cs="宋体"/>
          <w:color w:val="000000"/>
          <w:kern w:val="0"/>
          <w:sz w:val="22"/>
          <w:szCs w:val="22"/>
          <w:highlight w:val="none"/>
        </w:rPr>
        <w:t>招标文件》，并考察现场后，我公司在此郑重表示，愿意按照我公司报送的</w:t>
      </w:r>
      <w:r>
        <w:rPr>
          <w:rFonts w:hint="eastAsia" w:ascii="宋体" w:hAnsi="宋体" w:cs="宋体"/>
          <w:color w:val="000000"/>
          <w:kern w:val="0"/>
          <w:sz w:val="22"/>
          <w:szCs w:val="22"/>
          <w:highlight w:val="none"/>
          <w:lang w:val="en-US" w:eastAsia="zh-CN"/>
        </w:rPr>
        <w:t>投标</w:t>
      </w:r>
      <w:r>
        <w:rPr>
          <w:rFonts w:hint="eastAsia" w:ascii="宋体" w:hAnsi="宋体" w:eastAsia="宋体" w:cs="宋体"/>
          <w:color w:val="000000"/>
          <w:kern w:val="0"/>
          <w:sz w:val="22"/>
          <w:szCs w:val="22"/>
          <w:highlight w:val="none"/>
        </w:rPr>
        <w:t>文件确定的投入力量和工作方法，依据贵公司招标文件中提出的各项要求，我公司愿以</w:t>
      </w:r>
      <w:r>
        <w:rPr>
          <w:rFonts w:hint="eastAsia" w:ascii="宋体" w:hAnsi="宋体" w:cs="宋体"/>
          <w:color w:val="000000"/>
          <w:kern w:val="0"/>
          <w:sz w:val="22"/>
          <w:szCs w:val="22"/>
          <w:highlight w:val="none"/>
          <w:lang w:val="en-US" w:eastAsia="zh-CN"/>
        </w:rPr>
        <w:t>下调金额</w:t>
      </w:r>
      <w:r>
        <w:rPr>
          <w:rFonts w:hint="eastAsia" w:ascii="宋体" w:hAnsi="宋体" w:eastAsia="宋体" w:cs="宋体"/>
          <w:color w:val="000000"/>
          <w:kern w:val="0"/>
          <w:sz w:val="22"/>
          <w:szCs w:val="22"/>
          <w:highlight w:val="none"/>
          <w:u w:val="single"/>
          <w:lang w:val="en-US" w:eastAsia="zh-CN"/>
        </w:rPr>
        <w:t xml:space="preserve"> </w:t>
      </w:r>
      <w:r>
        <w:rPr>
          <w:rFonts w:hint="eastAsia" w:ascii="宋体" w:hAnsi="宋体" w:cs="宋体"/>
          <w:color w:val="000000"/>
          <w:kern w:val="0"/>
          <w:sz w:val="22"/>
          <w:szCs w:val="22"/>
          <w:highlight w:val="none"/>
          <w:u w:val="single"/>
          <w:lang w:val="en-US" w:eastAsia="zh-CN"/>
        </w:rPr>
        <w:t xml:space="preserve">  </w:t>
      </w:r>
      <w:r>
        <w:rPr>
          <w:rFonts w:hint="eastAsia" w:ascii="宋体" w:hAnsi="宋体" w:eastAsia="宋体" w:cs="宋体"/>
          <w:color w:val="000000"/>
          <w:kern w:val="0"/>
          <w:sz w:val="22"/>
          <w:szCs w:val="22"/>
          <w:highlight w:val="none"/>
          <w:u w:val="single"/>
          <w:lang w:val="en-US" w:eastAsia="zh-CN"/>
        </w:rPr>
        <w:t xml:space="preserve">  </w:t>
      </w:r>
      <w:r>
        <w:rPr>
          <w:rFonts w:ascii="宋体" w:hAnsi="宋体"/>
          <w:color w:val="auto"/>
          <w:szCs w:val="21"/>
          <w:highlight w:val="none"/>
          <w:u w:val="single"/>
        </w:rPr>
        <w:t>元/吨</w:t>
      </w:r>
      <w:r>
        <w:rPr>
          <w:rFonts w:hint="eastAsia" w:ascii="宋体" w:hAnsi="宋体" w:eastAsia="宋体" w:cs="宋体"/>
          <w:color w:val="000000"/>
          <w:kern w:val="0"/>
          <w:sz w:val="22"/>
          <w:szCs w:val="22"/>
          <w:highlight w:val="none"/>
        </w:rPr>
        <w:t>的报价承担并完成上述项目的货物和服务等任务，项目质量</w:t>
      </w:r>
      <w:r>
        <w:rPr>
          <w:rFonts w:hint="eastAsia" w:ascii="宋体" w:hAnsi="宋体" w:eastAsia="宋体" w:cs="宋体"/>
          <w:bCs/>
          <w:color w:val="000000"/>
          <w:sz w:val="22"/>
          <w:szCs w:val="22"/>
          <w:highlight w:val="none"/>
        </w:rPr>
        <w:t>满足国家现行规范、标准、招标文件要求和项目实际需要</w:t>
      </w:r>
      <w:r>
        <w:rPr>
          <w:rFonts w:hint="eastAsia" w:ascii="宋体" w:hAnsi="宋体" w:eastAsia="宋体" w:cs="宋体"/>
          <w:color w:val="000000"/>
          <w:kern w:val="0"/>
          <w:sz w:val="22"/>
          <w:szCs w:val="22"/>
          <w:highlight w:val="none"/>
        </w:rPr>
        <w:t>。</w:t>
      </w:r>
    </w:p>
    <w:p w14:paraId="33B69DCF">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本投标文件是由《资格审查文件》</w:t>
      </w:r>
      <w:r>
        <w:rPr>
          <w:rFonts w:hint="eastAsia" w:ascii="宋体" w:hAnsi="宋体" w:eastAsia="宋体" w:cs="宋体"/>
          <w:color w:val="000000"/>
          <w:kern w:val="0"/>
          <w:sz w:val="22"/>
          <w:szCs w:val="22"/>
          <w:highlight w:val="none"/>
          <w:lang w:eastAsia="zh-CN"/>
        </w:rPr>
        <w:t>、</w:t>
      </w:r>
      <w:r>
        <w:rPr>
          <w:rFonts w:hint="eastAsia" w:ascii="宋体" w:hAnsi="宋体" w:eastAsia="宋体" w:cs="宋体"/>
          <w:color w:val="000000"/>
          <w:kern w:val="0"/>
          <w:sz w:val="22"/>
          <w:szCs w:val="22"/>
          <w:highlight w:val="none"/>
        </w:rPr>
        <w:t>《</w:t>
      </w:r>
      <w:r>
        <w:rPr>
          <w:rFonts w:hint="eastAsia" w:ascii="宋体" w:hAnsi="宋体" w:cs="宋体"/>
          <w:color w:val="000000"/>
          <w:kern w:val="0"/>
          <w:sz w:val="22"/>
          <w:szCs w:val="22"/>
          <w:highlight w:val="none"/>
          <w:lang w:val="en-US" w:eastAsia="zh-CN"/>
        </w:rPr>
        <w:t>技术</w:t>
      </w:r>
      <w:r>
        <w:rPr>
          <w:rFonts w:hint="eastAsia" w:ascii="宋体" w:hAnsi="宋体" w:eastAsia="宋体" w:cs="宋体"/>
          <w:color w:val="000000"/>
          <w:kern w:val="0"/>
          <w:sz w:val="22"/>
          <w:szCs w:val="22"/>
          <w:highlight w:val="none"/>
        </w:rPr>
        <w:t>文件》和《</w:t>
      </w:r>
      <w:r>
        <w:rPr>
          <w:rFonts w:hint="eastAsia" w:ascii="宋体" w:hAnsi="宋体" w:cs="宋体"/>
          <w:color w:val="000000"/>
          <w:kern w:val="0"/>
          <w:sz w:val="22"/>
          <w:szCs w:val="22"/>
          <w:highlight w:val="none"/>
          <w:lang w:eastAsia="zh-CN"/>
        </w:rPr>
        <w:t>商务文件</w:t>
      </w:r>
      <w:r>
        <w:rPr>
          <w:rFonts w:hint="eastAsia" w:ascii="宋体" w:hAnsi="宋体" w:eastAsia="宋体" w:cs="宋体"/>
          <w:color w:val="000000"/>
          <w:kern w:val="0"/>
          <w:sz w:val="22"/>
          <w:szCs w:val="22"/>
          <w:highlight w:val="none"/>
        </w:rPr>
        <w:t>》</w:t>
      </w:r>
      <w:r>
        <w:rPr>
          <w:rFonts w:hint="eastAsia" w:ascii="宋体" w:hAnsi="宋体" w:cs="宋体"/>
          <w:color w:val="000000"/>
          <w:kern w:val="0"/>
          <w:sz w:val="22"/>
          <w:szCs w:val="22"/>
          <w:highlight w:val="none"/>
          <w:lang w:val="en-US" w:eastAsia="zh-CN"/>
        </w:rPr>
        <w:t>三</w:t>
      </w:r>
      <w:r>
        <w:rPr>
          <w:rFonts w:hint="eastAsia" w:ascii="宋体" w:hAnsi="宋体" w:eastAsia="宋体" w:cs="宋体"/>
          <w:color w:val="000000"/>
          <w:kern w:val="0"/>
          <w:sz w:val="22"/>
          <w:szCs w:val="22"/>
          <w:highlight w:val="none"/>
        </w:rPr>
        <w:t>册组成。我公司同意从递交投标文件起</w:t>
      </w:r>
      <w:r>
        <w:rPr>
          <w:rFonts w:hint="eastAsia" w:ascii="宋体" w:hAnsi="宋体" w:eastAsia="宋体" w:cs="宋体"/>
          <w:color w:val="000000"/>
          <w:kern w:val="0"/>
          <w:sz w:val="22"/>
          <w:szCs w:val="22"/>
          <w:highlight w:val="none"/>
          <w:u w:val="single"/>
        </w:rPr>
        <w:t>120天</w:t>
      </w:r>
      <w:r>
        <w:rPr>
          <w:rFonts w:hint="eastAsia" w:ascii="宋体" w:hAnsi="宋体" w:eastAsia="宋体" w:cs="宋体"/>
          <w:color w:val="000000"/>
          <w:kern w:val="0"/>
          <w:sz w:val="22"/>
          <w:szCs w:val="22"/>
          <w:highlight w:val="none"/>
        </w:rPr>
        <w:t>内保持投标文件有效。在此有效期内，我公司将遵守本投标文件的承诺，并同意随时解答贵公司的询问，提供贵公司要求的补充资料，参加贵公司组织的主要人员的技术答辩，并随时准备接受中标通知。</w:t>
      </w:r>
    </w:p>
    <w:p w14:paraId="2878D8E4">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我公司在此承诺，我公司若能中标，将在该项目的实施过程中，全面履行招标文件中规定的职责和义务，</w:t>
      </w:r>
      <w:r>
        <w:rPr>
          <w:rFonts w:hint="eastAsia" w:ascii="宋体" w:hAnsi="宋体" w:eastAsia="宋体" w:cs="宋体"/>
          <w:color w:val="000000"/>
          <w:kern w:val="0"/>
          <w:sz w:val="22"/>
          <w:szCs w:val="22"/>
          <w:highlight w:val="none"/>
          <w:lang w:val="en-US" w:eastAsia="zh-CN"/>
        </w:rPr>
        <w:t>服务</w:t>
      </w:r>
      <w:r>
        <w:rPr>
          <w:rFonts w:hint="eastAsia" w:ascii="宋体" w:hAnsi="宋体" w:eastAsia="宋体" w:cs="宋体"/>
          <w:color w:val="000000"/>
          <w:kern w:val="0"/>
          <w:sz w:val="22"/>
          <w:szCs w:val="22"/>
          <w:highlight w:val="none"/>
        </w:rPr>
        <w:t>期：</w:t>
      </w:r>
      <w:r>
        <w:rPr>
          <w:rFonts w:hint="eastAsia" w:ascii="宋体" w:hAnsi="宋体" w:eastAsia="宋体" w:cs="宋体"/>
          <w:color w:val="000000"/>
          <w:kern w:val="0"/>
          <w:sz w:val="22"/>
          <w:szCs w:val="22"/>
          <w:highlight w:val="none"/>
          <w:lang w:val="en-US" w:eastAsia="zh-CN"/>
        </w:rPr>
        <w:t>一年（2025年9月1日至2026年8月31日），具体以签订合同时间为准</w:t>
      </w:r>
      <w:r>
        <w:rPr>
          <w:rFonts w:hint="eastAsia" w:ascii="宋体" w:hAnsi="宋体" w:eastAsia="宋体" w:cs="宋体"/>
          <w:color w:val="000000"/>
          <w:kern w:val="0"/>
          <w:sz w:val="22"/>
          <w:szCs w:val="22"/>
          <w:highlight w:val="none"/>
        </w:rPr>
        <w:t>。质量要求：满足国家现行规范、标准、招标文件要求和项目实际需要。</w:t>
      </w:r>
    </w:p>
    <w:p w14:paraId="36D8CF5A">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我们理解，贵公司不一定接受最低标价的投标或其他任何投标。同时也理解，贵公司不负担我们的任何投标费用。</w:t>
      </w:r>
    </w:p>
    <w:p w14:paraId="1DD8F2A6">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我公司在此确认招标人对招标文件具有最终解释权。</w:t>
      </w:r>
    </w:p>
    <w:p w14:paraId="7600D5A8">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我公司已详细研究了招标文件包括修改文件(如有)和所有已提供的参考资料以及有关附件并完全明白，我公司放弃在此方面提出含糊意见或误解的一切权利。</w:t>
      </w:r>
    </w:p>
    <w:p w14:paraId="0F074BFA">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在合同协议书正式签署生效之前，本投标函连同贵公司的中标通知书将构成贵我双方共同遵守的文件，对双方具有约束力。</w:t>
      </w:r>
    </w:p>
    <w:p w14:paraId="1376A826">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在本项目合同履约过程中，合同约定的税率必须遵照国家现行税法执行，最终税金在结算阶段按实际产生的税金进行核算，但合同不含税价格不因国家税率调整而调整。</w:t>
      </w:r>
    </w:p>
    <w:p w14:paraId="446E197E">
      <w:pPr>
        <w:spacing w:line="360" w:lineRule="auto"/>
        <w:ind w:firstLine="440" w:firstLineChars="200"/>
        <w:rPr>
          <w:rFonts w:hint="eastAsia" w:ascii="宋体" w:hAnsi="宋体" w:eastAsia="宋体" w:cs="宋体"/>
          <w:color w:val="000000"/>
          <w:sz w:val="22"/>
          <w:szCs w:val="22"/>
          <w:highlight w:val="none"/>
        </w:rPr>
      </w:pPr>
    </w:p>
    <w:p w14:paraId="245D89FA">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投标人地址：</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投标人</w:t>
      </w:r>
      <w:r>
        <w:rPr>
          <w:rFonts w:hint="eastAsia" w:ascii="宋体" w:hAnsi="宋体" w:eastAsia="宋体" w:cs="宋体"/>
          <w:color w:val="000000"/>
          <w:sz w:val="22"/>
          <w:szCs w:val="22"/>
          <w:highlight w:val="none"/>
          <w:u w:val="single"/>
        </w:rPr>
        <w:t xml:space="preserve">       (盖章)      </w:t>
      </w:r>
    </w:p>
    <w:p w14:paraId="20C382AB">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邮政编码：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法定代表人或其委托代理人：</w:t>
      </w:r>
    </w:p>
    <w:p w14:paraId="352DD8C1">
      <w:pPr>
        <w:spacing w:line="360" w:lineRule="auto"/>
        <w:ind w:firstLine="440" w:firstLineChars="200"/>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rPr>
        <w:t xml:space="preserve">电    话：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u w:val="single"/>
        </w:rPr>
        <w:t xml:space="preserve">         (签字或盖章)       </w:t>
      </w:r>
    </w:p>
    <w:p w14:paraId="31ECA250">
      <w:pPr>
        <w:pageBreakBefore w:val="0"/>
        <w:snapToGrid/>
        <w:spacing w:before="0" w:line="360" w:lineRule="auto"/>
        <w:ind w:left="0" w:right="0" w:firstLine="440" w:firstLineChars="200"/>
        <w:jc w:val="left"/>
        <w:outlineLvl w:val="9"/>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rPr>
        <w:t xml:space="preserve">传    真：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日期：</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日</w:t>
      </w:r>
      <w:r>
        <w:rPr>
          <w:rFonts w:hint="eastAsia" w:ascii="宋体" w:hAnsi="宋体" w:eastAsia="宋体" w:cs="宋体"/>
          <w:b w:val="0"/>
          <w:sz w:val="22"/>
          <w:szCs w:val="22"/>
          <w:highlight w:val="none"/>
        </w:rPr>
        <w:br w:type="page"/>
      </w:r>
      <w:bookmarkEnd w:id="387"/>
      <w:bookmarkEnd w:id="388"/>
      <w:bookmarkEnd w:id="389"/>
      <w:bookmarkStart w:id="390" w:name="_Toc31938"/>
      <w:bookmarkStart w:id="391" w:name="_Toc32624"/>
      <w:bookmarkStart w:id="392" w:name="_Toc10088"/>
      <w:bookmarkStart w:id="393" w:name="_Toc11129"/>
    </w:p>
    <w:p w14:paraId="13781FF4">
      <w:pPr>
        <w:pageBreakBefore w:val="0"/>
        <w:snapToGrid/>
        <w:spacing w:before="0" w:line="360" w:lineRule="auto"/>
        <w:ind w:left="0" w:right="0" w:firstLine="0" w:firstLineChars="0"/>
        <w:jc w:val="left"/>
        <w:outlineLvl w:val="2"/>
        <w:rPr>
          <w:rFonts w:hint="eastAsia" w:ascii="宋体" w:hAnsi="宋体" w:eastAsia="宋体" w:cs="宋体"/>
          <w:b/>
          <w:bCs/>
          <w:color w:val="auto"/>
          <w:sz w:val="24"/>
          <w:szCs w:val="24"/>
          <w:highlight w:val="none"/>
        </w:rPr>
      </w:pPr>
      <w:r>
        <w:rPr>
          <w:rFonts w:hint="eastAsia" w:ascii="宋体" w:hAnsi="宋体" w:eastAsia="宋体" w:cs="宋体"/>
          <w:b w:val="0"/>
          <w:bCs w:val="0"/>
          <w:sz w:val="24"/>
          <w:szCs w:val="24"/>
          <w:highlight w:val="none"/>
        </w:rPr>
        <w:t>格式</w:t>
      </w:r>
      <w:r>
        <w:rPr>
          <w:rFonts w:hint="eastAsia" w:ascii="宋体" w:hAnsi="宋体" w:cs="宋体"/>
          <w:b w:val="0"/>
          <w:sz w:val="24"/>
          <w:szCs w:val="24"/>
          <w:highlight w:val="none"/>
          <w:lang w:val="en-US" w:eastAsia="zh-CN"/>
        </w:rPr>
        <w:t>C</w:t>
      </w: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color w:val="auto"/>
          <w:sz w:val="24"/>
          <w:szCs w:val="24"/>
          <w:highlight w:val="none"/>
        </w:rPr>
        <w:t>开标一览表</w:t>
      </w:r>
    </w:p>
    <w:p w14:paraId="59FCC7D1">
      <w:pPr>
        <w:snapToGrid w:val="0"/>
        <w:spacing w:after="50" w:line="360" w:lineRule="auto"/>
        <w:ind w:right="-57" w:firstLine="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开标一览表</w:t>
      </w:r>
    </w:p>
    <w:p w14:paraId="6818D978">
      <w:pPr>
        <w:widowControl w:val="0"/>
        <w:snapToGrid w:val="0"/>
        <w:spacing w:before="0" w:after="0" w:afterAutospacing="0" w:line="360" w:lineRule="auto"/>
        <w:ind w:left="0" w:right="-57" w:rightChars="-27" w:firstLine="0"/>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rPr>
        <w:t>项目名称：</w:t>
      </w:r>
    </w:p>
    <w:p w14:paraId="1200E4BB">
      <w:pPr>
        <w:widowControl w:val="0"/>
        <w:snapToGrid w:val="0"/>
        <w:spacing w:before="0" w:after="0" w:afterAutospacing="0" w:line="360" w:lineRule="auto"/>
        <w:ind w:right="-57" w:rightChars="-27"/>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项目编号：                                                           </w:t>
      </w:r>
    </w:p>
    <w:tbl>
      <w:tblPr>
        <w:tblStyle w:val="49"/>
        <w:tblW w:w="51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2541"/>
        <w:gridCol w:w="2003"/>
        <w:gridCol w:w="1844"/>
        <w:gridCol w:w="2446"/>
      </w:tblGrid>
      <w:tr w14:paraId="560F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51" w:type="pct"/>
            <w:noWrap w:val="0"/>
            <w:vAlign w:val="center"/>
          </w:tcPr>
          <w:p w14:paraId="0DA08CEE">
            <w:pPr>
              <w:widowControl/>
              <w:jc w:val="center"/>
              <w:textAlignment w:val="center"/>
              <w:rPr>
                <w:rFonts w:ascii="宋体" w:hAnsi="宋体"/>
                <w:color w:val="auto"/>
                <w:szCs w:val="21"/>
                <w:highlight w:val="none"/>
                <w:u w:val="single"/>
              </w:rPr>
            </w:pPr>
            <w:r>
              <w:rPr>
                <w:rFonts w:ascii="宋体" w:hAnsi="宋体" w:cs="宋体"/>
                <w:color w:val="auto"/>
                <w:kern w:val="0"/>
                <w:szCs w:val="21"/>
                <w:highlight w:val="none"/>
              </w:rPr>
              <w:t>序号</w:t>
            </w:r>
          </w:p>
        </w:tc>
        <w:tc>
          <w:tcPr>
            <w:tcW w:w="1337" w:type="pct"/>
            <w:noWrap w:val="0"/>
            <w:vAlign w:val="center"/>
          </w:tcPr>
          <w:p w14:paraId="7782AF72">
            <w:pPr>
              <w:widowControl/>
              <w:jc w:val="center"/>
              <w:textAlignment w:val="center"/>
              <w:rPr>
                <w:rFonts w:ascii="宋体" w:hAnsi="宋体"/>
                <w:color w:val="auto"/>
                <w:szCs w:val="21"/>
                <w:highlight w:val="none"/>
                <w:u w:val="single"/>
              </w:rPr>
            </w:pPr>
            <w:r>
              <w:rPr>
                <w:rFonts w:ascii="宋体" w:hAnsi="宋体" w:cs="宋体"/>
                <w:color w:val="auto"/>
                <w:szCs w:val="21"/>
                <w:highlight w:val="none"/>
              </w:rPr>
              <w:t>名称</w:t>
            </w:r>
          </w:p>
        </w:tc>
        <w:tc>
          <w:tcPr>
            <w:tcW w:w="1054" w:type="pct"/>
            <w:noWrap w:val="0"/>
            <w:vAlign w:val="center"/>
          </w:tcPr>
          <w:p w14:paraId="1A681EBC">
            <w:pPr>
              <w:widowControl/>
              <w:jc w:val="center"/>
              <w:textAlignment w:val="center"/>
              <w:rPr>
                <w:rFonts w:ascii="宋体" w:hAnsi="宋体"/>
                <w:color w:val="auto"/>
                <w:szCs w:val="21"/>
                <w:highlight w:val="none"/>
                <w:u w:val="single"/>
              </w:rPr>
            </w:pPr>
            <w:r>
              <w:rPr>
                <w:rFonts w:ascii="宋体" w:hAnsi="宋体"/>
                <w:color w:val="auto"/>
                <w:szCs w:val="21"/>
                <w:highlight w:val="none"/>
                <w:u w:val="none"/>
              </w:rPr>
              <w:t>下调金额</w:t>
            </w:r>
          </w:p>
        </w:tc>
        <w:tc>
          <w:tcPr>
            <w:tcW w:w="970" w:type="pct"/>
            <w:noWrap w:val="0"/>
            <w:vAlign w:val="center"/>
          </w:tcPr>
          <w:p w14:paraId="29A09535">
            <w:pPr>
              <w:widowControl/>
              <w:jc w:val="center"/>
              <w:textAlignment w:val="center"/>
              <w:rPr>
                <w:rFonts w:hint="eastAsia" w:ascii="宋体" w:hAnsi="宋体"/>
                <w:color w:val="auto"/>
                <w:szCs w:val="21"/>
                <w:highlight w:val="none"/>
                <w:u w:val="single"/>
              </w:rPr>
            </w:pPr>
            <w:r>
              <w:rPr>
                <w:rFonts w:hint="eastAsia" w:ascii="宋体" w:hAnsi="宋体" w:cs="宋体"/>
                <w:color w:val="auto"/>
                <w:kern w:val="0"/>
                <w:szCs w:val="21"/>
                <w:highlight w:val="none"/>
              </w:rPr>
              <w:t>增值税税率（%）</w:t>
            </w:r>
          </w:p>
        </w:tc>
        <w:tc>
          <w:tcPr>
            <w:tcW w:w="1287" w:type="pct"/>
            <w:noWrap w:val="0"/>
            <w:vAlign w:val="center"/>
          </w:tcPr>
          <w:p w14:paraId="6309CD1B">
            <w:pPr>
              <w:widowControl/>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备注</w:t>
            </w:r>
          </w:p>
        </w:tc>
      </w:tr>
      <w:tr w14:paraId="6945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351" w:type="pct"/>
            <w:noWrap w:val="0"/>
            <w:vAlign w:val="center"/>
          </w:tcPr>
          <w:p w14:paraId="445A1305">
            <w:pPr>
              <w:widowControl/>
              <w:jc w:val="center"/>
              <w:textAlignment w:val="center"/>
              <w:rPr>
                <w:rFonts w:ascii="宋体" w:hAnsi="宋体" w:cs="宋体"/>
                <w:bCs/>
                <w:color w:val="auto"/>
                <w:szCs w:val="21"/>
                <w:highlight w:val="none"/>
              </w:rPr>
            </w:pPr>
            <w:r>
              <w:rPr>
                <w:rFonts w:ascii="宋体" w:hAnsi="宋体" w:cs="宋体"/>
                <w:bCs/>
                <w:color w:val="auto"/>
                <w:szCs w:val="21"/>
                <w:highlight w:val="none"/>
              </w:rPr>
              <w:t>1</w:t>
            </w:r>
          </w:p>
        </w:tc>
        <w:tc>
          <w:tcPr>
            <w:tcW w:w="1337" w:type="pct"/>
            <w:noWrap w:val="0"/>
            <w:vAlign w:val="center"/>
          </w:tcPr>
          <w:p w14:paraId="65A3C596">
            <w:pPr>
              <w:widowControl/>
              <w:spacing w:line="360" w:lineRule="auto"/>
              <w:textAlignment w:val="center"/>
              <w:rPr>
                <w:rFonts w:hint="eastAsia" w:ascii="宋体" w:hAnsi="宋体"/>
                <w:color w:val="auto"/>
                <w:highlight w:val="none"/>
              </w:rPr>
            </w:pPr>
            <w:r>
              <w:rPr>
                <w:rFonts w:hint="eastAsia" w:ascii="宋体" w:hAnsi="宋体" w:cs="宋体"/>
                <w:b w:val="0"/>
                <w:bCs/>
                <w:color w:val="000000"/>
                <w:szCs w:val="21"/>
                <w:highlight w:val="none"/>
                <w:lang w:eastAsia="zh-CN"/>
              </w:rPr>
              <w:t>2025年-2026年南宁轨道地产建筑工程有限责任公司钢筋集中采购项目</w:t>
            </w:r>
          </w:p>
        </w:tc>
        <w:tc>
          <w:tcPr>
            <w:tcW w:w="1054" w:type="pct"/>
            <w:noWrap w:val="0"/>
            <w:vAlign w:val="center"/>
          </w:tcPr>
          <w:p w14:paraId="531207E5">
            <w:pPr>
              <w:spacing w:line="360" w:lineRule="auto"/>
              <w:jc w:val="center"/>
              <w:rPr>
                <w:rFonts w:ascii="宋体" w:hAnsi="宋体"/>
                <w:color w:val="auto"/>
                <w:szCs w:val="21"/>
                <w:highlight w:val="none"/>
                <w:u w:val="single"/>
              </w:rPr>
            </w:pPr>
            <w:r>
              <w:rPr>
                <w:rFonts w:ascii="宋体" w:hAnsi="宋体"/>
                <w:color w:val="auto"/>
                <w:szCs w:val="21"/>
                <w:highlight w:val="none"/>
                <w:u w:val="single"/>
              </w:rPr>
              <w:t>______ 元/吨</w:t>
            </w:r>
          </w:p>
        </w:tc>
        <w:tc>
          <w:tcPr>
            <w:tcW w:w="970" w:type="pct"/>
            <w:noWrap w:val="0"/>
            <w:vAlign w:val="center"/>
          </w:tcPr>
          <w:p w14:paraId="48950231">
            <w:pPr>
              <w:spacing w:line="360" w:lineRule="auto"/>
              <w:jc w:val="center"/>
              <w:rPr>
                <w:rFonts w:ascii="宋体" w:hAnsi="宋体"/>
                <w:color w:val="auto"/>
                <w:szCs w:val="21"/>
                <w:highlight w:val="none"/>
              </w:rPr>
            </w:pPr>
          </w:p>
        </w:tc>
        <w:tc>
          <w:tcPr>
            <w:tcW w:w="1287" w:type="pct"/>
            <w:noWrap w:val="0"/>
            <w:vAlign w:val="center"/>
          </w:tcPr>
          <w:p w14:paraId="5FF63C93">
            <w:pPr>
              <w:spacing w:line="360" w:lineRule="auto"/>
              <w:jc w:val="left"/>
              <w:rPr>
                <w:rFonts w:ascii="宋体" w:hAnsi="宋体"/>
                <w:color w:val="auto"/>
                <w:szCs w:val="21"/>
                <w:highlight w:val="none"/>
              </w:rPr>
            </w:pPr>
            <w:r>
              <w:rPr>
                <w:rFonts w:hint="eastAsia" w:ascii="宋体" w:hAnsi="宋体"/>
                <w:color w:val="auto"/>
                <w:szCs w:val="21"/>
                <w:highlight w:val="none"/>
                <w:lang w:val="en-US" w:eastAsia="zh-CN"/>
              </w:rPr>
              <w:t>下调金额有效范围：下调X元/吨（X≥20，下调金额以10元为一档，例如：20元、30元以此类推）</w:t>
            </w:r>
          </w:p>
        </w:tc>
      </w:tr>
      <w:tr w14:paraId="40BA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688" w:type="pct"/>
            <w:gridSpan w:val="2"/>
            <w:noWrap w:val="0"/>
            <w:vAlign w:val="center"/>
          </w:tcPr>
          <w:p w14:paraId="486FCDBE">
            <w:pPr>
              <w:widowControl/>
              <w:spacing w:line="360" w:lineRule="auto"/>
              <w:jc w:val="center"/>
              <w:textAlignment w:val="center"/>
              <w:rPr>
                <w:rFonts w:hint="default" w:ascii="宋体" w:hAnsi="宋体" w:cs="宋体"/>
                <w:b w:val="0"/>
                <w:bCs/>
                <w:color w:val="000000"/>
                <w:szCs w:val="21"/>
                <w:highlight w:val="none"/>
                <w:lang w:val="en-US" w:eastAsia="zh-CN"/>
              </w:rPr>
            </w:pPr>
            <w:r>
              <w:rPr>
                <w:rFonts w:hint="eastAsia" w:ascii="宋体" w:hAnsi="宋体" w:cs="宋体"/>
                <w:b w:val="0"/>
                <w:bCs/>
                <w:color w:val="000000"/>
                <w:szCs w:val="21"/>
                <w:highlight w:val="none"/>
                <w:lang w:val="en-US" w:eastAsia="zh-CN"/>
              </w:rPr>
              <w:t>服务期</w:t>
            </w:r>
          </w:p>
        </w:tc>
        <w:tc>
          <w:tcPr>
            <w:tcW w:w="3311" w:type="pct"/>
            <w:gridSpan w:val="3"/>
            <w:noWrap w:val="0"/>
            <w:vAlign w:val="center"/>
          </w:tcPr>
          <w:p w14:paraId="4B3625AC">
            <w:pPr>
              <w:spacing w:line="360" w:lineRule="auto"/>
              <w:jc w:val="center"/>
              <w:rPr>
                <w:rFonts w:ascii="宋体" w:hAnsi="宋体"/>
                <w:color w:val="auto"/>
                <w:szCs w:val="21"/>
                <w:highlight w:val="none"/>
              </w:rPr>
            </w:pPr>
          </w:p>
        </w:tc>
      </w:tr>
    </w:tbl>
    <w:p w14:paraId="3C846C34">
      <w:pPr>
        <w:spacing w:before="0" w:after="0" w:afterAutospacing="0" w:line="360" w:lineRule="auto"/>
        <w:ind w:left="0" w:right="0" w:firstLine="0"/>
        <w:rPr>
          <w:rFonts w:hint="eastAsia" w:ascii="宋体" w:hAnsi="宋体" w:eastAsia="宋体" w:cs="宋体"/>
          <w:color w:val="auto"/>
          <w:sz w:val="22"/>
          <w:szCs w:val="22"/>
          <w:highlight w:val="none"/>
        </w:rPr>
      </w:pPr>
    </w:p>
    <w:p w14:paraId="237B1BAE">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w:t>
      </w:r>
    </w:p>
    <w:p w14:paraId="5887197C">
      <w:pPr>
        <w:spacing w:line="360" w:lineRule="auto"/>
        <w:rPr>
          <w:rFonts w:hint="eastAsia" w:ascii="宋体" w:hAnsi="宋体" w:eastAsia="宋体" w:cs="仿宋"/>
          <w:color w:val="000000"/>
          <w:highlight w:val="none"/>
          <w:lang w:val="zh-CN" w:eastAsia="zh-CN"/>
        </w:rPr>
      </w:pPr>
      <w:r>
        <w:rPr>
          <w:rFonts w:hint="eastAsia" w:ascii="宋体" w:hAnsi="宋体" w:cs="仿宋"/>
          <w:color w:val="000000"/>
          <w:highlight w:val="none"/>
          <w:lang w:val="en-US" w:eastAsia="zh-CN"/>
        </w:rPr>
        <w:t>1、</w:t>
      </w:r>
      <w:r>
        <w:rPr>
          <w:rFonts w:hint="eastAsia" w:ascii="宋体" w:hAnsi="宋体" w:cs="宋体"/>
          <w:color w:val="000000"/>
          <w:sz w:val="22"/>
          <w:szCs w:val="22"/>
          <w:highlight w:val="none"/>
          <w:lang w:val="en-US" w:eastAsia="zh-CN"/>
        </w:rPr>
        <w:t>投标</w:t>
      </w:r>
      <w:r>
        <w:rPr>
          <w:rFonts w:hint="eastAsia" w:ascii="宋体" w:hAnsi="宋体" w:eastAsia="宋体" w:cs="仿宋"/>
          <w:color w:val="000000"/>
          <w:sz w:val="21"/>
          <w:szCs w:val="24"/>
          <w:highlight w:val="none"/>
          <w:lang w:val="zh-CN" w:eastAsia="zh-CN"/>
        </w:rPr>
        <w:t>报价高于含税招标控制价（或含税招标控制综合单价）的投标文件将按否决投标处理。</w:t>
      </w:r>
    </w:p>
    <w:p w14:paraId="00AC6AF0">
      <w:pPr>
        <w:spacing w:line="360" w:lineRule="auto"/>
        <w:rPr>
          <w:rFonts w:hint="eastAsia" w:ascii="宋体" w:hAnsi="宋体" w:eastAsia="宋体" w:cs="仿宋"/>
          <w:color w:val="000000"/>
          <w:kern w:val="2"/>
          <w:sz w:val="21"/>
          <w:szCs w:val="24"/>
          <w:highlight w:val="none"/>
          <w:lang w:val="zh-CN" w:eastAsia="zh-CN" w:bidi="ar-SA"/>
        </w:rPr>
      </w:pPr>
      <w:r>
        <w:rPr>
          <w:rFonts w:hint="eastAsia" w:ascii="宋体" w:hAnsi="宋体" w:eastAsia="宋体" w:cs="仿宋"/>
          <w:color w:val="000000"/>
          <w:highlight w:val="none"/>
          <w:lang w:val="zh-CN" w:eastAsia="zh-CN"/>
        </w:rPr>
        <w:t>2、控制价来源：“我的钢铁网（</w:t>
      </w:r>
      <w:r>
        <w:rPr>
          <w:rFonts w:hint="eastAsia" w:ascii="宋体" w:hAnsi="宋体" w:eastAsia="宋体" w:cs="仿宋"/>
          <w:color w:val="000000"/>
          <w:highlight w:val="none"/>
          <w:lang w:val="zh-CN" w:eastAsia="zh-CN"/>
        </w:rPr>
        <w:fldChar w:fldCharType="begin"/>
      </w:r>
      <w:r>
        <w:rPr>
          <w:rFonts w:hint="eastAsia" w:ascii="宋体" w:hAnsi="宋体" w:eastAsia="宋体" w:cs="仿宋"/>
          <w:color w:val="000000"/>
          <w:highlight w:val="none"/>
          <w:lang w:val="zh-CN" w:eastAsia="zh-CN"/>
        </w:rPr>
        <w:instrText xml:space="preserve"> HYPERLINK "http://www.mysteel.com)/" \t "https://chat.deepseek.com/a/chat/s/_blank" </w:instrText>
      </w:r>
      <w:r>
        <w:rPr>
          <w:rFonts w:hint="eastAsia" w:ascii="宋体" w:hAnsi="宋体" w:eastAsia="宋体" w:cs="仿宋"/>
          <w:color w:val="000000"/>
          <w:highlight w:val="none"/>
          <w:lang w:val="zh-CN" w:eastAsia="zh-CN"/>
        </w:rPr>
        <w:fldChar w:fldCharType="separate"/>
      </w:r>
      <w:r>
        <w:rPr>
          <w:rFonts w:hint="eastAsia" w:ascii="宋体" w:hAnsi="宋体" w:eastAsia="宋体" w:cs="仿宋"/>
          <w:color w:val="000000"/>
          <w:highlight w:val="none"/>
          <w:lang w:val="zh-CN" w:eastAsia="zh-CN"/>
        </w:rPr>
        <w:t>www.mysteel.com）</w:t>
      </w:r>
      <w:r>
        <w:rPr>
          <w:rFonts w:hint="eastAsia" w:ascii="宋体" w:hAnsi="宋体" w:eastAsia="宋体" w:cs="仿宋"/>
          <w:color w:val="000000"/>
          <w:highlight w:val="none"/>
          <w:lang w:val="zh-CN" w:eastAsia="zh-CN"/>
        </w:rPr>
        <w:fldChar w:fldCharType="end"/>
      </w:r>
      <w:r>
        <w:rPr>
          <w:rFonts w:hint="eastAsia" w:ascii="宋体" w:hAnsi="宋体" w:eastAsia="宋体" w:cs="仿宋"/>
          <w:color w:val="000000"/>
          <w:highlight w:val="none"/>
          <w:lang w:val="zh-CN" w:eastAsia="zh-CN"/>
        </w:rPr>
        <w:t>” 发布的2025年6月25日(17:00)南宁市场建筑钢材价格行情下调20元/吨。</w:t>
      </w:r>
      <w:r>
        <w:rPr>
          <w:rFonts w:hint="eastAsia" w:ascii="宋体" w:hAnsi="宋体" w:eastAsia="宋体" w:cs="仿宋"/>
          <w:color w:val="000000"/>
          <w:kern w:val="2"/>
          <w:sz w:val="21"/>
          <w:szCs w:val="24"/>
          <w:highlight w:val="none"/>
          <w:lang w:val="zh-CN" w:eastAsia="zh-CN" w:bidi="ar-SA"/>
        </w:rPr>
        <w:t>投标人含税单价为</w:t>
      </w:r>
      <w:r>
        <w:rPr>
          <w:rFonts w:hint="eastAsia" w:ascii="宋体" w:hAnsi="宋体" w:eastAsia="宋体" w:cs="仿宋"/>
          <w:color w:val="000000"/>
          <w:sz w:val="21"/>
          <w:szCs w:val="24"/>
          <w:highlight w:val="none"/>
          <w:lang w:val="zh-CN" w:eastAsia="zh-CN"/>
        </w:rPr>
        <w:t>网价基准价</w:t>
      </w:r>
      <w:r>
        <w:rPr>
          <w:rFonts w:hint="eastAsia" w:ascii="宋体" w:hAnsi="宋体" w:eastAsia="宋体" w:cs="仿宋"/>
          <w:color w:val="000000"/>
          <w:kern w:val="2"/>
          <w:sz w:val="21"/>
          <w:szCs w:val="24"/>
          <w:highlight w:val="none"/>
          <w:lang w:val="zh-CN" w:eastAsia="zh-CN" w:bidi="ar-SA"/>
        </w:rPr>
        <w:t>扣减X元/吨（X≥20）（下调金额以10元为一档，例如：20元、30元以此类推）的金额，含税合价为下调后的含税单价与采购量之积。</w:t>
      </w:r>
    </w:p>
    <w:p w14:paraId="172AD31C">
      <w:pPr>
        <w:spacing w:line="360" w:lineRule="auto"/>
        <w:rPr>
          <w:rFonts w:hint="eastAsia" w:ascii="宋体" w:hAnsi="宋体" w:eastAsia="宋体" w:cs="仿宋"/>
          <w:iCs w:val="0"/>
          <w:color w:val="000000"/>
          <w:highlight w:val="none"/>
          <w:lang w:val="zh-CN"/>
        </w:rPr>
      </w:pPr>
      <w:r>
        <w:rPr>
          <w:rFonts w:hint="eastAsia" w:ascii="宋体" w:hAnsi="宋体" w:eastAsia="宋体" w:cs="仿宋"/>
          <w:color w:val="000000"/>
          <w:highlight w:val="none"/>
          <w:lang w:val="zh-CN" w:eastAsia="zh-CN"/>
        </w:rPr>
        <w:t>3、</w:t>
      </w:r>
      <w:r>
        <w:rPr>
          <w:rFonts w:hint="eastAsia" w:ascii="宋体" w:hAnsi="宋体" w:eastAsia="宋体" w:cs="仿宋"/>
          <w:color w:val="000000"/>
          <w:highlight w:val="none"/>
          <w:lang w:val="zh-CN"/>
        </w:rPr>
        <w:t>投标人所报价格应为含税全包价，包括：</w:t>
      </w:r>
    </w:p>
    <w:p w14:paraId="11755F14">
      <w:pPr>
        <w:spacing w:line="360" w:lineRule="auto"/>
        <w:jc w:val="left"/>
        <w:rPr>
          <w:rFonts w:hint="eastAsia" w:ascii="宋体" w:hAnsi="宋体" w:eastAsia="宋体" w:cs="仿宋"/>
          <w:iCs w:val="0"/>
          <w:color w:val="000000"/>
          <w:highlight w:val="none"/>
          <w:lang w:val="zh-CN"/>
        </w:rPr>
      </w:pPr>
      <w:r>
        <w:rPr>
          <w:rFonts w:hint="eastAsia" w:ascii="宋体" w:hAnsi="宋体" w:eastAsia="宋体" w:cs="仿宋"/>
          <w:iCs w:val="0"/>
          <w:color w:val="000000"/>
          <w:highlight w:val="none"/>
          <w:lang w:val="zh-CN"/>
        </w:rPr>
        <w:t>（1）货物</w:t>
      </w:r>
      <w:r>
        <w:rPr>
          <w:rFonts w:hint="eastAsia" w:ascii="宋体" w:hAnsi="宋体" w:eastAsia="宋体" w:cs="仿宋"/>
          <w:iCs w:val="0"/>
          <w:color w:val="000000"/>
          <w:highlight w:val="none"/>
          <w:lang w:val="zh-CN" w:eastAsia="zh-CN"/>
        </w:rPr>
        <w:t>价款、税金</w:t>
      </w:r>
      <w:r>
        <w:rPr>
          <w:rFonts w:hint="eastAsia" w:ascii="宋体" w:hAnsi="宋体" w:eastAsia="宋体" w:cs="仿宋"/>
          <w:iCs w:val="0"/>
          <w:color w:val="000000"/>
          <w:highlight w:val="none"/>
          <w:lang w:val="zh-CN"/>
        </w:rPr>
        <w:t>；</w:t>
      </w:r>
    </w:p>
    <w:p w14:paraId="1F4978AE">
      <w:pPr>
        <w:spacing w:line="360" w:lineRule="auto"/>
        <w:jc w:val="left"/>
        <w:rPr>
          <w:rFonts w:hint="eastAsia" w:ascii="宋体" w:hAnsi="宋体" w:eastAsia="宋体" w:cs="仿宋"/>
          <w:iCs w:val="0"/>
          <w:color w:val="000000"/>
          <w:highlight w:val="none"/>
          <w:lang w:val="zh-CN"/>
        </w:rPr>
      </w:pPr>
      <w:r>
        <w:rPr>
          <w:rFonts w:hint="eastAsia" w:ascii="宋体" w:hAnsi="宋体" w:eastAsia="宋体" w:cs="仿宋"/>
          <w:iCs w:val="0"/>
          <w:color w:val="000000"/>
          <w:highlight w:val="none"/>
          <w:lang w:val="zh-CN"/>
        </w:rPr>
        <w:t>（2）货物的制造准备、制造、出厂检测、检验、验收、运输、供货、装卸</w:t>
      </w:r>
      <w:r>
        <w:rPr>
          <w:rFonts w:hint="eastAsia" w:ascii="宋体" w:hAnsi="宋体" w:eastAsia="宋体" w:cs="仿宋"/>
          <w:iCs w:val="0"/>
          <w:color w:val="000000"/>
          <w:highlight w:val="none"/>
          <w:lang w:val="zh-CN" w:eastAsia="zh-CN"/>
        </w:rPr>
        <w:t>、</w:t>
      </w:r>
      <w:r>
        <w:rPr>
          <w:rFonts w:hint="eastAsia" w:ascii="宋体" w:hAnsi="宋体" w:eastAsia="宋体" w:cs="仿宋"/>
          <w:iCs w:val="0"/>
          <w:color w:val="000000"/>
          <w:highlight w:val="none"/>
          <w:lang w:val="zh-CN"/>
        </w:rPr>
        <w:t>包装、</w:t>
      </w:r>
      <w:r>
        <w:rPr>
          <w:rFonts w:hint="eastAsia" w:ascii="宋体" w:hAnsi="宋体" w:eastAsia="宋体" w:cs="仿宋"/>
          <w:color w:val="000000"/>
          <w:highlight w:val="none"/>
          <w:lang w:val="zh-CN"/>
        </w:rPr>
        <w:t>成品保护、保修、人工工资、管理费、利润、抽样及其检测费（如有）</w:t>
      </w:r>
      <w:r>
        <w:rPr>
          <w:rFonts w:hint="eastAsia" w:ascii="宋体" w:hAnsi="宋体" w:eastAsia="宋体" w:cs="仿宋"/>
          <w:color w:val="000000"/>
          <w:szCs w:val="24"/>
          <w:highlight w:val="none"/>
          <w:lang w:val="zh-CN"/>
        </w:rPr>
        <w:t>、技术服务、</w:t>
      </w:r>
      <w:r>
        <w:rPr>
          <w:rFonts w:hint="eastAsia" w:ascii="宋体" w:hAnsi="宋体" w:eastAsia="宋体" w:cs="仿宋"/>
          <w:iCs w:val="0"/>
          <w:color w:val="000000"/>
          <w:highlight w:val="none"/>
          <w:lang w:val="zh-CN"/>
        </w:rPr>
        <w:t>质量保证期服务</w:t>
      </w:r>
      <w:r>
        <w:rPr>
          <w:rFonts w:hint="eastAsia" w:ascii="宋体" w:hAnsi="宋体" w:eastAsia="宋体" w:cs="仿宋"/>
          <w:color w:val="000000"/>
          <w:szCs w:val="24"/>
          <w:highlight w:val="none"/>
          <w:lang w:val="zh-CN"/>
        </w:rPr>
        <w:t>及</w:t>
      </w:r>
      <w:r>
        <w:rPr>
          <w:rFonts w:hint="eastAsia" w:ascii="宋体" w:hAnsi="宋体" w:eastAsia="宋体" w:cs="仿宋"/>
          <w:iCs w:val="0"/>
          <w:color w:val="000000"/>
          <w:highlight w:val="none"/>
          <w:lang w:val="zh-CN"/>
        </w:rPr>
        <w:t>必要的售后服务等费用；</w:t>
      </w:r>
    </w:p>
    <w:p w14:paraId="6551BF59">
      <w:pPr>
        <w:spacing w:line="360" w:lineRule="auto"/>
        <w:rPr>
          <w:rFonts w:hint="eastAsia" w:ascii="宋体" w:hAnsi="宋体" w:eastAsia="宋体" w:cs="仿宋"/>
          <w:color w:val="000000"/>
          <w:highlight w:val="none"/>
          <w:lang w:val="zh-CN" w:eastAsia="zh-CN"/>
        </w:rPr>
      </w:pPr>
      <w:r>
        <w:rPr>
          <w:rFonts w:hint="eastAsia" w:ascii="宋体" w:hAnsi="宋体" w:eastAsia="宋体" w:cs="仿宋"/>
          <w:color w:val="000000"/>
          <w:highlight w:val="none"/>
          <w:lang w:val="zh-CN"/>
        </w:rPr>
        <w:t>（</w:t>
      </w:r>
      <w:r>
        <w:rPr>
          <w:rFonts w:hint="eastAsia" w:ascii="宋体" w:hAnsi="宋体" w:eastAsia="宋体" w:cs="仿宋"/>
          <w:color w:val="000000"/>
          <w:highlight w:val="none"/>
          <w:lang w:val="zh-CN" w:eastAsia="zh-CN"/>
        </w:rPr>
        <w:t>3</w:t>
      </w:r>
      <w:r>
        <w:rPr>
          <w:rFonts w:hint="eastAsia" w:ascii="宋体" w:hAnsi="宋体" w:eastAsia="宋体" w:cs="仿宋"/>
          <w:color w:val="000000"/>
          <w:highlight w:val="none"/>
          <w:lang w:val="zh-CN"/>
        </w:rPr>
        <w:t>）</w:t>
      </w:r>
      <w:r>
        <w:rPr>
          <w:rFonts w:hint="eastAsia" w:ascii="宋体" w:hAnsi="宋体" w:eastAsia="宋体" w:cs="仿宋"/>
          <w:iCs w:val="0"/>
          <w:color w:val="000000"/>
          <w:highlight w:val="none"/>
          <w:lang w:val="zh-CN"/>
        </w:rPr>
        <w:t>必要的保险费用</w:t>
      </w:r>
      <w:r>
        <w:rPr>
          <w:rFonts w:hint="eastAsia" w:ascii="宋体" w:hAnsi="宋体" w:eastAsia="宋体" w:cs="仿宋"/>
          <w:iCs w:val="0"/>
          <w:color w:val="000000"/>
          <w:highlight w:val="none"/>
          <w:lang w:val="zh-CN" w:eastAsia="zh-CN"/>
        </w:rPr>
        <w:t>；</w:t>
      </w:r>
    </w:p>
    <w:p w14:paraId="30726EAE">
      <w:pPr>
        <w:spacing w:line="360" w:lineRule="auto"/>
        <w:jc w:val="left"/>
        <w:rPr>
          <w:rFonts w:hint="eastAsia" w:ascii="宋体" w:hAnsi="宋体" w:eastAsia="宋体" w:cs="仿宋"/>
          <w:color w:val="000000"/>
          <w:szCs w:val="24"/>
          <w:highlight w:val="none"/>
          <w:lang w:val="zh-CN"/>
        </w:rPr>
      </w:pPr>
      <w:r>
        <w:rPr>
          <w:rFonts w:hint="eastAsia" w:ascii="宋体" w:hAnsi="宋体" w:eastAsia="宋体" w:cs="仿宋"/>
          <w:iCs w:val="0"/>
          <w:color w:val="000000"/>
          <w:highlight w:val="none"/>
          <w:lang w:val="zh-CN"/>
        </w:rPr>
        <w:t>（</w:t>
      </w:r>
      <w:r>
        <w:rPr>
          <w:rFonts w:hint="eastAsia" w:ascii="宋体" w:hAnsi="宋体" w:eastAsia="宋体" w:cs="仿宋"/>
          <w:iCs w:val="0"/>
          <w:color w:val="000000"/>
          <w:highlight w:val="none"/>
          <w:lang w:val="zh-CN" w:eastAsia="zh-CN"/>
        </w:rPr>
        <w:t>4</w:t>
      </w:r>
      <w:r>
        <w:rPr>
          <w:rFonts w:hint="eastAsia" w:ascii="宋体" w:hAnsi="宋体" w:eastAsia="宋体" w:cs="仿宋"/>
          <w:iCs w:val="0"/>
          <w:color w:val="000000"/>
          <w:highlight w:val="none"/>
          <w:lang w:val="zh-CN"/>
        </w:rPr>
        <w:t>）</w:t>
      </w:r>
      <w:r>
        <w:rPr>
          <w:rFonts w:hint="eastAsia" w:ascii="宋体" w:hAnsi="宋体" w:eastAsia="宋体" w:cs="仿宋"/>
          <w:color w:val="000000"/>
          <w:highlight w:val="none"/>
          <w:lang w:val="zh-CN"/>
        </w:rPr>
        <w:t>履行合同标的全过程产生的所有成本和费用及</w:t>
      </w:r>
      <w:r>
        <w:rPr>
          <w:rFonts w:hint="eastAsia" w:ascii="宋体" w:hAnsi="宋体" w:eastAsia="宋体" w:cs="仿宋"/>
          <w:color w:val="000000"/>
          <w:szCs w:val="24"/>
          <w:highlight w:val="none"/>
          <w:lang w:val="zh-CN"/>
        </w:rPr>
        <w:t>招标文件要求提供的所有伴随服务、工程等一切费用。</w:t>
      </w:r>
    </w:p>
    <w:p w14:paraId="1789A2B1">
      <w:pPr>
        <w:spacing w:line="360" w:lineRule="auto"/>
        <w:rPr>
          <w:rFonts w:hint="eastAsia" w:ascii="宋体" w:hAnsi="宋体" w:eastAsia="宋体" w:cs="仿宋"/>
          <w:color w:val="000000"/>
          <w:highlight w:val="none"/>
          <w:lang w:val="zh-CN"/>
        </w:rPr>
      </w:pPr>
      <w:r>
        <w:rPr>
          <w:rFonts w:hint="eastAsia" w:ascii="宋体" w:hAnsi="宋体" w:eastAsia="宋体" w:cs="仿宋"/>
          <w:color w:val="000000"/>
          <w:kern w:val="2"/>
          <w:sz w:val="21"/>
          <w:szCs w:val="24"/>
          <w:highlight w:val="none"/>
          <w:lang w:val="zh-CN" w:eastAsia="zh-CN" w:bidi="ar-SA"/>
        </w:rPr>
        <w:t>4、</w:t>
      </w:r>
      <w:r>
        <w:rPr>
          <w:rFonts w:hint="eastAsia" w:ascii="宋体" w:hAnsi="宋体" w:eastAsia="宋体" w:cs="仿宋"/>
          <w:color w:val="000000"/>
          <w:sz w:val="21"/>
          <w:szCs w:val="24"/>
          <w:highlight w:val="none"/>
          <w:lang w:val="zh-CN" w:eastAsia="zh-CN"/>
        </w:rPr>
        <w:t>投标人未填报</w:t>
      </w:r>
      <w:r>
        <w:rPr>
          <w:rFonts w:hint="eastAsia" w:ascii="宋体" w:hAnsi="宋体" w:eastAsia="宋体" w:cs="仿宋"/>
          <w:color w:val="000000"/>
          <w:sz w:val="21"/>
          <w:szCs w:val="24"/>
          <w:highlight w:val="none"/>
          <w:u w:val="none"/>
          <w:lang w:val="zh-CN"/>
        </w:rPr>
        <w:t>下调金额</w:t>
      </w:r>
      <w:r>
        <w:rPr>
          <w:rFonts w:hint="eastAsia" w:ascii="宋体" w:hAnsi="宋体" w:eastAsia="宋体" w:cs="仿宋"/>
          <w:color w:val="000000"/>
          <w:sz w:val="21"/>
          <w:szCs w:val="24"/>
          <w:highlight w:val="none"/>
          <w:lang w:val="zh-CN" w:eastAsia="zh-CN"/>
        </w:rPr>
        <w:t>或填报格式错误的，视为无效投标。</w:t>
      </w:r>
    </w:p>
    <w:p w14:paraId="60DE52FF">
      <w:pPr>
        <w:pStyle w:val="45"/>
        <w:numPr>
          <w:ilvl w:val="0"/>
          <w:numId w:val="0"/>
        </w:numPr>
        <w:ind w:firstLine="0" w:firstLineChars="0"/>
        <w:rPr>
          <w:rFonts w:hint="eastAsia" w:ascii="宋体" w:hAnsi="宋体" w:cs="宋体"/>
          <w:color w:val="000000"/>
          <w:sz w:val="22"/>
          <w:szCs w:val="22"/>
          <w:highlight w:val="none"/>
          <w:lang w:val="en-US" w:eastAsia="zh-CN"/>
        </w:rPr>
      </w:pPr>
    </w:p>
    <w:p w14:paraId="3C030CD0">
      <w:pPr>
        <w:snapToGrid w:val="0"/>
        <w:spacing w:after="50" w:line="360" w:lineRule="auto"/>
        <w:ind w:left="0" w:right="-817" w:firstLine="0"/>
        <w:rPr>
          <w:rFonts w:hint="eastAsia" w:ascii="宋体" w:hAnsi="宋体" w:eastAsia="宋体" w:cs="宋体"/>
          <w:color w:val="auto"/>
          <w:sz w:val="22"/>
          <w:szCs w:val="22"/>
          <w:highlight w:val="none"/>
        </w:rPr>
      </w:pPr>
    </w:p>
    <w:p w14:paraId="5A25C716">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投标人：（公章）</w:t>
      </w:r>
    </w:p>
    <w:p w14:paraId="144261DE">
      <w:pPr>
        <w:widowControl w:val="0"/>
        <w:spacing w:before="0" w:after="0" w:afterAutospacing="0" w:line="360" w:lineRule="auto"/>
        <w:ind w:left="0" w:leftChars="0" w:right="-57" w:rightChars="-27" w:firstLine="5035" w:firstLineChars="2289"/>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法定代表人或其委托代理人：（签字或盖章）</w:t>
      </w:r>
    </w:p>
    <w:p w14:paraId="30FDCBF4">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日期：</w:t>
      </w:r>
    </w:p>
    <w:p w14:paraId="7A9B8426">
      <w:pPr>
        <w:outlineLvl w:val="2"/>
        <w:rPr>
          <w:rFonts w:hint="eastAsia" w:ascii="宋体" w:hAnsi="宋体" w:eastAsia="宋体" w:cs="宋体"/>
          <w:b w:val="0"/>
          <w:sz w:val="22"/>
          <w:szCs w:val="22"/>
          <w:highlight w:val="none"/>
        </w:rPr>
      </w:pPr>
      <w:r>
        <w:rPr>
          <w:rFonts w:hint="eastAsia" w:ascii="宋体" w:hAnsi="宋体" w:eastAsia="宋体" w:cs="宋体"/>
          <w:b w:val="0"/>
          <w:sz w:val="22"/>
          <w:szCs w:val="22"/>
          <w:highlight w:val="none"/>
        </w:rPr>
        <w:t>格</w:t>
      </w:r>
      <w:r>
        <w:rPr>
          <w:rFonts w:hint="eastAsia" w:ascii="宋体" w:hAnsi="宋体" w:eastAsia="宋体" w:cs="宋体"/>
          <w:b w:val="0"/>
          <w:color w:val="000000"/>
          <w:sz w:val="24"/>
          <w:szCs w:val="24"/>
          <w:highlight w:val="none"/>
        </w:rPr>
        <w:t>式</w:t>
      </w:r>
      <w:r>
        <w:rPr>
          <w:rFonts w:hint="eastAsia" w:ascii="宋体" w:hAnsi="宋体" w:cs="宋体"/>
          <w:b w:val="0"/>
          <w:color w:val="000000"/>
          <w:sz w:val="24"/>
          <w:szCs w:val="24"/>
          <w:highlight w:val="none"/>
          <w:lang w:val="en-US" w:eastAsia="zh-CN"/>
        </w:rPr>
        <w:t>C3</w:t>
      </w:r>
      <w:r>
        <w:rPr>
          <w:rFonts w:hint="eastAsia" w:ascii="宋体" w:hAnsi="宋体" w:eastAsia="宋体" w:cs="宋体"/>
          <w:b w:val="0"/>
          <w:color w:val="000000"/>
          <w:sz w:val="24"/>
          <w:szCs w:val="24"/>
          <w:highlight w:val="none"/>
        </w:rPr>
        <w:t>：投标报价</w:t>
      </w:r>
      <w:r>
        <w:rPr>
          <w:rFonts w:hint="eastAsia" w:ascii="宋体" w:hAnsi="宋体" w:eastAsia="宋体" w:cs="宋体"/>
          <w:b w:val="0"/>
          <w:color w:val="000000"/>
          <w:sz w:val="24"/>
          <w:szCs w:val="24"/>
          <w:highlight w:val="none"/>
          <w:lang w:val="en-US" w:eastAsia="zh-CN"/>
        </w:rPr>
        <w:t>明细</w:t>
      </w:r>
      <w:r>
        <w:rPr>
          <w:rFonts w:hint="eastAsia" w:ascii="宋体" w:hAnsi="宋体" w:eastAsia="宋体" w:cs="宋体"/>
          <w:b w:val="0"/>
          <w:color w:val="000000"/>
          <w:sz w:val="24"/>
          <w:szCs w:val="24"/>
          <w:highlight w:val="none"/>
        </w:rPr>
        <w:t>表</w:t>
      </w:r>
      <w:bookmarkEnd w:id="390"/>
      <w:bookmarkEnd w:id="391"/>
      <w:bookmarkEnd w:id="392"/>
      <w:bookmarkEnd w:id="393"/>
    </w:p>
    <w:p w14:paraId="3DFA306F">
      <w:pPr>
        <w:snapToGrid/>
        <w:spacing w:line="360" w:lineRule="auto"/>
        <w:ind w:right="0"/>
        <w:jc w:val="center"/>
        <w:rPr>
          <w:rFonts w:hint="eastAsia" w:ascii="宋体" w:hAnsi="宋体" w:eastAsia="宋体" w:cs="宋体"/>
          <w:color w:val="000000"/>
          <w:sz w:val="22"/>
          <w:szCs w:val="22"/>
          <w:highlight w:val="none"/>
        </w:rPr>
      </w:pPr>
      <w:r>
        <w:rPr>
          <w:rFonts w:hint="eastAsia" w:ascii="宋体" w:hAnsi="宋体" w:eastAsia="宋体" w:cs="宋体"/>
          <w:b/>
          <w:bCs/>
          <w:color w:val="000000"/>
          <w:kern w:val="0"/>
          <w:sz w:val="22"/>
          <w:szCs w:val="22"/>
          <w:highlight w:val="none"/>
        </w:rPr>
        <w:t>投标报价</w:t>
      </w:r>
      <w:r>
        <w:rPr>
          <w:rFonts w:hint="eastAsia" w:ascii="宋体" w:hAnsi="宋体" w:eastAsia="宋体" w:cs="宋体"/>
          <w:b/>
          <w:bCs/>
          <w:color w:val="000000"/>
          <w:kern w:val="0"/>
          <w:sz w:val="22"/>
          <w:szCs w:val="22"/>
          <w:highlight w:val="none"/>
          <w:lang w:val="en-US" w:eastAsia="zh-CN"/>
        </w:rPr>
        <w:t>明细</w:t>
      </w:r>
      <w:r>
        <w:rPr>
          <w:rFonts w:hint="eastAsia" w:ascii="宋体" w:hAnsi="宋体" w:eastAsia="宋体" w:cs="宋体"/>
          <w:b/>
          <w:bCs/>
          <w:color w:val="000000"/>
          <w:kern w:val="0"/>
          <w:sz w:val="22"/>
          <w:szCs w:val="22"/>
          <w:highlight w:val="none"/>
        </w:rPr>
        <w:t>表</w:t>
      </w:r>
      <w:r>
        <w:rPr>
          <w:rFonts w:hint="eastAsia" w:ascii="宋体" w:hAnsi="宋体" w:eastAsia="宋体" w:cs="宋体"/>
          <w:color w:val="000000"/>
          <w:sz w:val="22"/>
          <w:szCs w:val="22"/>
          <w:highlight w:val="none"/>
        </w:rPr>
        <w:t xml:space="preserve"> </w:t>
      </w:r>
    </w:p>
    <w:tbl>
      <w:tblPr>
        <w:tblStyle w:val="49"/>
        <w:tblW w:w="5289" w:type="pct"/>
        <w:tblInd w:w="-2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3"/>
        <w:gridCol w:w="1167"/>
        <w:gridCol w:w="671"/>
        <w:gridCol w:w="1000"/>
        <w:gridCol w:w="791"/>
        <w:gridCol w:w="642"/>
        <w:gridCol w:w="1258"/>
        <w:gridCol w:w="1075"/>
        <w:gridCol w:w="1171"/>
        <w:gridCol w:w="946"/>
        <w:gridCol w:w="521"/>
      </w:tblGrid>
      <w:tr w14:paraId="17D3F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3095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序号</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D82F5">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材料或设备名称</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AC05">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规格</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13E5C">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型号</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25C487A0">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采购量①</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12DE90FD">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计量单位</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2A2F5E34">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none"/>
              </w:rPr>
              <w:t>下调金额</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074D6553">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含增值税单价（元）②</w:t>
            </w:r>
          </w:p>
        </w:tc>
        <w:tc>
          <w:tcPr>
            <w:tcW w:w="595" w:type="pct"/>
            <w:tcBorders>
              <w:top w:val="single" w:color="000000" w:sz="4" w:space="0"/>
              <w:left w:val="nil"/>
              <w:bottom w:val="single" w:color="000000" w:sz="4" w:space="0"/>
              <w:right w:val="single" w:color="000000" w:sz="4" w:space="0"/>
            </w:tcBorders>
            <w:shd w:val="clear" w:color="auto" w:fill="auto"/>
            <w:vAlign w:val="center"/>
          </w:tcPr>
          <w:p w14:paraId="4181EAAC">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含增值税合价（元）③=①×②</w:t>
            </w:r>
          </w:p>
        </w:tc>
        <w:tc>
          <w:tcPr>
            <w:tcW w:w="481" w:type="pct"/>
            <w:tcBorders>
              <w:top w:val="single" w:color="000000" w:sz="4" w:space="0"/>
              <w:left w:val="nil"/>
              <w:bottom w:val="single" w:color="000000" w:sz="4" w:space="0"/>
              <w:right w:val="single" w:color="000000" w:sz="4" w:space="0"/>
            </w:tcBorders>
            <w:shd w:val="clear" w:color="auto" w:fill="auto"/>
            <w:vAlign w:val="center"/>
          </w:tcPr>
          <w:p w14:paraId="58E82DFB">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含税招标控制单价（元）</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7591E5FD">
            <w:pPr>
              <w:keepNext w:val="0"/>
              <w:keepLines w:val="0"/>
              <w:widowControl/>
              <w:suppressLineNumbers w:val="0"/>
              <w:wordWrap w:val="0"/>
              <w:jc w:val="center"/>
              <w:textAlignment w:val="auto"/>
              <w:rPr>
                <w:rFonts w:hint="default"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备注</w:t>
            </w:r>
          </w:p>
        </w:tc>
      </w:tr>
      <w:tr w14:paraId="061BE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4D473">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1</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2A43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圆钢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1ED08">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φ6</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5A24">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HPB300</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7073F56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50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38F1B50D">
            <w:pPr>
              <w:keepNext w:val="0"/>
              <w:keepLines w:val="0"/>
              <w:widowControl/>
              <w:suppressLineNumbers w:val="0"/>
              <w:wordWrap w:val="0"/>
              <w:jc w:val="center"/>
              <w:textAlignment w:val="auto"/>
              <w:rPr>
                <w:rFonts w:hint="eastAsia" w:ascii="宋体" w:hAnsi="宋体" w:eastAsia="宋体" w:cs="宋体"/>
                <w:i w:val="0"/>
                <w:iCs w:val="0"/>
                <w:sz w:val="21"/>
                <w:szCs w:val="24"/>
                <w:u w:val="single"/>
                <w:lang w:bidi="ar"/>
              </w:rPr>
            </w:pPr>
            <w:r>
              <w:rPr>
                <w:rFonts w:hint="eastAsia" w:ascii="宋体" w:hAnsi="宋体" w:eastAsia="宋体" w:cs="宋体"/>
                <w:i w:val="0"/>
                <w:iCs w:val="0"/>
                <w:kern w:val="2"/>
                <w:sz w:val="21"/>
                <w:szCs w:val="24"/>
                <w:u w:val="singl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73905C62">
            <w:pPr>
              <w:keepNext w:val="0"/>
              <w:keepLines w:val="0"/>
              <w:widowControl/>
              <w:suppressLineNumbers w:val="0"/>
              <w:wordWrap w:val="0"/>
              <w:jc w:val="center"/>
              <w:textAlignment w:val="auto"/>
              <w:rPr>
                <w:rFonts w:hint="eastAsia" w:ascii="宋体" w:hAnsi="宋体" w:eastAsia="宋体" w:cs="宋体"/>
                <w:i w:val="0"/>
                <w:iCs w:val="0"/>
                <w:kern w:val="2"/>
                <w:sz w:val="21"/>
                <w:szCs w:val="24"/>
                <w:u w:val="singl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4DDBE1CA">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1E492D07">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6815E6AD">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3580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5B899723">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0DEE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5E24">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2</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81C6">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圆钢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388D">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φ8</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0C68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HPB300</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20E2DEF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50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0560A0C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21EE4CE3">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4FF52EC7">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41AE282C">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45533F0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3490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796F26F8">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1630E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01F8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3</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9390">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圆钢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9A4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φ10</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12675">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HPB300</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5747AA55">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50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6CC3487D">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3D5A62ED">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2CD66B6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738AB84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0A69234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3490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22BF4910">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67FBA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4CAB1">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4</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B91F4">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盘螺</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BD45">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φ6</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A51F4">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2A39AD79">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500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6A655729">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14B2DA6C">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4B78F653">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4319FADD">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702CCBA0">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3730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6BF1DC27">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1E270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888E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5</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E562">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盘螺</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6D60">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φ8</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0C94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43DAEC19">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600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26B2D6FF">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5CAA5C30">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76F9EDDE">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0684EEA2">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66042598">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3430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02626671">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065DC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46A9">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6</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3292">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盘螺</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CC10">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φ10</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419E">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3BE062A8">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1000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56521CA1">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199A64D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3D2E349B">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1E550020">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3DEEA70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3430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35024A75">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7390C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04AE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7</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D19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螺纹钢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6E6D">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φ12</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63A6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706BC60F">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1000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1BA8ED64">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7DF08536">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4E897B5B">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1EDFE49D">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111526F8">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3190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21F38837">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5B67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B9228">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8</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42F8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螺纹钢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B61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φ14</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C7C8">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0A75BE5D">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600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4A6E8C7E">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2BD627AC">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1B9AD282">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73FA4D3F">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312E3E0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3110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02322C0E">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6FFDC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91676">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9</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0BC3D">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螺纹钢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8502">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φ16</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0636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HRB401E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192062CC">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600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4DF4C6A2">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7B75EE90">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58B6CA36">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38D75BE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551003C6">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3080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285F3752">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43CC0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9F3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10</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9EC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螺纹钢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8414">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φ18</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E8F1">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4BDA4AB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600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7A1DB79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66E9DE6A">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2AF1939F">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3E39EE1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3C88EAE0">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3010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269B6BEF">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4929E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3A79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11</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97C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螺纹钢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A25E9">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φ20</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2F39">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45906A28">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600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5390A956">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02AB8426">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71C0675A">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72F04DCD">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27CC7268">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3070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0EF085C3">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0F55A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4682">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12</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65DD">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螺纹钢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66BE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φ22</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5CFC">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5C6E3E16">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600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04DF9E39">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6679B041">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0E9A2830">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6152D9B4">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1508F9E6">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3070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084ECFC3">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1C27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441BD">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13</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C7B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螺纹钢</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C2E27">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φ25</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F68DB">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HRB400E</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4AB8E58A">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800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6F504651">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kern w:val="2"/>
                <w:sz w:val="21"/>
                <w:szCs w:val="24"/>
                <w:u w:val="none"/>
                <w:lang w:val="en-US" w:eastAsia="zh-CN" w:bidi="ar"/>
              </w:rPr>
              <w:t>t</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6C99D64E">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szCs w:val="24"/>
                <w:u w:val="single"/>
                <w:lang w:val="en-US" w:eastAsia="zh-CN"/>
              </w:rPr>
              <w:t xml:space="preserve">    </w:t>
            </w:r>
            <w:r>
              <w:rPr>
                <w:rFonts w:hint="eastAsia" w:ascii="宋体" w:hAnsi="宋体" w:eastAsia="宋体" w:cs="宋体"/>
                <w:szCs w:val="24"/>
                <w:u w:val="single"/>
              </w:rPr>
              <w:t>元/吨</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28D966C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595" w:type="pct"/>
            <w:tcBorders>
              <w:top w:val="single" w:color="000000" w:sz="4" w:space="0"/>
              <w:left w:val="nil"/>
              <w:bottom w:val="single" w:color="000000" w:sz="4" w:space="0"/>
              <w:right w:val="single" w:color="000000" w:sz="4" w:space="0"/>
            </w:tcBorders>
            <w:shd w:val="clear" w:color="auto" w:fill="auto"/>
            <w:vAlign w:val="center"/>
          </w:tcPr>
          <w:p w14:paraId="3C93C863">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351FBD1B">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color w:val="000000"/>
                <w:kern w:val="0"/>
                <w:sz w:val="20"/>
                <w:szCs w:val="20"/>
                <w:u w:val="none"/>
                <w:lang w:val="en-US" w:eastAsia="zh-CN" w:bidi="ar"/>
              </w:rPr>
              <w:t>3090</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117DF20F">
            <w:pPr>
              <w:keepNext w:val="0"/>
              <w:keepLines w:val="0"/>
              <w:widowControl/>
              <w:suppressLineNumbers w:val="0"/>
              <w:wordWrap w:val="0"/>
              <w:jc w:val="center"/>
              <w:textAlignment w:val="auto"/>
              <w:rPr>
                <w:rFonts w:hint="eastAsia" w:ascii="宋体" w:hAnsi="宋体" w:eastAsia="宋体" w:cs="宋体"/>
                <w:i w:val="0"/>
                <w:iCs w:val="0"/>
                <w:color w:val="000000"/>
                <w:kern w:val="0"/>
                <w:sz w:val="20"/>
                <w:szCs w:val="20"/>
                <w:u w:val="none"/>
                <w:lang w:val="en-US" w:eastAsia="zh-CN" w:bidi="ar"/>
              </w:rPr>
            </w:pPr>
          </w:p>
        </w:tc>
      </w:tr>
      <w:tr w14:paraId="3DF95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247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E7336">
            <w:pPr>
              <w:keepNext w:val="0"/>
              <w:keepLines w:val="0"/>
              <w:widowControl/>
              <w:suppressLineNumbers w:val="0"/>
              <w:wordWrap w:val="0"/>
              <w:jc w:val="center"/>
              <w:textAlignment w:val="auto"/>
              <w:rPr>
                <w:rFonts w:hint="eastAsia" w:ascii="宋体" w:hAnsi="宋体" w:eastAsia="宋体" w:cs="宋体"/>
                <w:i w:val="0"/>
                <w:iCs w:val="0"/>
                <w:sz w:val="21"/>
                <w:szCs w:val="24"/>
                <w:u w:val="none"/>
              </w:rPr>
            </w:pPr>
            <w:r>
              <w:rPr>
                <w:rFonts w:hint="eastAsia" w:ascii="宋体" w:hAnsi="宋体" w:eastAsia="宋体" w:cs="宋体"/>
                <w:i w:val="0"/>
                <w:iCs w:val="0"/>
                <w:sz w:val="21"/>
                <w:szCs w:val="24"/>
                <w:u w:val="none"/>
                <w:lang w:val="en-US" w:eastAsia="zh-CN"/>
              </w:rPr>
              <w:t>合计</w:t>
            </w:r>
          </w:p>
        </w:tc>
        <w:tc>
          <w:tcPr>
            <w:tcW w:w="640" w:type="pct"/>
            <w:tcBorders>
              <w:top w:val="single" w:color="000000" w:sz="4" w:space="0"/>
              <w:left w:val="nil"/>
              <w:bottom w:val="single" w:color="000000" w:sz="4" w:space="0"/>
              <w:right w:val="single" w:color="000000" w:sz="4" w:space="0"/>
            </w:tcBorders>
            <w:shd w:val="clear" w:color="auto" w:fill="auto"/>
            <w:vAlign w:val="center"/>
          </w:tcPr>
          <w:p w14:paraId="4625800B">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w:t>
            </w:r>
          </w:p>
        </w:tc>
        <w:tc>
          <w:tcPr>
            <w:tcW w:w="547" w:type="pct"/>
            <w:tcBorders>
              <w:top w:val="single" w:color="000000" w:sz="4" w:space="0"/>
              <w:left w:val="nil"/>
              <w:bottom w:val="single" w:color="000000" w:sz="4" w:space="0"/>
              <w:right w:val="single" w:color="000000" w:sz="4" w:space="0"/>
            </w:tcBorders>
            <w:shd w:val="clear" w:color="auto" w:fill="auto"/>
            <w:vAlign w:val="center"/>
          </w:tcPr>
          <w:p w14:paraId="2D03C5EB">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w:t>
            </w:r>
          </w:p>
        </w:tc>
        <w:tc>
          <w:tcPr>
            <w:tcW w:w="595" w:type="pct"/>
            <w:tcBorders>
              <w:top w:val="single" w:color="000000" w:sz="4" w:space="0"/>
              <w:left w:val="nil"/>
              <w:bottom w:val="single" w:color="000000" w:sz="4" w:space="0"/>
              <w:right w:val="single" w:color="000000" w:sz="4" w:space="0"/>
            </w:tcBorders>
            <w:shd w:val="clear" w:color="auto" w:fill="auto"/>
            <w:vAlign w:val="center"/>
          </w:tcPr>
          <w:p w14:paraId="26FAD449">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c>
          <w:tcPr>
            <w:tcW w:w="481" w:type="pct"/>
            <w:tcBorders>
              <w:top w:val="single" w:color="000000" w:sz="4" w:space="0"/>
              <w:left w:val="nil"/>
              <w:bottom w:val="single" w:color="000000" w:sz="4" w:space="0"/>
              <w:right w:val="single" w:color="000000" w:sz="4" w:space="0"/>
            </w:tcBorders>
            <w:shd w:val="clear" w:color="auto" w:fill="auto"/>
            <w:vAlign w:val="center"/>
          </w:tcPr>
          <w:p w14:paraId="2F6881F7">
            <w:pPr>
              <w:keepNext w:val="0"/>
              <w:keepLines w:val="0"/>
              <w:widowControl/>
              <w:suppressLineNumbers w:val="0"/>
              <w:wordWrap w:val="0"/>
              <w:jc w:val="center"/>
              <w:textAlignment w:val="auto"/>
              <w:rPr>
                <w:rFonts w:hint="default" w:ascii="宋体" w:hAnsi="宋体" w:eastAsia="宋体" w:cs="宋体"/>
                <w:i w:val="0"/>
                <w:iCs w:val="0"/>
                <w:kern w:val="2"/>
                <w:sz w:val="21"/>
                <w:szCs w:val="24"/>
                <w:u w:val="none"/>
                <w:lang w:val="en-US" w:eastAsia="zh-CN" w:bidi="ar"/>
              </w:rPr>
            </w:pPr>
            <w:r>
              <w:rPr>
                <w:rFonts w:hint="eastAsia" w:ascii="宋体" w:hAnsi="宋体" w:eastAsia="宋体" w:cs="宋体"/>
                <w:i w:val="0"/>
                <w:iCs w:val="0"/>
                <w:kern w:val="2"/>
                <w:sz w:val="21"/>
                <w:szCs w:val="24"/>
                <w:u w:val="none"/>
                <w:lang w:val="en-US" w:eastAsia="zh-CN" w:bidi="ar"/>
              </w:rPr>
              <w:t>/</w:t>
            </w:r>
          </w:p>
        </w:tc>
        <w:tc>
          <w:tcPr>
            <w:tcW w:w="265" w:type="pct"/>
            <w:tcBorders>
              <w:top w:val="single" w:color="000000" w:sz="4" w:space="0"/>
              <w:left w:val="nil"/>
              <w:bottom w:val="single" w:color="000000" w:sz="4" w:space="0"/>
              <w:right w:val="single" w:color="000000" w:sz="4" w:space="0"/>
            </w:tcBorders>
            <w:shd w:val="clear" w:color="auto" w:fill="auto"/>
            <w:vAlign w:val="center"/>
          </w:tcPr>
          <w:p w14:paraId="1DA75356">
            <w:pPr>
              <w:keepNext w:val="0"/>
              <w:keepLines w:val="0"/>
              <w:widowControl/>
              <w:suppressLineNumbers w:val="0"/>
              <w:wordWrap w:val="0"/>
              <w:jc w:val="center"/>
              <w:textAlignment w:val="auto"/>
              <w:rPr>
                <w:rFonts w:hint="eastAsia" w:ascii="宋体" w:hAnsi="宋体" w:eastAsia="宋体" w:cs="宋体"/>
                <w:i w:val="0"/>
                <w:iCs w:val="0"/>
                <w:kern w:val="2"/>
                <w:sz w:val="21"/>
                <w:szCs w:val="24"/>
                <w:u w:val="none"/>
                <w:lang w:val="en-US" w:eastAsia="zh-CN" w:bidi="ar"/>
              </w:rPr>
            </w:pPr>
          </w:p>
        </w:tc>
      </w:tr>
    </w:tbl>
    <w:p w14:paraId="42B213EF">
      <w:pPr>
        <w:pStyle w:val="46"/>
        <w:spacing w:line="360" w:lineRule="auto"/>
        <w:rPr>
          <w:rFonts w:hint="eastAsia" w:ascii="宋体" w:hAnsi="宋体" w:eastAsia="宋体" w:cs="宋体"/>
          <w:color w:val="000000"/>
          <w:sz w:val="22"/>
          <w:szCs w:val="22"/>
          <w:highlight w:val="none"/>
        </w:rPr>
      </w:pPr>
    </w:p>
    <w:p w14:paraId="32D4E34D">
      <w:pPr>
        <w:pStyle w:val="46"/>
        <w:numPr>
          <w:ilvl w:val="0"/>
          <w:numId w:val="0"/>
        </w:numPr>
        <w:spacing w:after="0" w:line="360" w:lineRule="auto"/>
        <w:ind w:left="0" w:leftChars="0"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注：</w:t>
      </w:r>
      <w:r>
        <w:rPr>
          <w:rFonts w:hint="eastAsia" w:ascii="宋体" w:hAnsi="宋体" w:eastAsia="宋体" w:cs="宋体"/>
          <w:color w:val="000000"/>
          <w:kern w:val="0"/>
          <w:sz w:val="22"/>
          <w:szCs w:val="22"/>
          <w:highlight w:val="none"/>
          <w:lang w:val="en-US" w:eastAsia="zh-CN" w:bidi="ar-SA"/>
        </w:rPr>
        <w:t>1、</w:t>
      </w:r>
      <w:r>
        <w:rPr>
          <w:rFonts w:hint="eastAsia" w:ascii="宋体" w:hAnsi="宋体" w:eastAsia="宋体" w:cs="宋体"/>
          <w:color w:val="000000"/>
          <w:sz w:val="22"/>
          <w:szCs w:val="22"/>
          <w:highlight w:val="none"/>
        </w:rPr>
        <w:t>含增值税单价、含增值税合价均精确到小数点后两位。</w:t>
      </w:r>
    </w:p>
    <w:p w14:paraId="1132A4E7">
      <w:pPr>
        <w:pStyle w:val="46"/>
        <w:numPr>
          <w:ilvl w:val="0"/>
          <w:numId w:val="0"/>
        </w:numPr>
        <w:spacing w:after="0" w:line="360" w:lineRule="auto"/>
        <w:ind w:left="0" w:leftChars="0" w:firstLine="440" w:firstLineChars="200"/>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kern w:val="0"/>
          <w:sz w:val="22"/>
          <w:szCs w:val="22"/>
          <w:highlight w:val="none"/>
          <w:lang w:val="en-US" w:eastAsia="zh-CN" w:bidi="ar-SA"/>
        </w:rPr>
        <w:t>2、</w:t>
      </w:r>
      <w:r>
        <w:rPr>
          <w:rFonts w:hint="eastAsia" w:ascii="宋体" w:hAnsi="宋体" w:eastAsia="宋体" w:cs="宋体"/>
          <w:color w:val="000000"/>
          <w:sz w:val="22"/>
          <w:szCs w:val="22"/>
          <w:highlight w:val="none"/>
        </w:rPr>
        <w:t>控制价来源：“我的钢铁网（www.mysteel.com）” 发布的2025年6月25日(17:00)南宁市场建筑钢材价格行情下调20元/吨。投标人含税单价为网价基准价扣减X元/吨（X≥20）（下调金额以10元为一档，例如：20元、30元以此类推）的金额，含税合价为下调后的含税单价与采购量之积。</w:t>
      </w:r>
    </w:p>
    <w:p w14:paraId="61007070">
      <w:pPr>
        <w:pStyle w:val="46"/>
        <w:numPr>
          <w:ilvl w:val="0"/>
          <w:numId w:val="0"/>
        </w:numPr>
        <w:spacing w:after="0" w:line="360" w:lineRule="auto"/>
        <w:ind w:left="0" w:leftChars="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3、</w:t>
      </w:r>
      <w:r>
        <w:rPr>
          <w:rFonts w:hint="eastAsia" w:ascii="宋体" w:hAnsi="宋体" w:eastAsia="宋体" w:cs="宋体"/>
          <w:color w:val="000000"/>
          <w:sz w:val="22"/>
          <w:szCs w:val="22"/>
          <w:highlight w:val="none"/>
        </w:rPr>
        <w:t>同一规格、型号</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lang w:val="en-US" w:eastAsia="zh-CN"/>
        </w:rPr>
        <w:t>材质</w:t>
      </w:r>
      <w:r>
        <w:rPr>
          <w:rFonts w:hint="eastAsia" w:ascii="宋体" w:hAnsi="宋体" w:eastAsia="宋体" w:cs="宋体"/>
          <w:color w:val="000000"/>
          <w:sz w:val="22"/>
          <w:szCs w:val="22"/>
          <w:highlight w:val="none"/>
        </w:rPr>
        <w:t>的货物在报价</w:t>
      </w:r>
      <w:r>
        <w:rPr>
          <w:rFonts w:hint="eastAsia" w:ascii="宋体" w:hAnsi="宋体" w:eastAsia="宋体" w:cs="宋体"/>
          <w:color w:val="000000"/>
          <w:sz w:val="22"/>
          <w:szCs w:val="22"/>
          <w:highlight w:val="none"/>
          <w:lang w:val="en-US" w:eastAsia="zh-CN"/>
        </w:rPr>
        <w:t>明细表</w:t>
      </w:r>
      <w:r>
        <w:rPr>
          <w:rFonts w:hint="eastAsia" w:ascii="宋体" w:hAnsi="宋体" w:eastAsia="宋体" w:cs="宋体"/>
          <w:color w:val="000000"/>
          <w:sz w:val="22"/>
          <w:szCs w:val="22"/>
          <w:highlight w:val="none"/>
        </w:rPr>
        <w:t>中应为同一单价。投标人对每种货物(指完全相同的同一货物)只允许有一个报价，如有不同报价，则以最低报价为准。</w:t>
      </w:r>
    </w:p>
    <w:p w14:paraId="78B28219">
      <w:pPr>
        <w:pStyle w:val="46"/>
        <w:spacing w:after="0" w:line="360" w:lineRule="auto"/>
        <w:ind w:left="0" w:leftChars="0" w:firstLine="440" w:firstLineChars="200"/>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kern w:val="0"/>
          <w:sz w:val="22"/>
          <w:szCs w:val="22"/>
          <w:highlight w:val="none"/>
          <w:lang w:val="en-US" w:eastAsia="zh-CN" w:bidi="ar-SA"/>
        </w:rPr>
        <w:t>4、</w:t>
      </w:r>
      <w:r>
        <w:rPr>
          <w:rFonts w:hint="eastAsia" w:ascii="宋体" w:hAnsi="宋体" w:eastAsia="宋体" w:cs="宋体"/>
          <w:color w:val="000000"/>
          <w:sz w:val="22"/>
          <w:szCs w:val="22"/>
          <w:highlight w:val="none"/>
          <w:lang w:val="en-US" w:eastAsia="zh-CN"/>
        </w:rPr>
        <w:t>投标报价高于含税招标控制价（或含税招标控制综合单价）的投标文件将按否决投标处理。</w:t>
      </w:r>
    </w:p>
    <w:p w14:paraId="145BE95F">
      <w:pPr>
        <w:pStyle w:val="46"/>
        <w:spacing w:after="0" w:line="360" w:lineRule="auto"/>
        <w:ind w:firstLine="440" w:firstLineChars="200"/>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5、投标报价明细表中投标人所填报的下调金额为一个</w:t>
      </w:r>
      <w:r>
        <w:rPr>
          <w:rFonts w:hint="eastAsia" w:ascii="宋体" w:hAnsi="宋体" w:eastAsia="宋体" w:cs="宋体"/>
          <w:b/>
          <w:bCs/>
          <w:color w:val="000000"/>
          <w:sz w:val="22"/>
          <w:szCs w:val="22"/>
          <w:highlight w:val="none"/>
          <w:lang w:val="en-US" w:eastAsia="zh-CN"/>
        </w:rPr>
        <w:t>统一固定值</w:t>
      </w:r>
      <w:r>
        <w:rPr>
          <w:rFonts w:hint="eastAsia" w:ascii="宋体" w:hAnsi="宋体" w:eastAsia="宋体" w:cs="宋体"/>
          <w:color w:val="000000"/>
          <w:sz w:val="22"/>
          <w:szCs w:val="22"/>
          <w:highlight w:val="none"/>
          <w:lang w:val="en-US" w:eastAsia="zh-CN"/>
        </w:rPr>
        <w:t>，不得出现多个不同下调金额，否则视为无效投标。</w:t>
      </w:r>
    </w:p>
    <w:p w14:paraId="7774D53A">
      <w:pPr>
        <w:pStyle w:val="46"/>
        <w:spacing w:after="0" w:line="360" w:lineRule="auto"/>
        <w:ind w:firstLine="440" w:firstLineChars="200"/>
        <w:rPr>
          <w:rFonts w:hint="eastAsia" w:ascii="宋体" w:hAnsi="宋体" w:cs="宋体"/>
          <w:color w:val="000000"/>
          <w:sz w:val="22"/>
          <w:szCs w:val="22"/>
          <w:highlight w:val="none"/>
          <w:lang w:val="en-US" w:eastAsia="zh-CN"/>
        </w:rPr>
      </w:pPr>
      <w:r>
        <w:rPr>
          <w:rFonts w:hint="eastAsia" w:ascii="宋体" w:hAnsi="宋体" w:eastAsia="宋体" w:cs="宋体"/>
          <w:color w:val="000000"/>
          <w:kern w:val="0"/>
          <w:sz w:val="22"/>
          <w:szCs w:val="22"/>
          <w:highlight w:val="none"/>
          <w:lang w:val="en-US" w:eastAsia="zh-CN" w:bidi="ar-SA"/>
        </w:rPr>
        <w:t>6、</w:t>
      </w:r>
      <w:r>
        <w:rPr>
          <w:rFonts w:hint="eastAsia" w:ascii="宋体" w:hAnsi="宋体" w:eastAsia="宋体" w:cs="宋体"/>
          <w:color w:val="000000"/>
          <w:sz w:val="22"/>
          <w:szCs w:val="22"/>
          <w:highlight w:val="none"/>
          <w:lang w:val="en-US" w:eastAsia="zh-CN"/>
        </w:rPr>
        <w:t>投标人未填报</w:t>
      </w:r>
      <w:r>
        <w:rPr>
          <w:rFonts w:hint="eastAsia" w:ascii="宋体" w:hAnsi="宋体" w:eastAsia="宋体" w:cs="宋体"/>
          <w:color w:val="000000"/>
          <w:sz w:val="22"/>
          <w:szCs w:val="22"/>
          <w:highlight w:val="none"/>
          <w:u w:val="none"/>
        </w:rPr>
        <w:t>下调金额</w:t>
      </w:r>
      <w:r>
        <w:rPr>
          <w:rFonts w:hint="eastAsia" w:ascii="宋体" w:hAnsi="宋体" w:eastAsia="宋体" w:cs="宋体"/>
          <w:color w:val="000000"/>
          <w:sz w:val="22"/>
          <w:szCs w:val="22"/>
          <w:highlight w:val="none"/>
          <w:lang w:val="en-US" w:eastAsia="zh-CN"/>
        </w:rPr>
        <w:t>或填报格式错误的，视为无效投标。</w:t>
      </w:r>
    </w:p>
    <w:p w14:paraId="3B8420B5">
      <w:pPr>
        <w:pStyle w:val="46"/>
        <w:spacing w:line="24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投标人：（公章）</w:t>
      </w:r>
    </w:p>
    <w:p w14:paraId="3D310365">
      <w:pPr>
        <w:pStyle w:val="46"/>
        <w:spacing w:line="240" w:lineRule="auto"/>
        <w:ind w:left="388" w:leftChars="185" w:firstLine="1929" w:firstLineChars="877"/>
        <w:jc w:val="righ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w:t>
      </w:r>
      <w:r>
        <w:rPr>
          <w:rFonts w:hint="eastAsia" w:ascii="宋体" w:hAnsi="宋体" w:eastAsia="宋体" w:cs="宋体"/>
          <w:color w:val="000000"/>
          <w:sz w:val="22"/>
          <w:szCs w:val="22"/>
          <w:highlight w:val="none"/>
          <w:lang w:eastAsia="zh-CN"/>
        </w:rPr>
        <w:t>委托代理人</w:t>
      </w:r>
      <w:r>
        <w:rPr>
          <w:rFonts w:hint="eastAsia" w:ascii="宋体" w:hAnsi="宋体" w:eastAsia="宋体" w:cs="宋体"/>
          <w:color w:val="000000"/>
          <w:sz w:val="22"/>
          <w:szCs w:val="22"/>
          <w:highlight w:val="none"/>
        </w:rPr>
        <w:t>：（签字或盖章）</w:t>
      </w:r>
    </w:p>
    <w:p w14:paraId="073ABD71">
      <w:pPr>
        <w:pStyle w:val="46"/>
        <w:spacing w:line="240" w:lineRule="auto"/>
        <w:ind w:left="0" w:leftChars="0" w:firstLine="4620" w:firstLineChars="2100"/>
        <w:jc w:val="both"/>
        <w:rPr>
          <w:rFonts w:hint="eastAsia" w:ascii="宋体" w:hAnsi="宋体" w:eastAsia="宋体" w:cs="宋体"/>
          <w:color w:val="000000"/>
          <w:sz w:val="22"/>
          <w:szCs w:val="22"/>
          <w:highlight w:val="none"/>
          <w:lang w:val="en-US" w:eastAsia="zh-CN"/>
        </w:rPr>
        <w:sectPr>
          <w:headerReference r:id="rId12" w:type="default"/>
          <w:footerReference r:id="rId13" w:type="default"/>
          <w:pgSz w:w="11905" w:h="16838"/>
          <w:pgMar w:top="1304" w:right="1417" w:bottom="1304" w:left="1417" w:header="850" w:footer="992" w:gutter="0"/>
          <w:pgNumType w:fmt="decimal"/>
          <w:cols w:space="720" w:num="1"/>
          <w:docGrid w:linePitch="312" w:charSpace="0"/>
        </w:sectPr>
      </w:pPr>
      <w:r>
        <w:rPr>
          <w:rFonts w:hint="eastAsia" w:ascii="宋体" w:hAnsi="宋体" w:eastAsia="宋体" w:cs="宋体"/>
          <w:color w:val="000000"/>
          <w:sz w:val="22"/>
          <w:szCs w:val="22"/>
          <w:highlight w:val="none"/>
          <w:lang w:val="en-US" w:eastAsia="zh-CN"/>
        </w:rPr>
        <w:t>日期：</w:t>
      </w:r>
    </w:p>
    <w:p w14:paraId="1E7A1811">
      <w:pPr>
        <w:pStyle w:val="4"/>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w:t>
      </w:r>
      <w:r>
        <w:rPr>
          <w:rFonts w:hint="eastAsia" w:ascii="宋体" w:hAnsi="宋体" w:eastAsia="宋体" w:cs="宋体"/>
          <w:b w:val="0"/>
          <w:sz w:val="24"/>
          <w:szCs w:val="24"/>
          <w:highlight w:val="none"/>
          <w:lang w:val="en-US" w:eastAsia="zh-CN"/>
        </w:rPr>
        <w:t>C</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：投标人类似项目业绩表</w:t>
      </w:r>
    </w:p>
    <w:p w14:paraId="652972E6">
      <w:pPr>
        <w:spacing w:before="240" w:beforeLines="100" w:after="240" w:afterLines="100" w:line="360" w:lineRule="auto"/>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投标人类似项目业绩表</w:t>
      </w:r>
    </w:p>
    <w:tbl>
      <w:tblPr>
        <w:tblStyle w:val="4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565"/>
        <w:gridCol w:w="1405"/>
        <w:gridCol w:w="1789"/>
        <w:gridCol w:w="1187"/>
        <w:gridCol w:w="1022"/>
        <w:gridCol w:w="1436"/>
      </w:tblGrid>
      <w:tr w14:paraId="131B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1" w:type="pct"/>
            <w:noWrap w:val="0"/>
            <w:vAlign w:val="center"/>
          </w:tcPr>
          <w:p w14:paraId="0155158C">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序号</w:t>
            </w:r>
          </w:p>
        </w:tc>
        <w:tc>
          <w:tcPr>
            <w:tcW w:w="845" w:type="pct"/>
            <w:noWrap w:val="0"/>
            <w:vAlign w:val="center"/>
          </w:tcPr>
          <w:p w14:paraId="55249A6B">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项目名称</w:t>
            </w:r>
          </w:p>
        </w:tc>
        <w:tc>
          <w:tcPr>
            <w:tcW w:w="758" w:type="pct"/>
            <w:noWrap w:val="0"/>
            <w:vAlign w:val="center"/>
          </w:tcPr>
          <w:p w14:paraId="5D0CEEAB">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合同金额</w:t>
            </w:r>
          </w:p>
        </w:tc>
        <w:tc>
          <w:tcPr>
            <w:tcW w:w="965" w:type="pct"/>
            <w:noWrap w:val="0"/>
            <w:vAlign w:val="center"/>
          </w:tcPr>
          <w:p w14:paraId="6477F5F7">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合同服务时间</w:t>
            </w:r>
          </w:p>
        </w:tc>
        <w:tc>
          <w:tcPr>
            <w:tcW w:w="641" w:type="pct"/>
            <w:noWrap w:val="0"/>
            <w:vAlign w:val="center"/>
          </w:tcPr>
          <w:p w14:paraId="2EA9FB63">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招标人</w:t>
            </w:r>
          </w:p>
        </w:tc>
        <w:tc>
          <w:tcPr>
            <w:tcW w:w="552" w:type="pct"/>
            <w:noWrap w:val="0"/>
            <w:vAlign w:val="center"/>
          </w:tcPr>
          <w:p w14:paraId="0E4D5A20">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联系人</w:t>
            </w:r>
          </w:p>
        </w:tc>
        <w:tc>
          <w:tcPr>
            <w:tcW w:w="775" w:type="pct"/>
            <w:noWrap w:val="0"/>
            <w:vAlign w:val="center"/>
          </w:tcPr>
          <w:p w14:paraId="0609A257">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联系电话</w:t>
            </w:r>
          </w:p>
        </w:tc>
      </w:tr>
      <w:tr w14:paraId="2773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1" w:type="pct"/>
            <w:noWrap w:val="0"/>
            <w:vAlign w:val="top"/>
          </w:tcPr>
          <w:p w14:paraId="64B6D00C">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845" w:type="pct"/>
            <w:noWrap w:val="0"/>
            <w:vAlign w:val="top"/>
          </w:tcPr>
          <w:p w14:paraId="2EEE5768">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6BEB1DAF">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top"/>
          </w:tcPr>
          <w:p w14:paraId="3AE0B518">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top"/>
          </w:tcPr>
          <w:p w14:paraId="71FA9560">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top"/>
          </w:tcPr>
          <w:p w14:paraId="1EB30B68">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top"/>
          </w:tcPr>
          <w:p w14:paraId="4C7A5806">
            <w:pPr>
              <w:spacing w:before="120" w:beforeLines="50"/>
              <w:jc w:val="center"/>
              <w:rPr>
                <w:rFonts w:hint="eastAsia" w:ascii="宋体" w:hAnsi="宋体" w:eastAsia="宋体" w:cs="宋体"/>
                <w:color w:val="000000"/>
                <w:kern w:val="0"/>
                <w:sz w:val="22"/>
                <w:szCs w:val="22"/>
                <w:highlight w:val="none"/>
              </w:rPr>
            </w:pPr>
          </w:p>
        </w:tc>
      </w:tr>
      <w:tr w14:paraId="52DD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17AB9A41">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c>
          <w:tcPr>
            <w:tcW w:w="845" w:type="pct"/>
            <w:noWrap w:val="0"/>
            <w:vAlign w:val="center"/>
          </w:tcPr>
          <w:p w14:paraId="77B36099">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3579F678">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30171F27">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3E4E336C">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77276237">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095A1F2B">
            <w:pPr>
              <w:spacing w:before="120" w:beforeLines="50"/>
              <w:jc w:val="center"/>
              <w:rPr>
                <w:rFonts w:hint="eastAsia" w:ascii="宋体" w:hAnsi="宋体" w:eastAsia="宋体" w:cs="宋体"/>
                <w:color w:val="000000"/>
                <w:kern w:val="0"/>
                <w:sz w:val="22"/>
                <w:szCs w:val="22"/>
                <w:highlight w:val="none"/>
              </w:rPr>
            </w:pPr>
          </w:p>
        </w:tc>
      </w:tr>
      <w:tr w14:paraId="5155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2F8D66DA">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845" w:type="pct"/>
            <w:noWrap w:val="0"/>
            <w:vAlign w:val="center"/>
          </w:tcPr>
          <w:p w14:paraId="6CCA5386">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E38F0EC">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35C75E6C">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751934E0">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00413B15">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2B91ECC8">
            <w:pPr>
              <w:spacing w:before="120" w:beforeLines="50"/>
              <w:jc w:val="center"/>
              <w:rPr>
                <w:rFonts w:hint="eastAsia" w:ascii="宋体" w:hAnsi="宋体" w:eastAsia="宋体" w:cs="宋体"/>
                <w:color w:val="000000"/>
                <w:kern w:val="0"/>
                <w:sz w:val="22"/>
                <w:szCs w:val="22"/>
                <w:highlight w:val="none"/>
              </w:rPr>
            </w:pPr>
          </w:p>
        </w:tc>
      </w:tr>
      <w:tr w14:paraId="6BEE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4DCC0956">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c>
          <w:tcPr>
            <w:tcW w:w="845" w:type="pct"/>
            <w:noWrap w:val="0"/>
            <w:vAlign w:val="center"/>
          </w:tcPr>
          <w:p w14:paraId="2064CE60">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420E5A0B">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1245A49D">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4301B151">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47D67393">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2F53FCE9">
            <w:pPr>
              <w:spacing w:before="120" w:beforeLines="50"/>
              <w:jc w:val="center"/>
              <w:rPr>
                <w:rFonts w:hint="eastAsia" w:ascii="宋体" w:hAnsi="宋体" w:eastAsia="宋体" w:cs="宋体"/>
                <w:color w:val="000000"/>
                <w:kern w:val="0"/>
                <w:sz w:val="22"/>
                <w:szCs w:val="22"/>
                <w:highlight w:val="none"/>
              </w:rPr>
            </w:pPr>
          </w:p>
        </w:tc>
      </w:tr>
      <w:tr w14:paraId="7F53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7778C324">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845" w:type="pct"/>
            <w:noWrap w:val="0"/>
            <w:vAlign w:val="center"/>
          </w:tcPr>
          <w:p w14:paraId="6A8AB074">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51DACE10">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5FF3ACED">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506E6629">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57E10293">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525208A7">
            <w:pPr>
              <w:spacing w:before="120" w:beforeLines="50"/>
              <w:jc w:val="center"/>
              <w:rPr>
                <w:rFonts w:hint="eastAsia" w:ascii="宋体" w:hAnsi="宋体" w:eastAsia="宋体" w:cs="宋体"/>
                <w:color w:val="000000"/>
                <w:kern w:val="0"/>
                <w:sz w:val="22"/>
                <w:szCs w:val="22"/>
                <w:highlight w:val="none"/>
              </w:rPr>
            </w:pPr>
          </w:p>
        </w:tc>
      </w:tr>
      <w:tr w14:paraId="264B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08F38A13">
            <w:pPr>
              <w:spacing w:before="120" w:beforeLines="50"/>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w:t>
            </w:r>
          </w:p>
        </w:tc>
        <w:tc>
          <w:tcPr>
            <w:tcW w:w="845" w:type="pct"/>
            <w:noWrap w:val="0"/>
            <w:vAlign w:val="center"/>
          </w:tcPr>
          <w:p w14:paraId="3BD54657">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126FDA0F">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4CCE6BA1">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42C6699D">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6F889AC0">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2B6D2FBD">
            <w:pPr>
              <w:spacing w:before="120" w:beforeLines="50"/>
              <w:jc w:val="center"/>
              <w:rPr>
                <w:rFonts w:hint="eastAsia" w:ascii="宋体" w:hAnsi="宋体" w:eastAsia="宋体" w:cs="宋体"/>
                <w:color w:val="000000"/>
                <w:kern w:val="0"/>
                <w:sz w:val="22"/>
                <w:szCs w:val="22"/>
                <w:highlight w:val="none"/>
              </w:rPr>
            </w:pPr>
          </w:p>
        </w:tc>
      </w:tr>
    </w:tbl>
    <w:p w14:paraId="2EFA9421">
      <w:pPr>
        <w:spacing w:before="120" w:beforeLines="50" w:line="360" w:lineRule="auto"/>
        <w:ind w:left="718" w:leftChars="202" w:right="-57" w:rightChars="-27" w:hanging="294" w:hangingChars="134"/>
        <w:jc w:val="left"/>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注：</w:t>
      </w:r>
    </w:p>
    <w:p w14:paraId="271B7C1A">
      <w:pPr>
        <w:spacing w:before="120" w:beforeLines="50" w:line="360" w:lineRule="auto"/>
        <w:ind w:left="718" w:leftChars="202" w:right="-57" w:rightChars="-27" w:hanging="294" w:hangingChars="134"/>
        <w:jc w:val="left"/>
        <w:rPr>
          <w:rFonts w:hint="eastAsia" w:ascii="宋体" w:hAnsi="宋体" w:cs="宋体"/>
          <w:color w:val="000000"/>
          <w:sz w:val="22"/>
          <w:szCs w:val="22"/>
          <w:highlight w:val="none"/>
          <w:lang w:eastAsia="zh-CN" w:bidi="ar"/>
        </w:rPr>
      </w:pPr>
      <w:r>
        <w:rPr>
          <w:rFonts w:hint="eastAsia" w:ascii="宋体" w:hAnsi="宋体" w:eastAsia="宋体" w:cs="宋体"/>
          <w:color w:val="000000"/>
          <w:sz w:val="22"/>
          <w:szCs w:val="22"/>
          <w:highlight w:val="none"/>
          <w:lang w:bidi="ar"/>
        </w:rPr>
        <w:t>1.项目按照时间顺序排列。</w:t>
      </w:r>
    </w:p>
    <w:p w14:paraId="4A5983D1">
      <w:pPr>
        <w:pStyle w:val="16"/>
        <w:spacing w:before="120" w:beforeLines="50" w:line="380" w:lineRule="exact"/>
        <w:ind w:left="0" w:leftChars="0" w:right="-57" w:rightChars="-27" w:firstLineChars="200"/>
        <w:jc w:val="both"/>
        <w:rPr>
          <w:rFonts w:hint="eastAsia" w:ascii="宋体" w:hAnsi="宋体" w:eastAsia="宋体" w:cs="宋体"/>
          <w:color w:val="000000"/>
          <w:kern w:val="0"/>
          <w:sz w:val="22"/>
          <w:szCs w:val="22"/>
          <w:highlight w:val="none"/>
        </w:rPr>
      </w:pPr>
      <w:r>
        <w:rPr>
          <w:rFonts w:hint="eastAsia" w:ascii="宋体" w:hAnsi="宋体" w:cs="宋体"/>
          <w:color w:val="000000"/>
          <w:highlight w:val="none"/>
          <w:lang w:val="en-US" w:eastAsia="zh-CN"/>
        </w:rPr>
        <w:t>2.所有项目</w:t>
      </w:r>
      <w:r>
        <w:rPr>
          <w:rFonts w:hint="eastAsia" w:ascii="宋体" w:hAnsi="宋体"/>
          <w:color w:val="000000"/>
          <w:szCs w:val="21"/>
          <w:highlight w:val="none"/>
          <w:lang w:val="en-US" w:eastAsia="zh-CN"/>
        </w:rPr>
        <w:t>须提供业绩证明文件（</w:t>
      </w:r>
      <w:r>
        <w:rPr>
          <w:color w:val="000000"/>
          <w:szCs w:val="21"/>
          <w:highlight w:val="none"/>
          <w:lang w:val="en-US" w:eastAsia="zh-CN"/>
        </w:rPr>
        <w:t>业绩证明文件</w:t>
      </w:r>
      <w:r>
        <w:rPr>
          <w:rFonts w:hint="eastAsia"/>
          <w:color w:val="000000"/>
          <w:szCs w:val="21"/>
          <w:highlight w:val="none"/>
          <w:lang w:val="en-US" w:eastAsia="zh-CN"/>
        </w:rPr>
        <w:t>为</w:t>
      </w:r>
      <w:r>
        <w:rPr>
          <w:color w:val="000000"/>
          <w:szCs w:val="21"/>
          <w:highlight w:val="none"/>
          <w:lang w:val="en-US" w:eastAsia="zh-CN"/>
        </w:rPr>
        <w:t>合同</w:t>
      </w:r>
      <w:r>
        <w:rPr>
          <w:rFonts w:hint="eastAsia"/>
          <w:color w:val="000000"/>
          <w:szCs w:val="21"/>
          <w:highlight w:val="none"/>
          <w:lang w:val="en-US" w:eastAsia="zh-CN"/>
        </w:rPr>
        <w:t>关键页</w:t>
      </w:r>
      <w:r>
        <w:rPr>
          <w:color w:val="000000"/>
          <w:szCs w:val="21"/>
          <w:highlight w:val="none"/>
          <w:lang w:val="en-US" w:eastAsia="zh-CN"/>
        </w:rPr>
        <w:t>或</w:t>
      </w:r>
      <w:r>
        <w:rPr>
          <w:rFonts w:hint="eastAsia"/>
          <w:color w:val="000000"/>
          <w:szCs w:val="21"/>
          <w:highlight w:val="none"/>
          <w:lang w:val="en-US" w:eastAsia="zh-CN"/>
        </w:rPr>
        <w:t>买卖发票</w:t>
      </w:r>
      <w:r>
        <w:rPr>
          <w:color w:val="000000"/>
          <w:szCs w:val="21"/>
          <w:highlight w:val="none"/>
          <w:lang w:val="en-US" w:eastAsia="zh-CN"/>
        </w:rPr>
        <w:t>复印件，证明文件中须体现出合同双方、合同签订时间、</w:t>
      </w:r>
      <w:r>
        <w:rPr>
          <w:rFonts w:hint="eastAsia" w:ascii="宋体" w:hAnsi="宋体"/>
          <w:color w:val="000000"/>
          <w:szCs w:val="21"/>
          <w:highlight w:val="none"/>
          <w:lang w:val="en-US" w:eastAsia="zh-CN"/>
        </w:rPr>
        <w:t>合同服务内容</w:t>
      </w:r>
      <w:r>
        <w:rPr>
          <w:rFonts w:hint="eastAsia"/>
          <w:color w:val="000000"/>
          <w:szCs w:val="21"/>
          <w:highlight w:val="none"/>
          <w:lang w:val="en-US" w:eastAsia="zh-CN"/>
        </w:rPr>
        <w:t>、</w:t>
      </w:r>
      <w:r>
        <w:rPr>
          <w:color w:val="000000"/>
          <w:szCs w:val="21"/>
          <w:highlight w:val="none"/>
          <w:lang w:val="en-US" w:eastAsia="zh-CN"/>
        </w:rPr>
        <w:t>合同</w:t>
      </w:r>
      <w:r>
        <w:rPr>
          <w:rFonts w:hint="eastAsia"/>
          <w:color w:val="000000"/>
          <w:szCs w:val="21"/>
          <w:highlight w:val="none"/>
          <w:lang w:val="en-US" w:eastAsia="zh-CN"/>
        </w:rPr>
        <w:t>金额</w:t>
      </w:r>
      <w:r>
        <w:rPr>
          <w:color w:val="000000"/>
          <w:szCs w:val="21"/>
          <w:highlight w:val="none"/>
          <w:lang w:val="en-US" w:eastAsia="zh-CN"/>
        </w:rPr>
        <w:t>等</w:t>
      </w:r>
      <w:r>
        <w:rPr>
          <w:rFonts w:hint="eastAsia" w:ascii="宋体" w:hAnsi="宋体"/>
          <w:color w:val="000000"/>
          <w:szCs w:val="21"/>
          <w:highlight w:val="none"/>
          <w:lang w:val="en-US" w:eastAsia="zh-CN"/>
        </w:rPr>
        <w:t>信息；买卖发票必须体现“购买方信息、销售方信息、项目名称、金额、开票日期等”，否则视为无效证明文件）</w:t>
      </w:r>
      <w:r>
        <w:rPr>
          <w:rFonts w:hint="eastAsia" w:ascii="宋体" w:hAnsi="宋体" w:eastAsia="宋体" w:cs="宋体"/>
          <w:color w:val="000000"/>
          <w:sz w:val="22"/>
          <w:szCs w:val="22"/>
          <w:highlight w:val="none"/>
          <w:lang w:bidi="ar"/>
        </w:rPr>
        <w:t>。</w:t>
      </w:r>
    </w:p>
    <w:p w14:paraId="5835B0F6">
      <w:pPr>
        <w:spacing w:before="120" w:beforeLines="50" w:line="360" w:lineRule="auto"/>
        <w:ind w:right="-57" w:rightChars="-27"/>
        <w:rPr>
          <w:rFonts w:hint="eastAsia" w:ascii="宋体" w:hAnsi="宋体" w:eastAsia="宋体" w:cs="宋体"/>
          <w:color w:val="000000"/>
          <w:kern w:val="0"/>
          <w:sz w:val="22"/>
          <w:szCs w:val="22"/>
          <w:highlight w:val="none"/>
        </w:rPr>
      </w:pPr>
    </w:p>
    <w:p w14:paraId="152624AA">
      <w:pPr>
        <w:spacing w:before="120" w:beforeLines="50" w:line="360" w:lineRule="auto"/>
        <w:ind w:left="479" w:leftChars="220" w:right="-57" w:rightChars="-27" w:hanging="17"/>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2CBC6E0C">
      <w:pPr>
        <w:spacing w:before="120" w:beforeLines="50" w:line="360" w:lineRule="auto"/>
        <w:ind w:left="478" w:leftChars="227"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7836A575">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日  期：</w:t>
      </w:r>
    </w:p>
    <w:p w14:paraId="7B388C24">
      <w:pPr>
        <w:pStyle w:val="4"/>
        <w:spacing w:line="360" w:lineRule="auto"/>
        <w:rPr>
          <w:rFonts w:hint="eastAsia" w:ascii="宋体" w:hAnsi="宋体" w:eastAsia="宋体" w:cs="宋体"/>
          <w:b w:val="0"/>
          <w:sz w:val="24"/>
          <w:szCs w:val="24"/>
          <w:highlight w:val="none"/>
        </w:rPr>
        <w:sectPr>
          <w:headerReference r:id="rId14" w:type="default"/>
          <w:footerReference r:id="rId15" w:type="default"/>
          <w:pgSz w:w="11905" w:h="16838"/>
          <w:pgMar w:top="1304" w:right="1417" w:bottom="1304" w:left="1417" w:header="850" w:footer="992" w:gutter="0"/>
          <w:pgNumType w:fmt="decimal"/>
          <w:cols w:space="720" w:num="1"/>
          <w:docGrid w:linePitch="312" w:charSpace="0"/>
        </w:sectPr>
      </w:pPr>
    </w:p>
    <w:p w14:paraId="5EBE63F0">
      <w:pPr>
        <w:pStyle w:val="47"/>
        <w:ind w:left="0"/>
        <w:outlineLvl w:val="2"/>
        <w:rPr>
          <w:rFonts w:hint="eastAsia" w:ascii="宋体" w:hAnsi="宋体" w:eastAsia="宋体" w:cs="宋体"/>
          <w:b w:val="0"/>
          <w:bCs w:val="0"/>
          <w:i w:val="0"/>
          <w:iCs w:val="0"/>
          <w:color w:val="000000"/>
          <w:kern w:val="2"/>
          <w:highlight w:val="none"/>
        </w:rPr>
      </w:pPr>
      <w:r>
        <w:rPr>
          <w:rFonts w:hint="eastAsia" w:ascii="宋体" w:hAnsi="宋体" w:eastAsia="宋体" w:cs="宋体"/>
          <w:b w:val="0"/>
          <w:bCs w:val="0"/>
          <w:i w:val="0"/>
          <w:iCs w:val="0"/>
          <w:color w:val="000000"/>
          <w:kern w:val="2"/>
          <w:sz w:val="24"/>
          <w:szCs w:val="24"/>
          <w:highlight w:val="none"/>
          <w:lang w:val="en-US" w:eastAsia="zh-CN"/>
        </w:rPr>
        <w:t>格式C5：</w:t>
      </w:r>
      <w:r>
        <w:rPr>
          <w:rFonts w:hint="eastAsia" w:ascii="宋体" w:hAnsi="宋体" w:eastAsia="宋体" w:cs="宋体"/>
          <w:b w:val="0"/>
          <w:bCs w:val="0"/>
          <w:i w:val="0"/>
          <w:iCs w:val="0"/>
          <w:color w:val="000000"/>
          <w:kern w:val="2"/>
          <w:sz w:val="24"/>
          <w:szCs w:val="24"/>
          <w:highlight w:val="none"/>
        </w:rPr>
        <w:t>投标人认为需要提交的其他资料（如有，格式自拟）。</w:t>
      </w:r>
    </w:p>
    <w:p w14:paraId="4030B78D">
      <w:pPr>
        <w:pStyle w:val="46"/>
        <w:spacing w:line="360" w:lineRule="auto"/>
        <w:ind w:left="388" w:leftChars="185" w:firstLine="1929" w:firstLineChars="877"/>
        <w:jc w:val="right"/>
        <w:rPr>
          <w:rFonts w:hint="eastAsia" w:ascii="宋体" w:hAnsi="宋体" w:eastAsia="宋体" w:cs="宋体"/>
          <w:color w:val="000000"/>
          <w:sz w:val="22"/>
          <w:szCs w:val="22"/>
          <w:highlight w:val="none"/>
        </w:rPr>
      </w:pPr>
    </w:p>
    <w:p w14:paraId="02A22282">
      <w:pPr>
        <w:rPr>
          <w:highlight w:val="none"/>
        </w:rPr>
      </w:pPr>
    </w:p>
    <w:p w14:paraId="0D2608C3">
      <w:pPr>
        <w:rPr>
          <w:highlight w:val="none"/>
        </w:rPr>
      </w:pPr>
    </w:p>
    <w:p w14:paraId="2E02F3D9">
      <w:pPr>
        <w:rPr>
          <w:highlight w:val="none"/>
        </w:rPr>
      </w:pPr>
    </w:p>
    <w:sectPr>
      <w:pgSz w:w="11905" w:h="16838"/>
      <w:pgMar w:top="1304" w:right="1417" w:bottom="1304" w:left="1417" w:header="850"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创艺简行楷">
    <w:altName w:val="黑体"/>
    <w:panose1 w:val="00000000000000000000"/>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Sans Serif">
    <w:panose1 w:val="020B0604020202020204"/>
    <w:charset w:val="00"/>
    <w:family w:val="swiss"/>
    <w:pitch w:val="default"/>
    <w:sig w:usb0="E5002EFF" w:usb1="C000605B" w:usb2="00000029" w:usb3="00000000" w:csb0="200101FF" w:csb1="20280000"/>
  </w:font>
  <w:font w:name="Roman 12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90A8">
    <w:pPr>
      <w:pStyle w:val="28"/>
      <w:tabs>
        <w:tab w:val="left" w:pos="4410"/>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DBE46">
    <w:pPr>
      <w:pStyle w:val="28"/>
      <w:jc w:val="center"/>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9235" cy="220980"/>
              <wp:effectExtent l="0" t="0" r="0" b="0"/>
              <wp:wrapNone/>
              <wp:docPr id="35" name="文本框 3"/>
              <wp:cNvGraphicFramePr/>
              <a:graphic xmlns:a="http://schemas.openxmlformats.org/drawingml/2006/main">
                <a:graphicData uri="http://schemas.microsoft.com/office/word/2010/wordprocessingShape">
                  <wps:wsp>
                    <wps:cNvSpPr txBox="1"/>
                    <wps:spPr>
                      <a:xfrm>
                        <a:off x="0" y="0"/>
                        <a:ext cx="229235" cy="220980"/>
                      </a:xfrm>
                      <a:prstGeom prst="rect">
                        <a:avLst/>
                      </a:prstGeom>
                      <a:noFill/>
                      <a:ln w="15875">
                        <a:noFill/>
                      </a:ln>
                    </wps:spPr>
                    <wps:txbx>
                      <w:txbxContent>
                        <w:p w14:paraId="498FD116">
                          <w:pPr>
                            <w:pStyle w:val="28"/>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rPr>
                            <w:t>1</w:t>
                          </w:r>
                          <w:r>
                            <w:rPr>
                              <w:rFonts w:ascii="宋体" w:hAnsi="宋体"/>
                              <w:sz w:val="21"/>
                              <w:szCs w:val="21"/>
                            </w:rPr>
                            <w:fldChar w:fldCharType="end"/>
                          </w:r>
                        </w:p>
                      </w:txbxContent>
                    </wps:txbx>
                    <wps:bodyPr wrap="square" lIns="0" tIns="0" rIns="0" bIns="0" upright="1"/>
                  </wps:wsp>
                </a:graphicData>
              </a:graphic>
            </wp:anchor>
          </w:drawing>
        </mc:Choice>
        <mc:Fallback>
          <w:pict>
            <v:shape id="文本框 3" o:spid="_x0000_s1026" o:spt="202" type="#_x0000_t202" style="position:absolute;left:0pt;margin-top:0pt;height:17.4pt;width:18.05pt;mso-position-horizontal:center;mso-position-horizontal-relative:margin;z-index:251659264;mso-width-relative:page;mso-height-relative:page;" filled="f" stroked="f" coordsize="21600,21600" o:gfxdata="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3Xr0gAAAAMBAAAPAAAAAAAAAAEAIAAAACIAAABkcnMvZG93&#10;bnJldi54bWxQSwECFAAUAAAACACHTuJAJQ8mac0BAACKAwAADgAAAAAAAAABACAAAAAhAQAAZHJz&#10;L2Uyb0RvYy54bWxQSwUGAAAAAAYABgBZAQAAYAUAAAAA&#10;">
              <v:fill on="f" focussize="0,0"/>
              <v:stroke on="f" weight="1.25pt"/>
              <v:imagedata o:title=""/>
              <o:lock v:ext="edit" aspectratio="f"/>
              <v:textbox inset="0mm,0mm,0mm,0mm">
                <w:txbxContent>
                  <w:p w14:paraId="498FD116">
                    <w:pPr>
                      <w:pStyle w:val="28"/>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rPr>
                      <w:t>1</w:t>
                    </w:r>
                    <w:r>
                      <w:rPr>
                        <w:rFonts w:ascii="宋体" w:hAnsi="宋体"/>
                        <w:sz w:val="21"/>
                        <w:szCs w:val="21"/>
                      </w:rPr>
                      <w:fldChar w:fldCharType="end"/>
                    </w:r>
                  </w:p>
                </w:txbxContent>
              </v:textbox>
            </v:shape>
          </w:pict>
        </mc:Fallback>
      </mc:AlternateContent>
    </w:r>
    <w:r>
      <w:rPr>
        <w:rFonts w:hint="eastAsia"/>
        <w:lang w:eastAsia="zh-CN"/>
      </w:rPr>
      <w:t xml:space="preserve"> </w:t>
    </w:r>
  </w:p>
  <w:p w14:paraId="5078A52E">
    <w:pPr>
      <w:pStyle w:val="28"/>
      <w:tabs>
        <w:tab w:val="left" w:pos="4410"/>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F7584">
    <w:pPr>
      <w:pStyle w:val="28"/>
      <w:ind w:right="-57"/>
      <w:jc w:val="cente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21615" cy="153035"/>
              <wp:effectExtent l="0" t="0" r="0" b="0"/>
              <wp:wrapNone/>
              <wp:docPr id="37" name="文本框 6"/>
              <wp:cNvGraphicFramePr/>
              <a:graphic xmlns:a="http://schemas.openxmlformats.org/drawingml/2006/main">
                <a:graphicData uri="http://schemas.microsoft.com/office/word/2010/wordprocessingShape">
                  <wps:wsp>
                    <wps:cNvSpPr txBox="1"/>
                    <wps:spPr>
                      <a:xfrm>
                        <a:off x="0" y="0"/>
                        <a:ext cx="221615" cy="153035"/>
                      </a:xfrm>
                      <a:prstGeom prst="rect">
                        <a:avLst/>
                      </a:prstGeom>
                      <a:noFill/>
                      <a:ln w="6350">
                        <a:noFill/>
                      </a:ln>
                    </wps:spPr>
                    <wps:txbx>
                      <w:txbxContent>
                        <w:p w14:paraId="2FBD914E">
                          <w:r>
                            <w:fldChar w:fldCharType="begin"/>
                          </w:r>
                          <w:r>
                            <w:instrText xml:space="preserve"> PAGE  \* MERGEFORMAT </w:instrText>
                          </w:r>
                          <w:r>
                            <w:fldChar w:fldCharType="separate"/>
                          </w:r>
                          <w:r>
                            <w:t>1</w:t>
                          </w:r>
                          <w:r>
                            <w:fldChar w:fldCharType="end"/>
                          </w:r>
                        </w:p>
                      </w:txbxContent>
                    </wps:txbx>
                    <wps:bodyPr wrap="square" lIns="0" tIns="0" rIns="0" bIns="0" upright="1">
                      <a:spAutoFit/>
                    </wps:bodyPr>
                  </wps:wsp>
                </a:graphicData>
              </a:graphic>
            </wp:anchor>
          </w:drawing>
        </mc:Choice>
        <mc:Fallback>
          <w:pict>
            <v:shape id="文本框 6" o:spid="_x0000_s1026" o:spt="202" type="#_x0000_t202" style="position:absolute;left:0pt;margin-top:0pt;height:12.05pt;width:17.45pt;mso-position-horizontal:center;mso-position-horizontal-relative:margin;z-index:251661312;mso-width-relative:page;mso-height-relative:page;" filled="f" stroked="f" coordsize="21600,21600" o:gfxdata="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l29dw0wAAAAMBAAAPAAAAAAAAAAEAIAAA&#10;ACIAAABkcnMvZG93bnJldi54bWxQSwECFAAUAAAACACHTuJA72Czm9gBAACjAwAADgAAAAAAAAAB&#10;ACAAAAAiAQAAZHJzL2Uyb0RvYy54bWxQSwUGAAAAAAYABgBZAQAAbAUAAAAA&#10;">
              <v:fill on="f" focussize="0,0"/>
              <v:stroke on="f" weight="0.5pt"/>
              <v:imagedata o:title=""/>
              <o:lock v:ext="edit" aspectratio="f"/>
              <v:textbox inset="0mm,0mm,0mm,0mm" style="mso-fit-shape-to-text:t;">
                <w:txbxContent>
                  <w:p w14:paraId="2FBD914E">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F3B7F">
    <w:pPr>
      <w:pStyle w:val="2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770B1">
    <w:pPr>
      <w:pStyle w:val="2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157EA">
    <w:pPr>
      <w:pStyle w:val="2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1873C">
    <w:pPr>
      <w:pStyle w:val="28"/>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6916148D">
                          <w:pPr>
                            <w:pStyle w:val="28"/>
                            <w:jc w:val="cente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V8M35gEA&#10;AMoDAAAOAAAAAAAAAAEAIAAAACIBAABkcnMvZTJvRG9jLnhtbFBLBQYAAAAABgAGAFkBAAB6BQAA&#10;AAA=&#10;">
              <v:fill on="f" focussize="0,0"/>
              <v:stroke on="f" weight="1.25pt"/>
              <v:imagedata o:title=""/>
              <o:lock v:ext="edit" aspectratio="f"/>
              <v:textbox inset="0mm,0mm,0mm,0mm" style="mso-fit-shape-to-text:t;">
                <w:txbxContent>
                  <w:p w14:paraId="6916148D">
                    <w:pPr>
                      <w:pStyle w:val="28"/>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4CE4E69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504A">
    <w:pPr>
      <w:pStyle w:val="2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442F0AC">
                          <w:pPr>
                            <w:pStyle w:val="28"/>
                            <w:jc w:val="cente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kf0CKOcB&#10;AADLAwAADgAAAAAAAAABACAAAAAiAQAAZHJzL2Uyb0RvYy54bWxQSwUGAAAAAAYABgBZAQAAewUA&#10;AAAA&#10;">
              <v:fill on="f" focussize="0,0"/>
              <v:stroke on="f" weight="1.25pt"/>
              <v:imagedata o:title=""/>
              <o:lock v:ext="edit" aspectratio="f"/>
              <v:textbox inset="0mm,0mm,0mm,0mm" style="mso-fit-shape-to-text:t;">
                <w:txbxContent>
                  <w:p w14:paraId="0442F0AC">
                    <w:pPr>
                      <w:pStyle w:val="28"/>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7B096F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E8B48">
    <w:pPr>
      <w:pStyle w:val="28"/>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6BA43BA2">
                          <w:pPr>
                            <w:pStyle w:val="28"/>
                            <w:jc w:val="cente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BNwHwR5gEA&#10;AMoDAAAOAAAAAAAAAAEAIAAAACIBAABkcnMvZTJvRG9jLnhtbFBLBQYAAAAABgAGAFkBAAB6BQAA&#10;AAA=&#10;">
              <v:fill on="f" focussize="0,0"/>
              <v:stroke on="f" weight="1.25pt"/>
              <v:imagedata o:title=""/>
              <o:lock v:ext="edit" aspectratio="f"/>
              <v:textbox inset="0mm,0mm,0mm,0mm" style="mso-fit-shape-to-text:t;">
                <w:txbxContent>
                  <w:p w14:paraId="6BA43BA2">
                    <w:pPr>
                      <w:pStyle w:val="28"/>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646D92A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913CD">
    <w:pPr>
      <w:pStyle w:val="2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1DFF3">
    <w:pPr>
      <w:pStyle w:val="2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C003">
    <w:pPr>
      <w:pStyle w:val="2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C0C36">
    <w:pPr>
      <w:pStyle w:val="2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79392B"/>
    <w:multiLevelType w:val="singleLevel"/>
    <w:tmpl w:val="C079392B"/>
    <w:lvl w:ilvl="0" w:tentative="0">
      <w:start w:val="1"/>
      <w:numFmt w:val="decimal"/>
      <w:suff w:val="nothing"/>
      <w:lvlText w:val="（%1）"/>
      <w:lvlJc w:val="left"/>
    </w:lvl>
  </w:abstractNum>
  <w:abstractNum w:abstractNumId="1">
    <w:nsid w:val="000000DB"/>
    <w:multiLevelType w:val="multilevel"/>
    <w:tmpl w:val="000000DB"/>
    <w:lvl w:ilvl="0" w:tentative="0">
      <w:start w:val="1"/>
      <w:numFmt w:val="decimal"/>
      <w:lvlText w:val="2.%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4C23659C"/>
    <w:multiLevelType w:val="singleLevel"/>
    <w:tmpl w:val="4C23659C"/>
    <w:lvl w:ilvl="0" w:tentative="0">
      <w:start w:val="5"/>
      <w:numFmt w:val="chineseCounting"/>
      <w:suff w:val="space"/>
      <w:lvlText w:val="第%1章"/>
      <w:lvlJc w:val="left"/>
      <w:rPr>
        <w:rFonts w:hint="eastAsia"/>
      </w:rPr>
    </w:lvl>
  </w:abstractNum>
  <w:abstractNum w:abstractNumId="3">
    <w:nsid w:val="532C6D9C"/>
    <w:multiLevelType w:val="singleLevel"/>
    <w:tmpl w:val="532C6D9C"/>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21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ZDJjNmE2YTM0YTAyNDllMDFmMjcwYzkyZWZjNDkifQ=="/>
  </w:docVars>
  <w:rsids>
    <w:rsidRoot w:val="00172A27"/>
    <w:rsid w:val="00000B84"/>
    <w:rsid w:val="00002301"/>
    <w:rsid w:val="0000267A"/>
    <w:rsid w:val="0000294E"/>
    <w:rsid w:val="00002B54"/>
    <w:rsid w:val="00003A39"/>
    <w:rsid w:val="00003ACE"/>
    <w:rsid w:val="00004FD6"/>
    <w:rsid w:val="00005921"/>
    <w:rsid w:val="0000609E"/>
    <w:rsid w:val="00007DFF"/>
    <w:rsid w:val="00010521"/>
    <w:rsid w:val="000115E3"/>
    <w:rsid w:val="00011E58"/>
    <w:rsid w:val="000122A1"/>
    <w:rsid w:val="00013218"/>
    <w:rsid w:val="00014128"/>
    <w:rsid w:val="000144D2"/>
    <w:rsid w:val="00017700"/>
    <w:rsid w:val="00020AA9"/>
    <w:rsid w:val="00023EEC"/>
    <w:rsid w:val="000244EA"/>
    <w:rsid w:val="00027580"/>
    <w:rsid w:val="00027C51"/>
    <w:rsid w:val="00027ECA"/>
    <w:rsid w:val="000309A9"/>
    <w:rsid w:val="00030A4E"/>
    <w:rsid w:val="0003466C"/>
    <w:rsid w:val="00034E92"/>
    <w:rsid w:val="00035922"/>
    <w:rsid w:val="0003648D"/>
    <w:rsid w:val="0004047D"/>
    <w:rsid w:val="00040635"/>
    <w:rsid w:val="00040F4A"/>
    <w:rsid w:val="00041CAC"/>
    <w:rsid w:val="00041FDF"/>
    <w:rsid w:val="0004552D"/>
    <w:rsid w:val="00045862"/>
    <w:rsid w:val="00047599"/>
    <w:rsid w:val="00050669"/>
    <w:rsid w:val="00050CF8"/>
    <w:rsid w:val="00051C07"/>
    <w:rsid w:val="00052E2E"/>
    <w:rsid w:val="000547C0"/>
    <w:rsid w:val="0005597B"/>
    <w:rsid w:val="00056585"/>
    <w:rsid w:val="000565CF"/>
    <w:rsid w:val="00062373"/>
    <w:rsid w:val="00066643"/>
    <w:rsid w:val="00066C41"/>
    <w:rsid w:val="00066D0B"/>
    <w:rsid w:val="000707EB"/>
    <w:rsid w:val="00070A0D"/>
    <w:rsid w:val="000714E3"/>
    <w:rsid w:val="00074A01"/>
    <w:rsid w:val="00074BA4"/>
    <w:rsid w:val="0007532F"/>
    <w:rsid w:val="00077A87"/>
    <w:rsid w:val="00077C65"/>
    <w:rsid w:val="0008295B"/>
    <w:rsid w:val="0008514F"/>
    <w:rsid w:val="0008555E"/>
    <w:rsid w:val="000862EC"/>
    <w:rsid w:val="000866FD"/>
    <w:rsid w:val="0008682E"/>
    <w:rsid w:val="000908AC"/>
    <w:rsid w:val="00090E0C"/>
    <w:rsid w:val="0009110A"/>
    <w:rsid w:val="0009150F"/>
    <w:rsid w:val="00091E3F"/>
    <w:rsid w:val="000922D4"/>
    <w:rsid w:val="0009284C"/>
    <w:rsid w:val="00093D08"/>
    <w:rsid w:val="00095C0E"/>
    <w:rsid w:val="000978C1"/>
    <w:rsid w:val="000A0DF3"/>
    <w:rsid w:val="000A45E4"/>
    <w:rsid w:val="000A5031"/>
    <w:rsid w:val="000A565E"/>
    <w:rsid w:val="000B0218"/>
    <w:rsid w:val="000B047B"/>
    <w:rsid w:val="000B05EF"/>
    <w:rsid w:val="000B06C9"/>
    <w:rsid w:val="000B1111"/>
    <w:rsid w:val="000B25E7"/>
    <w:rsid w:val="000B2841"/>
    <w:rsid w:val="000B2CB6"/>
    <w:rsid w:val="000B438A"/>
    <w:rsid w:val="000B4903"/>
    <w:rsid w:val="000B4FC9"/>
    <w:rsid w:val="000B74EB"/>
    <w:rsid w:val="000B7842"/>
    <w:rsid w:val="000B79A0"/>
    <w:rsid w:val="000B7ED6"/>
    <w:rsid w:val="000B7EFA"/>
    <w:rsid w:val="000C023F"/>
    <w:rsid w:val="000C0BFD"/>
    <w:rsid w:val="000C5A14"/>
    <w:rsid w:val="000C5BCC"/>
    <w:rsid w:val="000C5D40"/>
    <w:rsid w:val="000C67FA"/>
    <w:rsid w:val="000C788A"/>
    <w:rsid w:val="000C7F48"/>
    <w:rsid w:val="000D0174"/>
    <w:rsid w:val="000D05CC"/>
    <w:rsid w:val="000D0ADC"/>
    <w:rsid w:val="000D105D"/>
    <w:rsid w:val="000D1CB1"/>
    <w:rsid w:val="000D35BB"/>
    <w:rsid w:val="000D5A08"/>
    <w:rsid w:val="000D657E"/>
    <w:rsid w:val="000D6598"/>
    <w:rsid w:val="000D70ED"/>
    <w:rsid w:val="000D73F4"/>
    <w:rsid w:val="000E06B0"/>
    <w:rsid w:val="000E08D1"/>
    <w:rsid w:val="000E0B20"/>
    <w:rsid w:val="000E1357"/>
    <w:rsid w:val="000E1C41"/>
    <w:rsid w:val="000E2A07"/>
    <w:rsid w:val="000E398A"/>
    <w:rsid w:val="000E5000"/>
    <w:rsid w:val="000E6825"/>
    <w:rsid w:val="000E7EE0"/>
    <w:rsid w:val="000E7EED"/>
    <w:rsid w:val="000F07F8"/>
    <w:rsid w:val="000F0F30"/>
    <w:rsid w:val="000F116C"/>
    <w:rsid w:val="000F1415"/>
    <w:rsid w:val="000F430F"/>
    <w:rsid w:val="000F729A"/>
    <w:rsid w:val="001004E6"/>
    <w:rsid w:val="001005BA"/>
    <w:rsid w:val="00100A68"/>
    <w:rsid w:val="00100FC3"/>
    <w:rsid w:val="0010149C"/>
    <w:rsid w:val="001018E7"/>
    <w:rsid w:val="00106EE8"/>
    <w:rsid w:val="001073FA"/>
    <w:rsid w:val="001078FF"/>
    <w:rsid w:val="00107F2A"/>
    <w:rsid w:val="0011134B"/>
    <w:rsid w:val="0011306F"/>
    <w:rsid w:val="001146E6"/>
    <w:rsid w:val="0011649C"/>
    <w:rsid w:val="00116654"/>
    <w:rsid w:val="00120720"/>
    <w:rsid w:val="0012236D"/>
    <w:rsid w:val="00123DF6"/>
    <w:rsid w:val="0012558A"/>
    <w:rsid w:val="00127588"/>
    <w:rsid w:val="00130E36"/>
    <w:rsid w:val="00131342"/>
    <w:rsid w:val="001318FD"/>
    <w:rsid w:val="001327D1"/>
    <w:rsid w:val="00134088"/>
    <w:rsid w:val="00134DD6"/>
    <w:rsid w:val="0013570E"/>
    <w:rsid w:val="00136A4F"/>
    <w:rsid w:val="00136DAC"/>
    <w:rsid w:val="00136E71"/>
    <w:rsid w:val="00137734"/>
    <w:rsid w:val="00140B5E"/>
    <w:rsid w:val="00140E4F"/>
    <w:rsid w:val="00141443"/>
    <w:rsid w:val="00144FCB"/>
    <w:rsid w:val="00146095"/>
    <w:rsid w:val="0014627C"/>
    <w:rsid w:val="00146CA3"/>
    <w:rsid w:val="00147B9A"/>
    <w:rsid w:val="00147E2F"/>
    <w:rsid w:val="00150093"/>
    <w:rsid w:val="00150B6A"/>
    <w:rsid w:val="001510C8"/>
    <w:rsid w:val="001510F9"/>
    <w:rsid w:val="00151297"/>
    <w:rsid w:val="00151F1A"/>
    <w:rsid w:val="00153ECB"/>
    <w:rsid w:val="001546F1"/>
    <w:rsid w:val="00155A19"/>
    <w:rsid w:val="0015739E"/>
    <w:rsid w:val="00157A0E"/>
    <w:rsid w:val="00161561"/>
    <w:rsid w:val="00161A78"/>
    <w:rsid w:val="00161BBC"/>
    <w:rsid w:val="0016240A"/>
    <w:rsid w:val="001624A4"/>
    <w:rsid w:val="00162A08"/>
    <w:rsid w:val="00163F1F"/>
    <w:rsid w:val="0016474F"/>
    <w:rsid w:val="00167A9A"/>
    <w:rsid w:val="001700D0"/>
    <w:rsid w:val="00171225"/>
    <w:rsid w:val="001714F9"/>
    <w:rsid w:val="0017297F"/>
    <w:rsid w:val="00172A27"/>
    <w:rsid w:val="00173291"/>
    <w:rsid w:val="00173F86"/>
    <w:rsid w:val="001752B7"/>
    <w:rsid w:val="00176B7F"/>
    <w:rsid w:val="00176C26"/>
    <w:rsid w:val="00177C24"/>
    <w:rsid w:val="00180655"/>
    <w:rsid w:val="001808EB"/>
    <w:rsid w:val="00180F79"/>
    <w:rsid w:val="00181184"/>
    <w:rsid w:val="00182088"/>
    <w:rsid w:val="00183922"/>
    <w:rsid w:val="00183A8B"/>
    <w:rsid w:val="00184658"/>
    <w:rsid w:val="00185138"/>
    <w:rsid w:val="001856F4"/>
    <w:rsid w:val="001859FC"/>
    <w:rsid w:val="00187BE1"/>
    <w:rsid w:val="00187D19"/>
    <w:rsid w:val="00192AD3"/>
    <w:rsid w:val="00192E08"/>
    <w:rsid w:val="00192E33"/>
    <w:rsid w:val="001936D2"/>
    <w:rsid w:val="00193A66"/>
    <w:rsid w:val="001952A3"/>
    <w:rsid w:val="00195F3C"/>
    <w:rsid w:val="0019634E"/>
    <w:rsid w:val="00196A74"/>
    <w:rsid w:val="001A19BA"/>
    <w:rsid w:val="001A3489"/>
    <w:rsid w:val="001A38B5"/>
    <w:rsid w:val="001A4AC3"/>
    <w:rsid w:val="001A5DC6"/>
    <w:rsid w:val="001A6D50"/>
    <w:rsid w:val="001A7E57"/>
    <w:rsid w:val="001B01AF"/>
    <w:rsid w:val="001B1AD6"/>
    <w:rsid w:val="001B4A49"/>
    <w:rsid w:val="001B4BA0"/>
    <w:rsid w:val="001B6E8B"/>
    <w:rsid w:val="001C02F1"/>
    <w:rsid w:val="001C0CF9"/>
    <w:rsid w:val="001C0D83"/>
    <w:rsid w:val="001C1196"/>
    <w:rsid w:val="001C188A"/>
    <w:rsid w:val="001C195F"/>
    <w:rsid w:val="001C1994"/>
    <w:rsid w:val="001C2248"/>
    <w:rsid w:val="001C266B"/>
    <w:rsid w:val="001C276A"/>
    <w:rsid w:val="001C2CCD"/>
    <w:rsid w:val="001C32EA"/>
    <w:rsid w:val="001C4494"/>
    <w:rsid w:val="001C5373"/>
    <w:rsid w:val="001C6039"/>
    <w:rsid w:val="001C67CE"/>
    <w:rsid w:val="001D0AB5"/>
    <w:rsid w:val="001D1E28"/>
    <w:rsid w:val="001D277A"/>
    <w:rsid w:val="001D28E4"/>
    <w:rsid w:val="001D622F"/>
    <w:rsid w:val="001D71B9"/>
    <w:rsid w:val="001E09B5"/>
    <w:rsid w:val="001E0B7F"/>
    <w:rsid w:val="001E23D9"/>
    <w:rsid w:val="001E2BC7"/>
    <w:rsid w:val="001E406F"/>
    <w:rsid w:val="001E439C"/>
    <w:rsid w:val="001E6682"/>
    <w:rsid w:val="001E72FB"/>
    <w:rsid w:val="001F04B2"/>
    <w:rsid w:val="001F0F2F"/>
    <w:rsid w:val="001F1524"/>
    <w:rsid w:val="001F2967"/>
    <w:rsid w:val="001F3CFF"/>
    <w:rsid w:val="001F41FE"/>
    <w:rsid w:val="001F53CF"/>
    <w:rsid w:val="001F58ED"/>
    <w:rsid w:val="001F6338"/>
    <w:rsid w:val="001F67C4"/>
    <w:rsid w:val="001F67D8"/>
    <w:rsid w:val="00200669"/>
    <w:rsid w:val="00200A85"/>
    <w:rsid w:val="00201698"/>
    <w:rsid w:val="00201AC2"/>
    <w:rsid w:val="00202DFD"/>
    <w:rsid w:val="00204280"/>
    <w:rsid w:val="00205030"/>
    <w:rsid w:val="002079FB"/>
    <w:rsid w:val="00210AAB"/>
    <w:rsid w:val="00210D7A"/>
    <w:rsid w:val="002128DE"/>
    <w:rsid w:val="002129DE"/>
    <w:rsid w:val="002132C4"/>
    <w:rsid w:val="002135C6"/>
    <w:rsid w:val="00214ED3"/>
    <w:rsid w:val="00215201"/>
    <w:rsid w:val="0021767B"/>
    <w:rsid w:val="002177A4"/>
    <w:rsid w:val="002200E6"/>
    <w:rsid w:val="00221AE8"/>
    <w:rsid w:val="002227AF"/>
    <w:rsid w:val="002229A9"/>
    <w:rsid w:val="00223413"/>
    <w:rsid w:val="0022378B"/>
    <w:rsid w:val="00223AEB"/>
    <w:rsid w:val="00223D3E"/>
    <w:rsid w:val="00224F07"/>
    <w:rsid w:val="002252C9"/>
    <w:rsid w:val="002257D4"/>
    <w:rsid w:val="00227FBF"/>
    <w:rsid w:val="00230339"/>
    <w:rsid w:val="00230988"/>
    <w:rsid w:val="00230C65"/>
    <w:rsid w:val="00232575"/>
    <w:rsid w:val="00232C83"/>
    <w:rsid w:val="00236001"/>
    <w:rsid w:val="002361A6"/>
    <w:rsid w:val="00237556"/>
    <w:rsid w:val="00237AEE"/>
    <w:rsid w:val="002414B3"/>
    <w:rsid w:val="00241843"/>
    <w:rsid w:val="002425D9"/>
    <w:rsid w:val="002432F3"/>
    <w:rsid w:val="002436A6"/>
    <w:rsid w:val="00243ACD"/>
    <w:rsid w:val="002450AA"/>
    <w:rsid w:val="00245718"/>
    <w:rsid w:val="00247637"/>
    <w:rsid w:val="00247C15"/>
    <w:rsid w:val="002504D1"/>
    <w:rsid w:val="00251727"/>
    <w:rsid w:val="00251E1F"/>
    <w:rsid w:val="002527BB"/>
    <w:rsid w:val="00253022"/>
    <w:rsid w:val="00253C6C"/>
    <w:rsid w:val="00255A58"/>
    <w:rsid w:val="00256052"/>
    <w:rsid w:val="002573B4"/>
    <w:rsid w:val="00257571"/>
    <w:rsid w:val="002604B6"/>
    <w:rsid w:val="002604CC"/>
    <w:rsid w:val="002638F4"/>
    <w:rsid w:val="00263ED0"/>
    <w:rsid w:val="0026499B"/>
    <w:rsid w:val="00264DE4"/>
    <w:rsid w:val="00265A4A"/>
    <w:rsid w:val="0026683A"/>
    <w:rsid w:val="00270924"/>
    <w:rsid w:val="002709E4"/>
    <w:rsid w:val="00270D1F"/>
    <w:rsid w:val="00271406"/>
    <w:rsid w:val="00271D39"/>
    <w:rsid w:val="00273D5F"/>
    <w:rsid w:val="00274F84"/>
    <w:rsid w:val="00275745"/>
    <w:rsid w:val="00275B22"/>
    <w:rsid w:val="00275B89"/>
    <w:rsid w:val="00277250"/>
    <w:rsid w:val="002774A6"/>
    <w:rsid w:val="00280FC6"/>
    <w:rsid w:val="00281CC0"/>
    <w:rsid w:val="00281EC7"/>
    <w:rsid w:val="002821E3"/>
    <w:rsid w:val="00286460"/>
    <w:rsid w:val="00286856"/>
    <w:rsid w:val="00286B1E"/>
    <w:rsid w:val="00293C17"/>
    <w:rsid w:val="00294270"/>
    <w:rsid w:val="002946A8"/>
    <w:rsid w:val="002948E8"/>
    <w:rsid w:val="00294A75"/>
    <w:rsid w:val="002953B2"/>
    <w:rsid w:val="002961F1"/>
    <w:rsid w:val="00296E37"/>
    <w:rsid w:val="002971B0"/>
    <w:rsid w:val="0029782C"/>
    <w:rsid w:val="002A096C"/>
    <w:rsid w:val="002A299C"/>
    <w:rsid w:val="002A381E"/>
    <w:rsid w:val="002A3C13"/>
    <w:rsid w:val="002A5080"/>
    <w:rsid w:val="002A6643"/>
    <w:rsid w:val="002A7BAA"/>
    <w:rsid w:val="002A7D2A"/>
    <w:rsid w:val="002B0753"/>
    <w:rsid w:val="002B1386"/>
    <w:rsid w:val="002B15AB"/>
    <w:rsid w:val="002B310A"/>
    <w:rsid w:val="002B373B"/>
    <w:rsid w:val="002B5CA4"/>
    <w:rsid w:val="002B5EC3"/>
    <w:rsid w:val="002B67EB"/>
    <w:rsid w:val="002B6856"/>
    <w:rsid w:val="002B6B47"/>
    <w:rsid w:val="002B6B63"/>
    <w:rsid w:val="002B6F07"/>
    <w:rsid w:val="002B707A"/>
    <w:rsid w:val="002B708B"/>
    <w:rsid w:val="002C054F"/>
    <w:rsid w:val="002C2D61"/>
    <w:rsid w:val="002C2E0D"/>
    <w:rsid w:val="002C3B7F"/>
    <w:rsid w:val="002C498A"/>
    <w:rsid w:val="002C548E"/>
    <w:rsid w:val="002C59E4"/>
    <w:rsid w:val="002C75DB"/>
    <w:rsid w:val="002D30F7"/>
    <w:rsid w:val="002D59D7"/>
    <w:rsid w:val="002E01C1"/>
    <w:rsid w:val="002E0CB1"/>
    <w:rsid w:val="002E0F1D"/>
    <w:rsid w:val="002E16B1"/>
    <w:rsid w:val="002E2CE4"/>
    <w:rsid w:val="002E38F9"/>
    <w:rsid w:val="002E3DEF"/>
    <w:rsid w:val="002E57E2"/>
    <w:rsid w:val="002E7026"/>
    <w:rsid w:val="002F034E"/>
    <w:rsid w:val="002F1214"/>
    <w:rsid w:val="002F46A6"/>
    <w:rsid w:val="002F5D29"/>
    <w:rsid w:val="002F693E"/>
    <w:rsid w:val="00301F45"/>
    <w:rsid w:val="00302222"/>
    <w:rsid w:val="00302BE9"/>
    <w:rsid w:val="003040B8"/>
    <w:rsid w:val="0030482F"/>
    <w:rsid w:val="00305EFC"/>
    <w:rsid w:val="003077A6"/>
    <w:rsid w:val="0030795F"/>
    <w:rsid w:val="00311321"/>
    <w:rsid w:val="00311C66"/>
    <w:rsid w:val="003126C8"/>
    <w:rsid w:val="00312CEA"/>
    <w:rsid w:val="003131DA"/>
    <w:rsid w:val="00313A05"/>
    <w:rsid w:val="00314630"/>
    <w:rsid w:val="00317DE8"/>
    <w:rsid w:val="003218C4"/>
    <w:rsid w:val="003229C1"/>
    <w:rsid w:val="0032420B"/>
    <w:rsid w:val="00325EF6"/>
    <w:rsid w:val="00327788"/>
    <w:rsid w:val="003278DD"/>
    <w:rsid w:val="003279EB"/>
    <w:rsid w:val="00327B34"/>
    <w:rsid w:val="00330839"/>
    <w:rsid w:val="003311C9"/>
    <w:rsid w:val="003316DB"/>
    <w:rsid w:val="0033184F"/>
    <w:rsid w:val="00332AB9"/>
    <w:rsid w:val="00333DDB"/>
    <w:rsid w:val="003351C6"/>
    <w:rsid w:val="003353C7"/>
    <w:rsid w:val="00336728"/>
    <w:rsid w:val="00337100"/>
    <w:rsid w:val="003379E0"/>
    <w:rsid w:val="00337C6F"/>
    <w:rsid w:val="00340B77"/>
    <w:rsid w:val="0034455D"/>
    <w:rsid w:val="003465AE"/>
    <w:rsid w:val="00346E65"/>
    <w:rsid w:val="00346EC7"/>
    <w:rsid w:val="003476E6"/>
    <w:rsid w:val="00350566"/>
    <w:rsid w:val="003509D6"/>
    <w:rsid w:val="003521B9"/>
    <w:rsid w:val="003526B6"/>
    <w:rsid w:val="003533D7"/>
    <w:rsid w:val="003539F2"/>
    <w:rsid w:val="003539FD"/>
    <w:rsid w:val="0035405C"/>
    <w:rsid w:val="0035479B"/>
    <w:rsid w:val="00354CB6"/>
    <w:rsid w:val="00355BEF"/>
    <w:rsid w:val="00355EF1"/>
    <w:rsid w:val="00356941"/>
    <w:rsid w:val="00356EA4"/>
    <w:rsid w:val="0035736A"/>
    <w:rsid w:val="003602B1"/>
    <w:rsid w:val="00360400"/>
    <w:rsid w:val="00361535"/>
    <w:rsid w:val="00361A24"/>
    <w:rsid w:val="0036575C"/>
    <w:rsid w:val="00365C14"/>
    <w:rsid w:val="00366779"/>
    <w:rsid w:val="003669B0"/>
    <w:rsid w:val="00370673"/>
    <w:rsid w:val="00371487"/>
    <w:rsid w:val="003725E9"/>
    <w:rsid w:val="003728AC"/>
    <w:rsid w:val="00372A95"/>
    <w:rsid w:val="00373A4F"/>
    <w:rsid w:val="0037510E"/>
    <w:rsid w:val="003755CB"/>
    <w:rsid w:val="00375899"/>
    <w:rsid w:val="00375951"/>
    <w:rsid w:val="00375EA8"/>
    <w:rsid w:val="00375EF4"/>
    <w:rsid w:val="003801E2"/>
    <w:rsid w:val="00380498"/>
    <w:rsid w:val="00381905"/>
    <w:rsid w:val="00384B50"/>
    <w:rsid w:val="00385565"/>
    <w:rsid w:val="0038564E"/>
    <w:rsid w:val="00386CB4"/>
    <w:rsid w:val="003874A8"/>
    <w:rsid w:val="00390A87"/>
    <w:rsid w:val="00391C11"/>
    <w:rsid w:val="003924EE"/>
    <w:rsid w:val="00394415"/>
    <w:rsid w:val="0039575C"/>
    <w:rsid w:val="00395E97"/>
    <w:rsid w:val="003A00EA"/>
    <w:rsid w:val="003A1C2E"/>
    <w:rsid w:val="003A1EFF"/>
    <w:rsid w:val="003A20AF"/>
    <w:rsid w:val="003A317A"/>
    <w:rsid w:val="003A3548"/>
    <w:rsid w:val="003A36DA"/>
    <w:rsid w:val="003A652F"/>
    <w:rsid w:val="003A79BD"/>
    <w:rsid w:val="003B05D5"/>
    <w:rsid w:val="003B07A4"/>
    <w:rsid w:val="003B10F6"/>
    <w:rsid w:val="003B4D33"/>
    <w:rsid w:val="003B4F40"/>
    <w:rsid w:val="003B5820"/>
    <w:rsid w:val="003B5C58"/>
    <w:rsid w:val="003B7D2F"/>
    <w:rsid w:val="003B7D88"/>
    <w:rsid w:val="003C0380"/>
    <w:rsid w:val="003C0514"/>
    <w:rsid w:val="003C123C"/>
    <w:rsid w:val="003C3640"/>
    <w:rsid w:val="003C46BF"/>
    <w:rsid w:val="003C580E"/>
    <w:rsid w:val="003C6C50"/>
    <w:rsid w:val="003C71B5"/>
    <w:rsid w:val="003C73B2"/>
    <w:rsid w:val="003C75C0"/>
    <w:rsid w:val="003D0712"/>
    <w:rsid w:val="003D15DE"/>
    <w:rsid w:val="003D2697"/>
    <w:rsid w:val="003D3D7C"/>
    <w:rsid w:val="003D720B"/>
    <w:rsid w:val="003D7BF9"/>
    <w:rsid w:val="003E0FA6"/>
    <w:rsid w:val="003E1F4C"/>
    <w:rsid w:val="003E1F61"/>
    <w:rsid w:val="003E1FCF"/>
    <w:rsid w:val="003E2388"/>
    <w:rsid w:val="003E239D"/>
    <w:rsid w:val="003E29B0"/>
    <w:rsid w:val="003E4710"/>
    <w:rsid w:val="003E483F"/>
    <w:rsid w:val="003E4E33"/>
    <w:rsid w:val="003E68F7"/>
    <w:rsid w:val="003F029C"/>
    <w:rsid w:val="003F12A6"/>
    <w:rsid w:val="003F37CB"/>
    <w:rsid w:val="003F4CEB"/>
    <w:rsid w:val="003F625E"/>
    <w:rsid w:val="003F68C3"/>
    <w:rsid w:val="0040092A"/>
    <w:rsid w:val="00401920"/>
    <w:rsid w:val="00402A7A"/>
    <w:rsid w:val="00403904"/>
    <w:rsid w:val="00404332"/>
    <w:rsid w:val="00404912"/>
    <w:rsid w:val="004056A1"/>
    <w:rsid w:val="004074C9"/>
    <w:rsid w:val="00407C5D"/>
    <w:rsid w:val="004101F5"/>
    <w:rsid w:val="00410364"/>
    <w:rsid w:val="004110BD"/>
    <w:rsid w:val="004114F6"/>
    <w:rsid w:val="00412640"/>
    <w:rsid w:val="00412798"/>
    <w:rsid w:val="00413115"/>
    <w:rsid w:val="00414465"/>
    <w:rsid w:val="00414A53"/>
    <w:rsid w:val="004151D5"/>
    <w:rsid w:val="00415E22"/>
    <w:rsid w:val="0041634E"/>
    <w:rsid w:val="00416363"/>
    <w:rsid w:val="00417591"/>
    <w:rsid w:val="00422883"/>
    <w:rsid w:val="00422E8E"/>
    <w:rsid w:val="0042431F"/>
    <w:rsid w:val="00424781"/>
    <w:rsid w:val="00425B03"/>
    <w:rsid w:val="004262BA"/>
    <w:rsid w:val="004306F5"/>
    <w:rsid w:val="00430723"/>
    <w:rsid w:val="00433514"/>
    <w:rsid w:val="00433F5A"/>
    <w:rsid w:val="00433FCD"/>
    <w:rsid w:val="00435E16"/>
    <w:rsid w:val="00436A42"/>
    <w:rsid w:val="00437DA8"/>
    <w:rsid w:val="00440B3C"/>
    <w:rsid w:val="00442075"/>
    <w:rsid w:val="004430D7"/>
    <w:rsid w:val="00443C77"/>
    <w:rsid w:val="00444D40"/>
    <w:rsid w:val="00444E23"/>
    <w:rsid w:val="00444FD6"/>
    <w:rsid w:val="00446AF5"/>
    <w:rsid w:val="004474DE"/>
    <w:rsid w:val="00453198"/>
    <w:rsid w:val="00457641"/>
    <w:rsid w:val="00457DF5"/>
    <w:rsid w:val="0046175E"/>
    <w:rsid w:val="00461E9E"/>
    <w:rsid w:val="004621EE"/>
    <w:rsid w:val="00462513"/>
    <w:rsid w:val="004632F3"/>
    <w:rsid w:val="004648B6"/>
    <w:rsid w:val="00464CB4"/>
    <w:rsid w:val="00464E01"/>
    <w:rsid w:val="004655CF"/>
    <w:rsid w:val="004664C9"/>
    <w:rsid w:val="004669CA"/>
    <w:rsid w:val="004708D8"/>
    <w:rsid w:val="00471E14"/>
    <w:rsid w:val="00471E70"/>
    <w:rsid w:val="00473BD3"/>
    <w:rsid w:val="00473E47"/>
    <w:rsid w:val="00476AB6"/>
    <w:rsid w:val="00476F4C"/>
    <w:rsid w:val="00477440"/>
    <w:rsid w:val="004807EE"/>
    <w:rsid w:val="004914D1"/>
    <w:rsid w:val="00491D73"/>
    <w:rsid w:val="0049257F"/>
    <w:rsid w:val="00493724"/>
    <w:rsid w:val="00493FDA"/>
    <w:rsid w:val="00496370"/>
    <w:rsid w:val="004A2228"/>
    <w:rsid w:val="004A4B27"/>
    <w:rsid w:val="004A6AA1"/>
    <w:rsid w:val="004A7129"/>
    <w:rsid w:val="004A72C2"/>
    <w:rsid w:val="004A7BE6"/>
    <w:rsid w:val="004B01F9"/>
    <w:rsid w:val="004B0AA8"/>
    <w:rsid w:val="004B229D"/>
    <w:rsid w:val="004B3321"/>
    <w:rsid w:val="004B5A27"/>
    <w:rsid w:val="004B66EC"/>
    <w:rsid w:val="004C1879"/>
    <w:rsid w:val="004C3E5A"/>
    <w:rsid w:val="004C3EFB"/>
    <w:rsid w:val="004C4C23"/>
    <w:rsid w:val="004C6521"/>
    <w:rsid w:val="004C7ECA"/>
    <w:rsid w:val="004D00F6"/>
    <w:rsid w:val="004D0737"/>
    <w:rsid w:val="004D0A12"/>
    <w:rsid w:val="004D1B92"/>
    <w:rsid w:val="004D1DEC"/>
    <w:rsid w:val="004D2EA5"/>
    <w:rsid w:val="004D30C6"/>
    <w:rsid w:val="004D55E2"/>
    <w:rsid w:val="004D568C"/>
    <w:rsid w:val="004D59E9"/>
    <w:rsid w:val="004D5E2E"/>
    <w:rsid w:val="004E0BDC"/>
    <w:rsid w:val="004E146C"/>
    <w:rsid w:val="004E1D3F"/>
    <w:rsid w:val="004E20B5"/>
    <w:rsid w:val="004E2D4D"/>
    <w:rsid w:val="004E2FC9"/>
    <w:rsid w:val="004E41A8"/>
    <w:rsid w:val="004E495F"/>
    <w:rsid w:val="004E5F46"/>
    <w:rsid w:val="004E6750"/>
    <w:rsid w:val="004E6805"/>
    <w:rsid w:val="004E6FD5"/>
    <w:rsid w:val="004E7EE1"/>
    <w:rsid w:val="004F02D2"/>
    <w:rsid w:val="004F05FD"/>
    <w:rsid w:val="004F114F"/>
    <w:rsid w:val="004F11C0"/>
    <w:rsid w:val="004F13DA"/>
    <w:rsid w:val="004F2151"/>
    <w:rsid w:val="004F23C9"/>
    <w:rsid w:val="004F31E8"/>
    <w:rsid w:val="004F35DF"/>
    <w:rsid w:val="004F3814"/>
    <w:rsid w:val="004F390D"/>
    <w:rsid w:val="004F4A04"/>
    <w:rsid w:val="004F4B9A"/>
    <w:rsid w:val="00501312"/>
    <w:rsid w:val="0050449A"/>
    <w:rsid w:val="00506C8A"/>
    <w:rsid w:val="00506DA6"/>
    <w:rsid w:val="005073B5"/>
    <w:rsid w:val="005076F4"/>
    <w:rsid w:val="005104AE"/>
    <w:rsid w:val="00510E53"/>
    <w:rsid w:val="00510F0E"/>
    <w:rsid w:val="00512D82"/>
    <w:rsid w:val="00512FD0"/>
    <w:rsid w:val="00513F74"/>
    <w:rsid w:val="005165EA"/>
    <w:rsid w:val="00517175"/>
    <w:rsid w:val="00520F55"/>
    <w:rsid w:val="0052181A"/>
    <w:rsid w:val="00522691"/>
    <w:rsid w:val="00523064"/>
    <w:rsid w:val="0052366D"/>
    <w:rsid w:val="0052391E"/>
    <w:rsid w:val="00524053"/>
    <w:rsid w:val="005244BB"/>
    <w:rsid w:val="005273F4"/>
    <w:rsid w:val="0053007B"/>
    <w:rsid w:val="0053100E"/>
    <w:rsid w:val="00531390"/>
    <w:rsid w:val="00531786"/>
    <w:rsid w:val="00531C4C"/>
    <w:rsid w:val="00531EA1"/>
    <w:rsid w:val="00533915"/>
    <w:rsid w:val="00534697"/>
    <w:rsid w:val="00534A15"/>
    <w:rsid w:val="00534EC0"/>
    <w:rsid w:val="00541980"/>
    <w:rsid w:val="00544D53"/>
    <w:rsid w:val="005455E9"/>
    <w:rsid w:val="00545C1B"/>
    <w:rsid w:val="00553634"/>
    <w:rsid w:val="00553956"/>
    <w:rsid w:val="00554F97"/>
    <w:rsid w:val="00555765"/>
    <w:rsid w:val="00555E82"/>
    <w:rsid w:val="00557DBB"/>
    <w:rsid w:val="00563091"/>
    <w:rsid w:val="005652F3"/>
    <w:rsid w:val="00566794"/>
    <w:rsid w:val="00566F15"/>
    <w:rsid w:val="00570312"/>
    <w:rsid w:val="00570ADB"/>
    <w:rsid w:val="00570D50"/>
    <w:rsid w:val="005732DF"/>
    <w:rsid w:val="0057370D"/>
    <w:rsid w:val="005744A0"/>
    <w:rsid w:val="00574AF0"/>
    <w:rsid w:val="005753A3"/>
    <w:rsid w:val="00576451"/>
    <w:rsid w:val="005767A4"/>
    <w:rsid w:val="00577577"/>
    <w:rsid w:val="005779EA"/>
    <w:rsid w:val="0058029B"/>
    <w:rsid w:val="00580971"/>
    <w:rsid w:val="0058219F"/>
    <w:rsid w:val="005827C2"/>
    <w:rsid w:val="005829AE"/>
    <w:rsid w:val="0058378A"/>
    <w:rsid w:val="00584679"/>
    <w:rsid w:val="00586069"/>
    <w:rsid w:val="00586DD9"/>
    <w:rsid w:val="00592080"/>
    <w:rsid w:val="00592EDD"/>
    <w:rsid w:val="00593136"/>
    <w:rsid w:val="00593CBC"/>
    <w:rsid w:val="00594AEA"/>
    <w:rsid w:val="0059688D"/>
    <w:rsid w:val="00597784"/>
    <w:rsid w:val="005A0CBF"/>
    <w:rsid w:val="005A2E9E"/>
    <w:rsid w:val="005A3738"/>
    <w:rsid w:val="005A3C01"/>
    <w:rsid w:val="005A3E2D"/>
    <w:rsid w:val="005A42CC"/>
    <w:rsid w:val="005A5038"/>
    <w:rsid w:val="005A5CCE"/>
    <w:rsid w:val="005A641B"/>
    <w:rsid w:val="005B0BD0"/>
    <w:rsid w:val="005B0D9D"/>
    <w:rsid w:val="005B2D01"/>
    <w:rsid w:val="005B3E1E"/>
    <w:rsid w:val="005B46DB"/>
    <w:rsid w:val="005B755A"/>
    <w:rsid w:val="005C0A45"/>
    <w:rsid w:val="005C2223"/>
    <w:rsid w:val="005C2C68"/>
    <w:rsid w:val="005C338C"/>
    <w:rsid w:val="005C3633"/>
    <w:rsid w:val="005C48BD"/>
    <w:rsid w:val="005C58F6"/>
    <w:rsid w:val="005C6B70"/>
    <w:rsid w:val="005D2D8D"/>
    <w:rsid w:val="005D2F1B"/>
    <w:rsid w:val="005D4429"/>
    <w:rsid w:val="005D4B29"/>
    <w:rsid w:val="005D502D"/>
    <w:rsid w:val="005D5FC1"/>
    <w:rsid w:val="005D634D"/>
    <w:rsid w:val="005D7706"/>
    <w:rsid w:val="005D7AB2"/>
    <w:rsid w:val="005E10B0"/>
    <w:rsid w:val="005E4FD7"/>
    <w:rsid w:val="005E57B4"/>
    <w:rsid w:val="005E6566"/>
    <w:rsid w:val="005E689A"/>
    <w:rsid w:val="005F0F43"/>
    <w:rsid w:val="005F236E"/>
    <w:rsid w:val="005F2479"/>
    <w:rsid w:val="005F4D0E"/>
    <w:rsid w:val="005F6639"/>
    <w:rsid w:val="005F6673"/>
    <w:rsid w:val="005F6B5B"/>
    <w:rsid w:val="005F7AA6"/>
    <w:rsid w:val="0060047A"/>
    <w:rsid w:val="00600910"/>
    <w:rsid w:val="006048C6"/>
    <w:rsid w:val="00604BCE"/>
    <w:rsid w:val="0060619A"/>
    <w:rsid w:val="0060715D"/>
    <w:rsid w:val="00607204"/>
    <w:rsid w:val="00607744"/>
    <w:rsid w:val="00610502"/>
    <w:rsid w:val="00610AC7"/>
    <w:rsid w:val="00611E44"/>
    <w:rsid w:val="006121A8"/>
    <w:rsid w:val="00612D42"/>
    <w:rsid w:val="00612DF0"/>
    <w:rsid w:val="006133B5"/>
    <w:rsid w:val="00613A0D"/>
    <w:rsid w:val="006164C2"/>
    <w:rsid w:val="006165D4"/>
    <w:rsid w:val="00617FAE"/>
    <w:rsid w:val="00620E4B"/>
    <w:rsid w:val="00621430"/>
    <w:rsid w:val="00622541"/>
    <w:rsid w:val="00623A6C"/>
    <w:rsid w:val="00624E39"/>
    <w:rsid w:val="00625D81"/>
    <w:rsid w:val="0062626E"/>
    <w:rsid w:val="00627547"/>
    <w:rsid w:val="006321F2"/>
    <w:rsid w:val="00632897"/>
    <w:rsid w:val="006367CD"/>
    <w:rsid w:val="00636E9B"/>
    <w:rsid w:val="00637086"/>
    <w:rsid w:val="006378CC"/>
    <w:rsid w:val="00641100"/>
    <w:rsid w:val="0064136F"/>
    <w:rsid w:val="0064287A"/>
    <w:rsid w:val="006445B3"/>
    <w:rsid w:val="0064463E"/>
    <w:rsid w:val="00644DAA"/>
    <w:rsid w:val="0064592E"/>
    <w:rsid w:val="00645F9C"/>
    <w:rsid w:val="00646584"/>
    <w:rsid w:val="006465AC"/>
    <w:rsid w:val="006471EA"/>
    <w:rsid w:val="0064759F"/>
    <w:rsid w:val="006475CB"/>
    <w:rsid w:val="00647E09"/>
    <w:rsid w:val="006500B4"/>
    <w:rsid w:val="00650EFB"/>
    <w:rsid w:val="00652E8F"/>
    <w:rsid w:val="0065324F"/>
    <w:rsid w:val="0065427E"/>
    <w:rsid w:val="00657142"/>
    <w:rsid w:val="00657DC8"/>
    <w:rsid w:val="00661599"/>
    <w:rsid w:val="00663149"/>
    <w:rsid w:val="00663897"/>
    <w:rsid w:val="00663BE9"/>
    <w:rsid w:val="00664B94"/>
    <w:rsid w:val="00665A7B"/>
    <w:rsid w:val="0066634E"/>
    <w:rsid w:val="00667E29"/>
    <w:rsid w:val="006703A2"/>
    <w:rsid w:val="00671B0D"/>
    <w:rsid w:val="006726F8"/>
    <w:rsid w:val="006727B0"/>
    <w:rsid w:val="00672C1C"/>
    <w:rsid w:val="00673622"/>
    <w:rsid w:val="0067391D"/>
    <w:rsid w:val="006759B1"/>
    <w:rsid w:val="00675A24"/>
    <w:rsid w:val="00676894"/>
    <w:rsid w:val="006772D1"/>
    <w:rsid w:val="0068084F"/>
    <w:rsid w:val="006827F8"/>
    <w:rsid w:val="00682FE6"/>
    <w:rsid w:val="006833B0"/>
    <w:rsid w:val="00683D09"/>
    <w:rsid w:val="00684CED"/>
    <w:rsid w:val="00685A4B"/>
    <w:rsid w:val="00686DC9"/>
    <w:rsid w:val="0068715C"/>
    <w:rsid w:val="00687AAA"/>
    <w:rsid w:val="00687DC3"/>
    <w:rsid w:val="00690CB9"/>
    <w:rsid w:val="00691BA6"/>
    <w:rsid w:val="006924B7"/>
    <w:rsid w:val="00693F01"/>
    <w:rsid w:val="006964A5"/>
    <w:rsid w:val="00696F04"/>
    <w:rsid w:val="006A0168"/>
    <w:rsid w:val="006A089D"/>
    <w:rsid w:val="006A0BA2"/>
    <w:rsid w:val="006A1E17"/>
    <w:rsid w:val="006A2CAC"/>
    <w:rsid w:val="006A3248"/>
    <w:rsid w:val="006A4A6A"/>
    <w:rsid w:val="006A4E46"/>
    <w:rsid w:val="006A6B1C"/>
    <w:rsid w:val="006A7E64"/>
    <w:rsid w:val="006B1774"/>
    <w:rsid w:val="006B4203"/>
    <w:rsid w:val="006B492B"/>
    <w:rsid w:val="006B4985"/>
    <w:rsid w:val="006B55EE"/>
    <w:rsid w:val="006B6FD1"/>
    <w:rsid w:val="006B7937"/>
    <w:rsid w:val="006C1077"/>
    <w:rsid w:val="006C1F10"/>
    <w:rsid w:val="006C2382"/>
    <w:rsid w:val="006C3AB9"/>
    <w:rsid w:val="006C4326"/>
    <w:rsid w:val="006C46F4"/>
    <w:rsid w:val="006C483E"/>
    <w:rsid w:val="006C6594"/>
    <w:rsid w:val="006C66BB"/>
    <w:rsid w:val="006C696E"/>
    <w:rsid w:val="006C6ADB"/>
    <w:rsid w:val="006D029E"/>
    <w:rsid w:val="006D0D7D"/>
    <w:rsid w:val="006D1970"/>
    <w:rsid w:val="006D5703"/>
    <w:rsid w:val="006D5D2D"/>
    <w:rsid w:val="006D66ED"/>
    <w:rsid w:val="006D756E"/>
    <w:rsid w:val="006E134E"/>
    <w:rsid w:val="006E1894"/>
    <w:rsid w:val="006E7246"/>
    <w:rsid w:val="006F0D65"/>
    <w:rsid w:val="006F20A0"/>
    <w:rsid w:val="006F2C16"/>
    <w:rsid w:val="006F2CA2"/>
    <w:rsid w:val="006F30F4"/>
    <w:rsid w:val="006F33B4"/>
    <w:rsid w:val="006F4354"/>
    <w:rsid w:val="006F4AD4"/>
    <w:rsid w:val="006F580D"/>
    <w:rsid w:val="0070210A"/>
    <w:rsid w:val="00703292"/>
    <w:rsid w:val="0070369C"/>
    <w:rsid w:val="0070396F"/>
    <w:rsid w:val="00707905"/>
    <w:rsid w:val="0071092A"/>
    <w:rsid w:val="00711A70"/>
    <w:rsid w:val="0071220C"/>
    <w:rsid w:val="007133DB"/>
    <w:rsid w:val="007142F5"/>
    <w:rsid w:val="00714F79"/>
    <w:rsid w:val="00716867"/>
    <w:rsid w:val="00717888"/>
    <w:rsid w:val="00717D1E"/>
    <w:rsid w:val="0072052D"/>
    <w:rsid w:val="007205AA"/>
    <w:rsid w:val="007205D5"/>
    <w:rsid w:val="00720CC7"/>
    <w:rsid w:val="007213B9"/>
    <w:rsid w:val="00724023"/>
    <w:rsid w:val="00724E41"/>
    <w:rsid w:val="007260B7"/>
    <w:rsid w:val="00727959"/>
    <w:rsid w:val="00730A4D"/>
    <w:rsid w:val="0073164B"/>
    <w:rsid w:val="00732327"/>
    <w:rsid w:val="00732F02"/>
    <w:rsid w:val="0073369F"/>
    <w:rsid w:val="00734251"/>
    <w:rsid w:val="00734788"/>
    <w:rsid w:val="007352A2"/>
    <w:rsid w:val="0074044B"/>
    <w:rsid w:val="00741075"/>
    <w:rsid w:val="007420DF"/>
    <w:rsid w:val="00742189"/>
    <w:rsid w:val="00742D16"/>
    <w:rsid w:val="00742E20"/>
    <w:rsid w:val="007464FB"/>
    <w:rsid w:val="00746F49"/>
    <w:rsid w:val="00751320"/>
    <w:rsid w:val="007516EC"/>
    <w:rsid w:val="0075178B"/>
    <w:rsid w:val="007554AB"/>
    <w:rsid w:val="007565EC"/>
    <w:rsid w:val="00756795"/>
    <w:rsid w:val="0075716D"/>
    <w:rsid w:val="00761170"/>
    <w:rsid w:val="00761274"/>
    <w:rsid w:val="00761E1D"/>
    <w:rsid w:val="00761F26"/>
    <w:rsid w:val="00762A4A"/>
    <w:rsid w:val="00762DDB"/>
    <w:rsid w:val="007638CB"/>
    <w:rsid w:val="007649C8"/>
    <w:rsid w:val="007666B2"/>
    <w:rsid w:val="007674F6"/>
    <w:rsid w:val="00767D57"/>
    <w:rsid w:val="00773638"/>
    <w:rsid w:val="00773A9F"/>
    <w:rsid w:val="00774EE4"/>
    <w:rsid w:val="0077541E"/>
    <w:rsid w:val="007757CC"/>
    <w:rsid w:val="00775AA5"/>
    <w:rsid w:val="00777E14"/>
    <w:rsid w:val="0078023E"/>
    <w:rsid w:val="007808C9"/>
    <w:rsid w:val="0078389B"/>
    <w:rsid w:val="0078641D"/>
    <w:rsid w:val="00791D64"/>
    <w:rsid w:val="00791E6D"/>
    <w:rsid w:val="00792461"/>
    <w:rsid w:val="007928CB"/>
    <w:rsid w:val="007937EC"/>
    <w:rsid w:val="00793BDF"/>
    <w:rsid w:val="007956B3"/>
    <w:rsid w:val="0079570C"/>
    <w:rsid w:val="00795EC8"/>
    <w:rsid w:val="00796A04"/>
    <w:rsid w:val="00796D52"/>
    <w:rsid w:val="007A0F44"/>
    <w:rsid w:val="007A12FF"/>
    <w:rsid w:val="007A1E90"/>
    <w:rsid w:val="007A4209"/>
    <w:rsid w:val="007A53B2"/>
    <w:rsid w:val="007A65B4"/>
    <w:rsid w:val="007A69D7"/>
    <w:rsid w:val="007B0D97"/>
    <w:rsid w:val="007B27DB"/>
    <w:rsid w:val="007B2C46"/>
    <w:rsid w:val="007B314E"/>
    <w:rsid w:val="007B330D"/>
    <w:rsid w:val="007B3846"/>
    <w:rsid w:val="007B3C9D"/>
    <w:rsid w:val="007B4285"/>
    <w:rsid w:val="007B430D"/>
    <w:rsid w:val="007B57E1"/>
    <w:rsid w:val="007B585D"/>
    <w:rsid w:val="007B6505"/>
    <w:rsid w:val="007B74C5"/>
    <w:rsid w:val="007B791D"/>
    <w:rsid w:val="007C1087"/>
    <w:rsid w:val="007C1A2A"/>
    <w:rsid w:val="007C54F3"/>
    <w:rsid w:val="007C7429"/>
    <w:rsid w:val="007D05EC"/>
    <w:rsid w:val="007D17C8"/>
    <w:rsid w:val="007D22EE"/>
    <w:rsid w:val="007D2321"/>
    <w:rsid w:val="007D512C"/>
    <w:rsid w:val="007D72E0"/>
    <w:rsid w:val="007D76CF"/>
    <w:rsid w:val="007E0111"/>
    <w:rsid w:val="007E0B3E"/>
    <w:rsid w:val="007E0D70"/>
    <w:rsid w:val="007E241D"/>
    <w:rsid w:val="007E26CF"/>
    <w:rsid w:val="007E33D5"/>
    <w:rsid w:val="007E35EF"/>
    <w:rsid w:val="007E4F87"/>
    <w:rsid w:val="007E7052"/>
    <w:rsid w:val="007E741E"/>
    <w:rsid w:val="007E7467"/>
    <w:rsid w:val="007E77FA"/>
    <w:rsid w:val="007F0FEC"/>
    <w:rsid w:val="007F14A3"/>
    <w:rsid w:val="007F1A6D"/>
    <w:rsid w:val="007F565B"/>
    <w:rsid w:val="008008D0"/>
    <w:rsid w:val="0080235C"/>
    <w:rsid w:val="008023E6"/>
    <w:rsid w:val="00804A93"/>
    <w:rsid w:val="00805FDF"/>
    <w:rsid w:val="008063F1"/>
    <w:rsid w:val="008073C3"/>
    <w:rsid w:val="00810595"/>
    <w:rsid w:val="00810CCC"/>
    <w:rsid w:val="00811709"/>
    <w:rsid w:val="00812E45"/>
    <w:rsid w:val="00813D04"/>
    <w:rsid w:val="00814103"/>
    <w:rsid w:val="0081521C"/>
    <w:rsid w:val="008158FF"/>
    <w:rsid w:val="00815930"/>
    <w:rsid w:val="00815A8E"/>
    <w:rsid w:val="00815F85"/>
    <w:rsid w:val="0081648C"/>
    <w:rsid w:val="008166EF"/>
    <w:rsid w:val="00816A20"/>
    <w:rsid w:val="00824535"/>
    <w:rsid w:val="00825E88"/>
    <w:rsid w:val="00826394"/>
    <w:rsid w:val="008267E1"/>
    <w:rsid w:val="00826E00"/>
    <w:rsid w:val="00827EB5"/>
    <w:rsid w:val="008301A8"/>
    <w:rsid w:val="00831CF7"/>
    <w:rsid w:val="00834134"/>
    <w:rsid w:val="00834358"/>
    <w:rsid w:val="00834519"/>
    <w:rsid w:val="008349D5"/>
    <w:rsid w:val="0083513F"/>
    <w:rsid w:val="00836027"/>
    <w:rsid w:val="008402B2"/>
    <w:rsid w:val="00841455"/>
    <w:rsid w:val="00842D4B"/>
    <w:rsid w:val="0084358F"/>
    <w:rsid w:val="00843B39"/>
    <w:rsid w:val="00845453"/>
    <w:rsid w:val="008470FA"/>
    <w:rsid w:val="00851163"/>
    <w:rsid w:val="00852CA7"/>
    <w:rsid w:val="00853004"/>
    <w:rsid w:val="00855405"/>
    <w:rsid w:val="008558DD"/>
    <w:rsid w:val="00856570"/>
    <w:rsid w:val="00857611"/>
    <w:rsid w:val="008577DE"/>
    <w:rsid w:val="00857DB9"/>
    <w:rsid w:val="00865F56"/>
    <w:rsid w:val="00867279"/>
    <w:rsid w:val="0087064F"/>
    <w:rsid w:val="008722B0"/>
    <w:rsid w:val="00872319"/>
    <w:rsid w:val="00872967"/>
    <w:rsid w:val="008733E3"/>
    <w:rsid w:val="008775E6"/>
    <w:rsid w:val="008804AF"/>
    <w:rsid w:val="00880866"/>
    <w:rsid w:val="008825C5"/>
    <w:rsid w:val="008825D6"/>
    <w:rsid w:val="008827C0"/>
    <w:rsid w:val="008850F7"/>
    <w:rsid w:val="0088725F"/>
    <w:rsid w:val="00893F73"/>
    <w:rsid w:val="00894E1C"/>
    <w:rsid w:val="00895A4D"/>
    <w:rsid w:val="00897471"/>
    <w:rsid w:val="008979DE"/>
    <w:rsid w:val="008A183C"/>
    <w:rsid w:val="008A2647"/>
    <w:rsid w:val="008A2A76"/>
    <w:rsid w:val="008A2E44"/>
    <w:rsid w:val="008A65BC"/>
    <w:rsid w:val="008A6DDA"/>
    <w:rsid w:val="008B66C4"/>
    <w:rsid w:val="008C0B3A"/>
    <w:rsid w:val="008C0D57"/>
    <w:rsid w:val="008C1A49"/>
    <w:rsid w:val="008C2223"/>
    <w:rsid w:val="008C329E"/>
    <w:rsid w:val="008C66B5"/>
    <w:rsid w:val="008C6F64"/>
    <w:rsid w:val="008D144F"/>
    <w:rsid w:val="008D4073"/>
    <w:rsid w:val="008D4D37"/>
    <w:rsid w:val="008D6B76"/>
    <w:rsid w:val="008E0C2C"/>
    <w:rsid w:val="008E2BBF"/>
    <w:rsid w:val="008E3390"/>
    <w:rsid w:val="008E3462"/>
    <w:rsid w:val="008E38A6"/>
    <w:rsid w:val="008E4DD3"/>
    <w:rsid w:val="008E521E"/>
    <w:rsid w:val="008E7B6E"/>
    <w:rsid w:val="008E7C71"/>
    <w:rsid w:val="008F0A5D"/>
    <w:rsid w:val="008F2BFE"/>
    <w:rsid w:val="008F3247"/>
    <w:rsid w:val="008F382D"/>
    <w:rsid w:val="008F3E65"/>
    <w:rsid w:val="008F4EE4"/>
    <w:rsid w:val="00900623"/>
    <w:rsid w:val="00901EF3"/>
    <w:rsid w:val="00902983"/>
    <w:rsid w:val="009032FD"/>
    <w:rsid w:val="00903521"/>
    <w:rsid w:val="00904D86"/>
    <w:rsid w:val="0090511B"/>
    <w:rsid w:val="00905480"/>
    <w:rsid w:val="00905D6E"/>
    <w:rsid w:val="009072B6"/>
    <w:rsid w:val="009101E1"/>
    <w:rsid w:val="0091055D"/>
    <w:rsid w:val="00910698"/>
    <w:rsid w:val="00910F7F"/>
    <w:rsid w:val="009118F4"/>
    <w:rsid w:val="009122BE"/>
    <w:rsid w:val="00913C74"/>
    <w:rsid w:val="00914CE2"/>
    <w:rsid w:val="00914E48"/>
    <w:rsid w:val="0092344F"/>
    <w:rsid w:val="009237BA"/>
    <w:rsid w:val="00931602"/>
    <w:rsid w:val="00931CC0"/>
    <w:rsid w:val="009344CC"/>
    <w:rsid w:val="009366C6"/>
    <w:rsid w:val="00937510"/>
    <w:rsid w:val="00940A14"/>
    <w:rsid w:val="00940CA9"/>
    <w:rsid w:val="00942828"/>
    <w:rsid w:val="00942F41"/>
    <w:rsid w:val="00945EFA"/>
    <w:rsid w:val="00945FB6"/>
    <w:rsid w:val="009469C1"/>
    <w:rsid w:val="00947EAD"/>
    <w:rsid w:val="0095053C"/>
    <w:rsid w:val="00951345"/>
    <w:rsid w:val="00952023"/>
    <w:rsid w:val="009524F3"/>
    <w:rsid w:val="0095264A"/>
    <w:rsid w:val="009527A9"/>
    <w:rsid w:val="00952905"/>
    <w:rsid w:val="00953C30"/>
    <w:rsid w:val="00955113"/>
    <w:rsid w:val="00957D09"/>
    <w:rsid w:val="00960435"/>
    <w:rsid w:val="00960453"/>
    <w:rsid w:val="00961D0B"/>
    <w:rsid w:val="00961FA7"/>
    <w:rsid w:val="0096297D"/>
    <w:rsid w:val="0096379E"/>
    <w:rsid w:val="00966140"/>
    <w:rsid w:val="00967E3A"/>
    <w:rsid w:val="0097312A"/>
    <w:rsid w:val="0097437F"/>
    <w:rsid w:val="00974E3B"/>
    <w:rsid w:val="00975BDC"/>
    <w:rsid w:val="00975D66"/>
    <w:rsid w:val="00976353"/>
    <w:rsid w:val="009779D2"/>
    <w:rsid w:val="00977C28"/>
    <w:rsid w:val="00980F44"/>
    <w:rsid w:val="00982E20"/>
    <w:rsid w:val="0098317F"/>
    <w:rsid w:val="00984AA7"/>
    <w:rsid w:val="00985F58"/>
    <w:rsid w:val="009865B7"/>
    <w:rsid w:val="00986C54"/>
    <w:rsid w:val="0098712F"/>
    <w:rsid w:val="00987646"/>
    <w:rsid w:val="0099005F"/>
    <w:rsid w:val="0099099D"/>
    <w:rsid w:val="00991EEC"/>
    <w:rsid w:val="00992550"/>
    <w:rsid w:val="0099262D"/>
    <w:rsid w:val="009948BE"/>
    <w:rsid w:val="0099572B"/>
    <w:rsid w:val="00996289"/>
    <w:rsid w:val="00996F95"/>
    <w:rsid w:val="009A0F5E"/>
    <w:rsid w:val="009A420F"/>
    <w:rsid w:val="009A4279"/>
    <w:rsid w:val="009B0129"/>
    <w:rsid w:val="009B3B18"/>
    <w:rsid w:val="009B3BF9"/>
    <w:rsid w:val="009B4801"/>
    <w:rsid w:val="009C1BBC"/>
    <w:rsid w:val="009C2147"/>
    <w:rsid w:val="009C2DEF"/>
    <w:rsid w:val="009C526D"/>
    <w:rsid w:val="009C72C2"/>
    <w:rsid w:val="009C77F7"/>
    <w:rsid w:val="009D08C9"/>
    <w:rsid w:val="009D1D4C"/>
    <w:rsid w:val="009D2252"/>
    <w:rsid w:val="009D23C9"/>
    <w:rsid w:val="009D4386"/>
    <w:rsid w:val="009D6397"/>
    <w:rsid w:val="009D65C7"/>
    <w:rsid w:val="009D66C1"/>
    <w:rsid w:val="009E0B99"/>
    <w:rsid w:val="009E1727"/>
    <w:rsid w:val="009E185A"/>
    <w:rsid w:val="009E1D5E"/>
    <w:rsid w:val="009E1F83"/>
    <w:rsid w:val="009E3162"/>
    <w:rsid w:val="009E510C"/>
    <w:rsid w:val="009F01DE"/>
    <w:rsid w:val="009F0B6A"/>
    <w:rsid w:val="009F2770"/>
    <w:rsid w:val="009F3993"/>
    <w:rsid w:val="009F3FE9"/>
    <w:rsid w:val="009F45ED"/>
    <w:rsid w:val="009F52F0"/>
    <w:rsid w:val="009F65C3"/>
    <w:rsid w:val="009F65EA"/>
    <w:rsid w:val="009F6F25"/>
    <w:rsid w:val="00A000F4"/>
    <w:rsid w:val="00A006F0"/>
    <w:rsid w:val="00A0131C"/>
    <w:rsid w:val="00A0266F"/>
    <w:rsid w:val="00A033F6"/>
    <w:rsid w:val="00A04714"/>
    <w:rsid w:val="00A0484B"/>
    <w:rsid w:val="00A04AB0"/>
    <w:rsid w:val="00A04BEA"/>
    <w:rsid w:val="00A05F8E"/>
    <w:rsid w:val="00A07315"/>
    <w:rsid w:val="00A12297"/>
    <w:rsid w:val="00A12DC3"/>
    <w:rsid w:val="00A14B06"/>
    <w:rsid w:val="00A15388"/>
    <w:rsid w:val="00A15903"/>
    <w:rsid w:val="00A2185B"/>
    <w:rsid w:val="00A23C6C"/>
    <w:rsid w:val="00A3080A"/>
    <w:rsid w:val="00A30BC2"/>
    <w:rsid w:val="00A31EE0"/>
    <w:rsid w:val="00A3255E"/>
    <w:rsid w:val="00A32B81"/>
    <w:rsid w:val="00A34A94"/>
    <w:rsid w:val="00A36015"/>
    <w:rsid w:val="00A36AAE"/>
    <w:rsid w:val="00A375AB"/>
    <w:rsid w:val="00A3760E"/>
    <w:rsid w:val="00A376FD"/>
    <w:rsid w:val="00A37B60"/>
    <w:rsid w:val="00A42A90"/>
    <w:rsid w:val="00A42C7D"/>
    <w:rsid w:val="00A43582"/>
    <w:rsid w:val="00A44807"/>
    <w:rsid w:val="00A4565C"/>
    <w:rsid w:val="00A459D1"/>
    <w:rsid w:val="00A463D6"/>
    <w:rsid w:val="00A5101C"/>
    <w:rsid w:val="00A52069"/>
    <w:rsid w:val="00A52CF3"/>
    <w:rsid w:val="00A54763"/>
    <w:rsid w:val="00A547DA"/>
    <w:rsid w:val="00A551E1"/>
    <w:rsid w:val="00A55D48"/>
    <w:rsid w:val="00A61B8A"/>
    <w:rsid w:val="00A64D42"/>
    <w:rsid w:val="00A64EA5"/>
    <w:rsid w:val="00A65510"/>
    <w:rsid w:val="00A66041"/>
    <w:rsid w:val="00A660FF"/>
    <w:rsid w:val="00A66973"/>
    <w:rsid w:val="00A677F3"/>
    <w:rsid w:val="00A67E64"/>
    <w:rsid w:val="00A70EA3"/>
    <w:rsid w:val="00A736DD"/>
    <w:rsid w:val="00A7378E"/>
    <w:rsid w:val="00A737E9"/>
    <w:rsid w:val="00A74F1B"/>
    <w:rsid w:val="00A7568A"/>
    <w:rsid w:val="00A77E4B"/>
    <w:rsid w:val="00A83DA6"/>
    <w:rsid w:val="00A84E39"/>
    <w:rsid w:val="00A8509D"/>
    <w:rsid w:val="00A85567"/>
    <w:rsid w:val="00A8585B"/>
    <w:rsid w:val="00A9054C"/>
    <w:rsid w:val="00A91071"/>
    <w:rsid w:val="00A921C1"/>
    <w:rsid w:val="00A923A4"/>
    <w:rsid w:val="00A92C48"/>
    <w:rsid w:val="00A941A6"/>
    <w:rsid w:val="00A94496"/>
    <w:rsid w:val="00A97513"/>
    <w:rsid w:val="00A97C18"/>
    <w:rsid w:val="00AA0894"/>
    <w:rsid w:val="00AA244F"/>
    <w:rsid w:val="00AA27FE"/>
    <w:rsid w:val="00AA2D31"/>
    <w:rsid w:val="00AA5E46"/>
    <w:rsid w:val="00AA6219"/>
    <w:rsid w:val="00AA65ED"/>
    <w:rsid w:val="00AA6615"/>
    <w:rsid w:val="00AA7783"/>
    <w:rsid w:val="00AB00AC"/>
    <w:rsid w:val="00AB08F6"/>
    <w:rsid w:val="00AB1EB2"/>
    <w:rsid w:val="00AB2363"/>
    <w:rsid w:val="00AB2597"/>
    <w:rsid w:val="00AB3402"/>
    <w:rsid w:val="00AB35C0"/>
    <w:rsid w:val="00AB4081"/>
    <w:rsid w:val="00AB5846"/>
    <w:rsid w:val="00AB786C"/>
    <w:rsid w:val="00AC063D"/>
    <w:rsid w:val="00AC09B4"/>
    <w:rsid w:val="00AC12DD"/>
    <w:rsid w:val="00AC1518"/>
    <w:rsid w:val="00AC1A71"/>
    <w:rsid w:val="00AC2554"/>
    <w:rsid w:val="00AC2909"/>
    <w:rsid w:val="00AC2F39"/>
    <w:rsid w:val="00AC39B2"/>
    <w:rsid w:val="00AC3C20"/>
    <w:rsid w:val="00AC500E"/>
    <w:rsid w:val="00AC541E"/>
    <w:rsid w:val="00AC5C82"/>
    <w:rsid w:val="00AC65A6"/>
    <w:rsid w:val="00AC6DDE"/>
    <w:rsid w:val="00AC79CC"/>
    <w:rsid w:val="00AC7D0B"/>
    <w:rsid w:val="00AD0097"/>
    <w:rsid w:val="00AD2073"/>
    <w:rsid w:val="00AD2EDC"/>
    <w:rsid w:val="00AD307C"/>
    <w:rsid w:val="00AD31D1"/>
    <w:rsid w:val="00AD5126"/>
    <w:rsid w:val="00AD59F2"/>
    <w:rsid w:val="00AD5C2D"/>
    <w:rsid w:val="00AD7A8D"/>
    <w:rsid w:val="00AE02C9"/>
    <w:rsid w:val="00AE1DC9"/>
    <w:rsid w:val="00AE2D25"/>
    <w:rsid w:val="00AE4DDA"/>
    <w:rsid w:val="00AE5926"/>
    <w:rsid w:val="00AF1571"/>
    <w:rsid w:val="00AF28A1"/>
    <w:rsid w:val="00AF2A57"/>
    <w:rsid w:val="00AF42FC"/>
    <w:rsid w:val="00AF5516"/>
    <w:rsid w:val="00AF7189"/>
    <w:rsid w:val="00B00BD2"/>
    <w:rsid w:val="00B0125C"/>
    <w:rsid w:val="00B03D59"/>
    <w:rsid w:val="00B05659"/>
    <w:rsid w:val="00B05EC2"/>
    <w:rsid w:val="00B061BB"/>
    <w:rsid w:val="00B06A0F"/>
    <w:rsid w:val="00B06AE1"/>
    <w:rsid w:val="00B0767C"/>
    <w:rsid w:val="00B07BF8"/>
    <w:rsid w:val="00B1009F"/>
    <w:rsid w:val="00B10BF0"/>
    <w:rsid w:val="00B12FA8"/>
    <w:rsid w:val="00B16E45"/>
    <w:rsid w:val="00B17DDD"/>
    <w:rsid w:val="00B23784"/>
    <w:rsid w:val="00B24A52"/>
    <w:rsid w:val="00B24D6C"/>
    <w:rsid w:val="00B24FDF"/>
    <w:rsid w:val="00B25F9F"/>
    <w:rsid w:val="00B27707"/>
    <w:rsid w:val="00B279E7"/>
    <w:rsid w:val="00B30A03"/>
    <w:rsid w:val="00B30F47"/>
    <w:rsid w:val="00B31101"/>
    <w:rsid w:val="00B31B1D"/>
    <w:rsid w:val="00B31F31"/>
    <w:rsid w:val="00B354B2"/>
    <w:rsid w:val="00B35D0D"/>
    <w:rsid w:val="00B3780E"/>
    <w:rsid w:val="00B40724"/>
    <w:rsid w:val="00B41392"/>
    <w:rsid w:val="00B41ED7"/>
    <w:rsid w:val="00B42BCD"/>
    <w:rsid w:val="00B436C7"/>
    <w:rsid w:val="00B44374"/>
    <w:rsid w:val="00B44870"/>
    <w:rsid w:val="00B44D8F"/>
    <w:rsid w:val="00B4657A"/>
    <w:rsid w:val="00B46918"/>
    <w:rsid w:val="00B47570"/>
    <w:rsid w:val="00B51534"/>
    <w:rsid w:val="00B51A59"/>
    <w:rsid w:val="00B52BCF"/>
    <w:rsid w:val="00B55313"/>
    <w:rsid w:val="00B5689A"/>
    <w:rsid w:val="00B5753D"/>
    <w:rsid w:val="00B57599"/>
    <w:rsid w:val="00B6142C"/>
    <w:rsid w:val="00B618BD"/>
    <w:rsid w:val="00B640BC"/>
    <w:rsid w:val="00B65F2B"/>
    <w:rsid w:val="00B66AA9"/>
    <w:rsid w:val="00B70EB7"/>
    <w:rsid w:val="00B7106B"/>
    <w:rsid w:val="00B71197"/>
    <w:rsid w:val="00B7167F"/>
    <w:rsid w:val="00B718E6"/>
    <w:rsid w:val="00B71B78"/>
    <w:rsid w:val="00B726FD"/>
    <w:rsid w:val="00B72D14"/>
    <w:rsid w:val="00B73BD3"/>
    <w:rsid w:val="00B800AF"/>
    <w:rsid w:val="00B8079E"/>
    <w:rsid w:val="00B816D9"/>
    <w:rsid w:val="00B83A98"/>
    <w:rsid w:val="00B83F29"/>
    <w:rsid w:val="00B8475D"/>
    <w:rsid w:val="00B848DC"/>
    <w:rsid w:val="00B85594"/>
    <w:rsid w:val="00B86351"/>
    <w:rsid w:val="00B87AE1"/>
    <w:rsid w:val="00B90C70"/>
    <w:rsid w:val="00B94728"/>
    <w:rsid w:val="00B97FBC"/>
    <w:rsid w:val="00BA11F3"/>
    <w:rsid w:val="00BA24FD"/>
    <w:rsid w:val="00BA27D8"/>
    <w:rsid w:val="00BA27E7"/>
    <w:rsid w:val="00BA2E1B"/>
    <w:rsid w:val="00BA3981"/>
    <w:rsid w:val="00BA6115"/>
    <w:rsid w:val="00BB0C7A"/>
    <w:rsid w:val="00BB1B63"/>
    <w:rsid w:val="00BB375F"/>
    <w:rsid w:val="00BB4109"/>
    <w:rsid w:val="00BB4401"/>
    <w:rsid w:val="00BB5E18"/>
    <w:rsid w:val="00BB7A05"/>
    <w:rsid w:val="00BC0728"/>
    <w:rsid w:val="00BC0F2B"/>
    <w:rsid w:val="00BC265C"/>
    <w:rsid w:val="00BC2E8A"/>
    <w:rsid w:val="00BC5677"/>
    <w:rsid w:val="00BC5DA0"/>
    <w:rsid w:val="00BC60C7"/>
    <w:rsid w:val="00BC6172"/>
    <w:rsid w:val="00BC762C"/>
    <w:rsid w:val="00BC7A56"/>
    <w:rsid w:val="00BD1DB4"/>
    <w:rsid w:val="00BD36F4"/>
    <w:rsid w:val="00BD4A7C"/>
    <w:rsid w:val="00BD63E7"/>
    <w:rsid w:val="00BE158D"/>
    <w:rsid w:val="00BE1935"/>
    <w:rsid w:val="00BE284E"/>
    <w:rsid w:val="00BE5B31"/>
    <w:rsid w:val="00BE6A80"/>
    <w:rsid w:val="00BE7DE0"/>
    <w:rsid w:val="00BF01E6"/>
    <w:rsid w:val="00BF0576"/>
    <w:rsid w:val="00BF0C03"/>
    <w:rsid w:val="00BF189E"/>
    <w:rsid w:val="00BF1E02"/>
    <w:rsid w:val="00BF24C4"/>
    <w:rsid w:val="00BF3717"/>
    <w:rsid w:val="00BF456C"/>
    <w:rsid w:val="00BF4A16"/>
    <w:rsid w:val="00C00D17"/>
    <w:rsid w:val="00C03F0F"/>
    <w:rsid w:val="00C049E9"/>
    <w:rsid w:val="00C056B7"/>
    <w:rsid w:val="00C1027D"/>
    <w:rsid w:val="00C10F71"/>
    <w:rsid w:val="00C11B7D"/>
    <w:rsid w:val="00C11D52"/>
    <w:rsid w:val="00C12AD9"/>
    <w:rsid w:val="00C1396C"/>
    <w:rsid w:val="00C14863"/>
    <w:rsid w:val="00C14D94"/>
    <w:rsid w:val="00C15C39"/>
    <w:rsid w:val="00C172F8"/>
    <w:rsid w:val="00C174FD"/>
    <w:rsid w:val="00C20499"/>
    <w:rsid w:val="00C21B0C"/>
    <w:rsid w:val="00C2314A"/>
    <w:rsid w:val="00C23DB2"/>
    <w:rsid w:val="00C26E83"/>
    <w:rsid w:val="00C27C9D"/>
    <w:rsid w:val="00C27DDD"/>
    <w:rsid w:val="00C308BB"/>
    <w:rsid w:val="00C30C04"/>
    <w:rsid w:val="00C317B0"/>
    <w:rsid w:val="00C31AF7"/>
    <w:rsid w:val="00C322E8"/>
    <w:rsid w:val="00C32AC6"/>
    <w:rsid w:val="00C32CD7"/>
    <w:rsid w:val="00C343A4"/>
    <w:rsid w:val="00C35A0E"/>
    <w:rsid w:val="00C35D8D"/>
    <w:rsid w:val="00C360E0"/>
    <w:rsid w:val="00C408D9"/>
    <w:rsid w:val="00C4155E"/>
    <w:rsid w:val="00C4506A"/>
    <w:rsid w:val="00C45219"/>
    <w:rsid w:val="00C45D82"/>
    <w:rsid w:val="00C47701"/>
    <w:rsid w:val="00C47851"/>
    <w:rsid w:val="00C50669"/>
    <w:rsid w:val="00C510EA"/>
    <w:rsid w:val="00C522FD"/>
    <w:rsid w:val="00C52F47"/>
    <w:rsid w:val="00C53250"/>
    <w:rsid w:val="00C53EC1"/>
    <w:rsid w:val="00C546FB"/>
    <w:rsid w:val="00C54E64"/>
    <w:rsid w:val="00C55251"/>
    <w:rsid w:val="00C563BE"/>
    <w:rsid w:val="00C56860"/>
    <w:rsid w:val="00C5730C"/>
    <w:rsid w:val="00C60B25"/>
    <w:rsid w:val="00C61CAA"/>
    <w:rsid w:val="00C63BAA"/>
    <w:rsid w:val="00C642BB"/>
    <w:rsid w:val="00C6525B"/>
    <w:rsid w:val="00C65FAF"/>
    <w:rsid w:val="00C72F47"/>
    <w:rsid w:val="00C7375B"/>
    <w:rsid w:val="00C738DB"/>
    <w:rsid w:val="00C74592"/>
    <w:rsid w:val="00C76E80"/>
    <w:rsid w:val="00C825D4"/>
    <w:rsid w:val="00C8312D"/>
    <w:rsid w:val="00C8318D"/>
    <w:rsid w:val="00C83D84"/>
    <w:rsid w:val="00C8462B"/>
    <w:rsid w:val="00C86D9E"/>
    <w:rsid w:val="00C871F4"/>
    <w:rsid w:val="00C90ABD"/>
    <w:rsid w:val="00C90EE0"/>
    <w:rsid w:val="00C91F1F"/>
    <w:rsid w:val="00C94892"/>
    <w:rsid w:val="00C95011"/>
    <w:rsid w:val="00CA06BC"/>
    <w:rsid w:val="00CA0C90"/>
    <w:rsid w:val="00CA156C"/>
    <w:rsid w:val="00CA1614"/>
    <w:rsid w:val="00CA4093"/>
    <w:rsid w:val="00CA6254"/>
    <w:rsid w:val="00CA6B11"/>
    <w:rsid w:val="00CB14C8"/>
    <w:rsid w:val="00CB38A7"/>
    <w:rsid w:val="00CB448F"/>
    <w:rsid w:val="00CB53A9"/>
    <w:rsid w:val="00CB5A2F"/>
    <w:rsid w:val="00CB67FA"/>
    <w:rsid w:val="00CB6DB0"/>
    <w:rsid w:val="00CB71A3"/>
    <w:rsid w:val="00CB77C4"/>
    <w:rsid w:val="00CC0C82"/>
    <w:rsid w:val="00CC0CCA"/>
    <w:rsid w:val="00CC41F2"/>
    <w:rsid w:val="00CC4B02"/>
    <w:rsid w:val="00CC7076"/>
    <w:rsid w:val="00CC72C9"/>
    <w:rsid w:val="00CC775B"/>
    <w:rsid w:val="00CC7865"/>
    <w:rsid w:val="00CD0605"/>
    <w:rsid w:val="00CD06CA"/>
    <w:rsid w:val="00CD2293"/>
    <w:rsid w:val="00CD22AB"/>
    <w:rsid w:val="00CD2942"/>
    <w:rsid w:val="00CD58C2"/>
    <w:rsid w:val="00CD68EB"/>
    <w:rsid w:val="00CD6E54"/>
    <w:rsid w:val="00CD7473"/>
    <w:rsid w:val="00CD7588"/>
    <w:rsid w:val="00CD759D"/>
    <w:rsid w:val="00CE0F95"/>
    <w:rsid w:val="00CE16ED"/>
    <w:rsid w:val="00CE263E"/>
    <w:rsid w:val="00CE3F45"/>
    <w:rsid w:val="00CE560D"/>
    <w:rsid w:val="00CE59F4"/>
    <w:rsid w:val="00CE5E99"/>
    <w:rsid w:val="00CE6129"/>
    <w:rsid w:val="00CE7033"/>
    <w:rsid w:val="00CE738F"/>
    <w:rsid w:val="00CE79C3"/>
    <w:rsid w:val="00CF1037"/>
    <w:rsid w:val="00CF3169"/>
    <w:rsid w:val="00CF4350"/>
    <w:rsid w:val="00CF4C4F"/>
    <w:rsid w:val="00CF5DAC"/>
    <w:rsid w:val="00CF5F3E"/>
    <w:rsid w:val="00CF744F"/>
    <w:rsid w:val="00D01113"/>
    <w:rsid w:val="00D024D8"/>
    <w:rsid w:val="00D024F6"/>
    <w:rsid w:val="00D0276F"/>
    <w:rsid w:val="00D02FB6"/>
    <w:rsid w:val="00D0677D"/>
    <w:rsid w:val="00D06ABB"/>
    <w:rsid w:val="00D06DF6"/>
    <w:rsid w:val="00D12616"/>
    <w:rsid w:val="00D16CFC"/>
    <w:rsid w:val="00D200AE"/>
    <w:rsid w:val="00D2072A"/>
    <w:rsid w:val="00D207A2"/>
    <w:rsid w:val="00D210FA"/>
    <w:rsid w:val="00D21AE8"/>
    <w:rsid w:val="00D23211"/>
    <w:rsid w:val="00D23288"/>
    <w:rsid w:val="00D250D9"/>
    <w:rsid w:val="00D253C4"/>
    <w:rsid w:val="00D26013"/>
    <w:rsid w:val="00D273F2"/>
    <w:rsid w:val="00D276C4"/>
    <w:rsid w:val="00D31464"/>
    <w:rsid w:val="00D33992"/>
    <w:rsid w:val="00D34478"/>
    <w:rsid w:val="00D3473C"/>
    <w:rsid w:val="00D4026A"/>
    <w:rsid w:val="00D4084A"/>
    <w:rsid w:val="00D40C7B"/>
    <w:rsid w:val="00D4111C"/>
    <w:rsid w:val="00D43328"/>
    <w:rsid w:val="00D43945"/>
    <w:rsid w:val="00D444CA"/>
    <w:rsid w:val="00D45688"/>
    <w:rsid w:val="00D462DB"/>
    <w:rsid w:val="00D47288"/>
    <w:rsid w:val="00D472B3"/>
    <w:rsid w:val="00D478EF"/>
    <w:rsid w:val="00D51BE9"/>
    <w:rsid w:val="00D527A4"/>
    <w:rsid w:val="00D52C81"/>
    <w:rsid w:val="00D56A3B"/>
    <w:rsid w:val="00D57061"/>
    <w:rsid w:val="00D601D1"/>
    <w:rsid w:val="00D61D91"/>
    <w:rsid w:val="00D62392"/>
    <w:rsid w:val="00D6255F"/>
    <w:rsid w:val="00D6327C"/>
    <w:rsid w:val="00D6329D"/>
    <w:rsid w:val="00D634F0"/>
    <w:rsid w:val="00D6439F"/>
    <w:rsid w:val="00D648EB"/>
    <w:rsid w:val="00D64EB6"/>
    <w:rsid w:val="00D65306"/>
    <w:rsid w:val="00D67F11"/>
    <w:rsid w:val="00D70FE5"/>
    <w:rsid w:val="00D711A3"/>
    <w:rsid w:val="00D7261C"/>
    <w:rsid w:val="00D72998"/>
    <w:rsid w:val="00D72E31"/>
    <w:rsid w:val="00D73070"/>
    <w:rsid w:val="00D73F76"/>
    <w:rsid w:val="00D745B5"/>
    <w:rsid w:val="00D7553F"/>
    <w:rsid w:val="00D75E05"/>
    <w:rsid w:val="00D80FF6"/>
    <w:rsid w:val="00D830E6"/>
    <w:rsid w:val="00D83674"/>
    <w:rsid w:val="00D8421D"/>
    <w:rsid w:val="00D84A78"/>
    <w:rsid w:val="00D866E2"/>
    <w:rsid w:val="00D86E8E"/>
    <w:rsid w:val="00D87249"/>
    <w:rsid w:val="00D90314"/>
    <w:rsid w:val="00D9056B"/>
    <w:rsid w:val="00D90939"/>
    <w:rsid w:val="00D90D16"/>
    <w:rsid w:val="00D91203"/>
    <w:rsid w:val="00D91F6A"/>
    <w:rsid w:val="00D93760"/>
    <w:rsid w:val="00D94AD7"/>
    <w:rsid w:val="00D9537B"/>
    <w:rsid w:val="00D95562"/>
    <w:rsid w:val="00D955C8"/>
    <w:rsid w:val="00DA33FE"/>
    <w:rsid w:val="00DA372B"/>
    <w:rsid w:val="00DA4BEB"/>
    <w:rsid w:val="00DA644B"/>
    <w:rsid w:val="00DA7606"/>
    <w:rsid w:val="00DB09E4"/>
    <w:rsid w:val="00DB44B7"/>
    <w:rsid w:val="00DB5DDD"/>
    <w:rsid w:val="00DB7821"/>
    <w:rsid w:val="00DC03A4"/>
    <w:rsid w:val="00DC03B6"/>
    <w:rsid w:val="00DC0FFB"/>
    <w:rsid w:val="00DC1C3D"/>
    <w:rsid w:val="00DC21CE"/>
    <w:rsid w:val="00DC2CB0"/>
    <w:rsid w:val="00DC2CE8"/>
    <w:rsid w:val="00DC35F3"/>
    <w:rsid w:val="00DC42D9"/>
    <w:rsid w:val="00DC4C69"/>
    <w:rsid w:val="00DC5C8E"/>
    <w:rsid w:val="00DC665A"/>
    <w:rsid w:val="00DC6D9C"/>
    <w:rsid w:val="00DC7430"/>
    <w:rsid w:val="00DC7B06"/>
    <w:rsid w:val="00DD04AD"/>
    <w:rsid w:val="00DD28F7"/>
    <w:rsid w:val="00DD362F"/>
    <w:rsid w:val="00DD3B73"/>
    <w:rsid w:val="00DD641F"/>
    <w:rsid w:val="00DD6663"/>
    <w:rsid w:val="00DD6BAA"/>
    <w:rsid w:val="00DD777B"/>
    <w:rsid w:val="00DE2197"/>
    <w:rsid w:val="00DE23FB"/>
    <w:rsid w:val="00DE3980"/>
    <w:rsid w:val="00DE41AE"/>
    <w:rsid w:val="00DE6102"/>
    <w:rsid w:val="00DE6334"/>
    <w:rsid w:val="00DE71FF"/>
    <w:rsid w:val="00DE7800"/>
    <w:rsid w:val="00DF10E9"/>
    <w:rsid w:val="00DF1EA1"/>
    <w:rsid w:val="00DF33F1"/>
    <w:rsid w:val="00DF6DA6"/>
    <w:rsid w:val="00E03BE5"/>
    <w:rsid w:val="00E073A2"/>
    <w:rsid w:val="00E07A29"/>
    <w:rsid w:val="00E07C83"/>
    <w:rsid w:val="00E13117"/>
    <w:rsid w:val="00E14425"/>
    <w:rsid w:val="00E14906"/>
    <w:rsid w:val="00E17E69"/>
    <w:rsid w:val="00E21DB5"/>
    <w:rsid w:val="00E23045"/>
    <w:rsid w:val="00E23B0A"/>
    <w:rsid w:val="00E24442"/>
    <w:rsid w:val="00E24723"/>
    <w:rsid w:val="00E27690"/>
    <w:rsid w:val="00E30033"/>
    <w:rsid w:val="00E311B4"/>
    <w:rsid w:val="00E31D5B"/>
    <w:rsid w:val="00E31E1E"/>
    <w:rsid w:val="00E31E84"/>
    <w:rsid w:val="00E33D0C"/>
    <w:rsid w:val="00E33D78"/>
    <w:rsid w:val="00E33DF8"/>
    <w:rsid w:val="00E34090"/>
    <w:rsid w:val="00E34A22"/>
    <w:rsid w:val="00E37D1C"/>
    <w:rsid w:val="00E41322"/>
    <w:rsid w:val="00E41B94"/>
    <w:rsid w:val="00E429AF"/>
    <w:rsid w:val="00E4363D"/>
    <w:rsid w:val="00E439ED"/>
    <w:rsid w:val="00E4402A"/>
    <w:rsid w:val="00E456A5"/>
    <w:rsid w:val="00E45FD0"/>
    <w:rsid w:val="00E461B6"/>
    <w:rsid w:val="00E46AD2"/>
    <w:rsid w:val="00E47A40"/>
    <w:rsid w:val="00E47CDB"/>
    <w:rsid w:val="00E50805"/>
    <w:rsid w:val="00E526B7"/>
    <w:rsid w:val="00E53FE5"/>
    <w:rsid w:val="00E55EF4"/>
    <w:rsid w:val="00E60078"/>
    <w:rsid w:val="00E606F1"/>
    <w:rsid w:val="00E61608"/>
    <w:rsid w:val="00E62297"/>
    <w:rsid w:val="00E62606"/>
    <w:rsid w:val="00E63056"/>
    <w:rsid w:val="00E63E00"/>
    <w:rsid w:val="00E642EA"/>
    <w:rsid w:val="00E65417"/>
    <w:rsid w:val="00E66F13"/>
    <w:rsid w:val="00E7118E"/>
    <w:rsid w:val="00E72A65"/>
    <w:rsid w:val="00E72CCA"/>
    <w:rsid w:val="00E73EBB"/>
    <w:rsid w:val="00E7634C"/>
    <w:rsid w:val="00E76B32"/>
    <w:rsid w:val="00E77358"/>
    <w:rsid w:val="00E801DB"/>
    <w:rsid w:val="00E80ABA"/>
    <w:rsid w:val="00E80D9A"/>
    <w:rsid w:val="00E80E7E"/>
    <w:rsid w:val="00E8434A"/>
    <w:rsid w:val="00E86D1F"/>
    <w:rsid w:val="00E875EF"/>
    <w:rsid w:val="00E87A17"/>
    <w:rsid w:val="00E91F6B"/>
    <w:rsid w:val="00E929F3"/>
    <w:rsid w:val="00E93226"/>
    <w:rsid w:val="00E93309"/>
    <w:rsid w:val="00E93A47"/>
    <w:rsid w:val="00E95C80"/>
    <w:rsid w:val="00E966E3"/>
    <w:rsid w:val="00E96D40"/>
    <w:rsid w:val="00E97660"/>
    <w:rsid w:val="00E97C2C"/>
    <w:rsid w:val="00EA029C"/>
    <w:rsid w:val="00EA0AB7"/>
    <w:rsid w:val="00EA14DE"/>
    <w:rsid w:val="00EA14E8"/>
    <w:rsid w:val="00EA1686"/>
    <w:rsid w:val="00EA2023"/>
    <w:rsid w:val="00EA2AE9"/>
    <w:rsid w:val="00EA2F9A"/>
    <w:rsid w:val="00EA4875"/>
    <w:rsid w:val="00EA4BBA"/>
    <w:rsid w:val="00EA4F3B"/>
    <w:rsid w:val="00EA591D"/>
    <w:rsid w:val="00EA7B73"/>
    <w:rsid w:val="00EB1714"/>
    <w:rsid w:val="00EB1D1C"/>
    <w:rsid w:val="00EB1DE1"/>
    <w:rsid w:val="00EB4EE6"/>
    <w:rsid w:val="00EB58C6"/>
    <w:rsid w:val="00EB59D9"/>
    <w:rsid w:val="00EB7DF5"/>
    <w:rsid w:val="00EC0E4E"/>
    <w:rsid w:val="00EC1E91"/>
    <w:rsid w:val="00EC30B4"/>
    <w:rsid w:val="00ED2CAA"/>
    <w:rsid w:val="00ED4BB3"/>
    <w:rsid w:val="00ED62A8"/>
    <w:rsid w:val="00ED649E"/>
    <w:rsid w:val="00EE0425"/>
    <w:rsid w:val="00EE0545"/>
    <w:rsid w:val="00EE14A3"/>
    <w:rsid w:val="00EE1E28"/>
    <w:rsid w:val="00EE1ECE"/>
    <w:rsid w:val="00EE3ADB"/>
    <w:rsid w:val="00EE5AD9"/>
    <w:rsid w:val="00EE5B10"/>
    <w:rsid w:val="00EE63BC"/>
    <w:rsid w:val="00EE712A"/>
    <w:rsid w:val="00EF389A"/>
    <w:rsid w:val="00EF498E"/>
    <w:rsid w:val="00EF5D4C"/>
    <w:rsid w:val="00EF7B33"/>
    <w:rsid w:val="00F008CC"/>
    <w:rsid w:val="00F00F7A"/>
    <w:rsid w:val="00F01A25"/>
    <w:rsid w:val="00F01A67"/>
    <w:rsid w:val="00F027C7"/>
    <w:rsid w:val="00F039D4"/>
    <w:rsid w:val="00F07E0E"/>
    <w:rsid w:val="00F107CE"/>
    <w:rsid w:val="00F10CEB"/>
    <w:rsid w:val="00F110B9"/>
    <w:rsid w:val="00F1324C"/>
    <w:rsid w:val="00F20A80"/>
    <w:rsid w:val="00F218B9"/>
    <w:rsid w:val="00F21C5A"/>
    <w:rsid w:val="00F2392F"/>
    <w:rsid w:val="00F2451E"/>
    <w:rsid w:val="00F24C8C"/>
    <w:rsid w:val="00F26545"/>
    <w:rsid w:val="00F305CA"/>
    <w:rsid w:val="00F31110"/>
    <w:rsid w:val="00F32302"/>
    <w:rsid w:val="00F33849"/>
    <w:rsid w:val="00F35035"/>
    <w:rsid w:val="00F35298"/>
    <w:rsid w:val="00F44083"/>
    <w:rsid w:val="00F514BD"/>
    <w:rsid w:val="00F5290E"/>
    <w:rsid w:val="00F53B45"/>
    <w:rsid w:val="00F54178"/>
    <w:rsid w:val="00F5423F"/>
    <w:rsid w:val="00F55D52"/>
    <w:rsid w:val="00F56B93"/>
    <w:rsid w:val="00F6126D"/>
    <w:rsid w:val="00F61B4E"/>
    <w:rsid w:val="00F63130"/>
    <w:rsid w:val="00F63C1D"/>
    <w:rsid w:val="00F65CB5"/>
    <w:rsid w:val="00F710C9"/>
    <w:rsid w:val="00F74478"/>
    <w:rsid w:val="00F75751"/>
    <w:rsid w:val="00F77669"/>
    <w:rsid w:val="00F77733"/>
    <w:rsid w:val="00F80D35"/>
    <w:rsid w:val="00F815E4"/>
    <w:rsid w:val="00F82F21"/>
    <w:rsid w:val="00F85218"/>
    <w:rsid w:val="00F90CB7"/>
    <w:rsid w:val="00F918D5"/>
    <w:rsid w:val="00F930F6"/>
    <w:rsid w:val="00F95520"/>
    <w:rsid w:val="00F97855"/>
    <w:rsid w:val="00FA01F6"/>
    <w:rsid w:val="00FA05AF"/>
    <w:rsid w:val="00FA16F1"/>
    <w:rsid w:val="00FA1D63"/>
    <w:rsid w:val="00FA26B2"/>
    <w:rsid w:val="00FA5856"/>
    <w:rsid w:val="00FA5B8C"/>
    <w:rsid w:val="00FA5D87"/>
    <w:rsid w:val="00FA6C90"/>
    <w:rsid w:val="00FB00C3"/>
    <w:rsid w:val="00FB01D3"/>
    <w:rsid w:val="00FB09DC"/>
    <w:rsid w:val="00FB0B54"/>
    <w:rsid w:val="00FB0B66"/>
    <w:rsid w:val="00FB1110"/>
    <w:rsid w:val="00FB1C0D"/>
    <w:rsid w:val="00FB1EEC"/>
    <w:rsid w:val="00FB6787"/>
    <w:rsid w:val="00FB6933"/>
    <w:rsid w:val="00FB6A48"/>
    <w:rsid w:val="00FB71B5"/>
    <w:rsid w:val="00FB72F2"/>
    <w:rsid w:val="00FB7DE2"/>
    <w:rsid w:val="00FC0DF5"/>
    <w:rsid w:val="00FC306A"/>
    <w:rsid w:val="00FC36E3"/>
    <w:rsid w:val="00FC3C0A"/>
    <w:rsid w:val="00FC52AF"/>
    <w:rsid w:val="00FC6825"/>
    <w:rsid w:val="00FC7152"/>
    <w:rsid w:val="00FD0055"/>
    <w:rsid w:val="00FD0130"/>
    <w:rsid w:val="00FD02CF"/>
    <w:rsid w:val="00FD0919"/>
    <w:rsid w:val="00FD09ED"/>
    <w:rsid w:val="00FD0C50"/>
    <w:rsid w:val="00FD0FF2"/>
    <w:rsid w:val="00FD1C60"/>
    <w:rsid w:val="00FD21C9"/>
    <w:rsid w:val="00FD2A05"/>
    <w:rsid w:val="00FD36ED"/>
    <w:rsid w:val="00FD7A77"/>
    <w:rsid w:val="00FE0048"/>
    <w:rsid w:val="00FE0853"/>
    <w:rsid w:val="00FE3099"/>
    <w:rsid w:val="00FE4650"/>
    <w:rsid w:val="00FE527B"/>
    <w:rsid w:val="00FE53DE"/>
    <w:rsid w:val="00FE7C57"/>
    <w:rsid w:val="00FF0639"/>
    <w:rsid w:val="00FF0FFF"/>
    <w:rsid w:val="00FF106E"/>
    <w:rsid w:val="00FF19F8"/>
    <w:rsid w:val="00FF20C5"/>
    <w:rsid w:val="00FF2BE6"/>
    <w:rsid w:val="00FF33FF"/>
    <w:rsid w:val="00FF3AE1"/>
    <w:rsid w:val="00FF3DC9"/>
    <w:rsid w:val="012355A4"/>
    <w:rsid w:val="01452E40"/>
    <w:rsid w:val="014A20D4"/>
    <w:rsid w:val="015C37A5"/>
    <w:rsid w:val="01676D4E"/>
    <w:rsid w:val="017137AA"/>
    <w:rsid w:val="0174308A"/>
    <w:rsid w:val="01781CA2"/>
    <w:rsid w:val="01925A73"/>
    <w:rsid w:val="01B601D6"/>
    <w:rsid w:val="01C23D51"/>
    <w:rsid w:val="01CA0989"/>
    <w:rsid w:val="01DA0DD6"/>
    <w:rsid w:val="01E84CD3"/>
    <w:rsid w:val="01F14C48"/>
    <w:rsid w:val="01FE1221"/>
    <w:rsid w:val="01FF65AC"/>
    <w:rsid w:val="02254797"/>
    <w:rsid w:val="02260041"/>
    <w:rsid w:val="023B5020"/>
    <w:rsid w:val="024776AE"/>
    <w:rsid w:val="02483A9D"/>
    <w:rsid w:val="02590843"/>
    <w:rsid w:val="025A5EC0"/>
    <w:rsid w:val="025B6F6D"/>
    <w:rsid w:val="026222AB"/>
    <w:rsid w:val="027E150D"/>
    <w:rsid w:val="02815CA7"/>
    <w:rsid w:val="02A84D90"/>
    <w:rsid w:val="02B37893"/>
    <w:rsid w:val="02B52441"/>
    <w:rsid w:val="02C01C0E"/>
    <w:rsid w:val="02C22409"/>
    <w:rsid w:val="02C52C3F"/>
    <w:rsid w:val="02DA4A9F"/>
    <w:rsid w:val="02DB2E36"/>
    <w:rsid w:val="02EF6F17"/>
    <w:rsid w:val="02F562F3"/>
    <w:rsid w:val="03064896"/>
    <w:rsid w:val="030B2E44"/>
    <w:rsid w:val="030D3D42"/>
    <w:rsid w:val="03122573"/>
    <w:rsid w:val="033C035B"/>
    <w:rsid w:val="03436A03"/>
    <w:rsid w:val="03563CB7"/>
    <w:rsid w:val="035D153E"/>
    <w:rsid w:val="0371608F"/>
    <w:rsid w:val="037309B8"/>
    <w:rsid w:val="03754035"/>
    <w:rsid w:val="037826DD"/>
    <w:rsid w:val="03795007"/>
    <w:rsid w:val="03893371"/>
    <w:rsid w:val="03AF602E"/>
    <w:rsid w:val="03BE52E6"/>
    <w:rsid w:val="03CC3796"/>
    <w:rsid w:val="03CF690E"/>
    <w:rsid w:val="03D22900"/>
    <w:rsid w:val="03D310B6"/>
    <w:rsid w:val="03F25788"/>
    <w:rsid w:val="03FA5345"/>
    <w:rsid w:val="04041965"/>
    <w:rsid w:val="040B5640"/>
    <w:rsid w:val="040C182E"/>
    <w:rsid w:val="040F0373"/>
    <w:rsid w:val="042B1F12"/>
    <w:rsid w:val="043709F1"/>
    <w:rsid w:val="043F1E32"/>
    <w:rsid w:val="044E661C"/>
    <w:rsid w:val="04814DE2"/>
    <w:rsid w:val="049251C3"/>
    <w:rsid w:val="04A6692A"/>
    <w:rsid w:val="04AE7B23"/>
    <w:rsid w:val="04AF4EB7"/>
    <w:rsid w:val="04C2712A"/>
    <w:rsid w:val="04C611EF"/>
    <w:rsid w:val="04DB7129"/>
    <w:rsid w:val="04DC2F60"/>
    <w:rsid w:val="04F041F2"/>
    <w:rsid w:val="04FB4EBF"/>
    <w:rsid w:val="05065F1C"/>
    <w:rsid w:val="05181418"/>
    <w:rsid w:val="052027CE"/>
    <w:rsid w:val="05283431"/>
    <w:rsid w:val="054D3B5D"/>
    <w:rsid w:val="0551139F"/>
    <w:rsid w:val="055B3806"/>
    <w:rsid w:val="057B3A71"/>
    <w:rsid w:val="058713C8"/>
    <w:rsid w:val="059D6F42"/>
    <w:rsid w:val="059E3B5D"/>
    <w:rsid w:val="05A177DE"/>
    <w:rsid w:val="05AA48C2"/>
    <w:rsid w:val="05AD4B54"/>
    <w:rsid w:val="05C1395F"/>
    <w:rsid w:val="05E43DCA"/>
    <w:rsid w:val="05F76E76"/>
    <w:rsid w:val="0602781C"/>
    <w:rsid w:val="060519C4"/>
    <w:rsid w:val="060B4C94"/>
    <w:rsid w:val="061C24C6"/>
    <w:rsid w:val="0628228C"/>
    <w:rsid w:val="063D115E"/>
    <w:rsid w:val="065920D4"/>
    <w:rsid w:val="06812833"/>
    <w:rsid w:val="06AA0817"/>
    <w:rsid w:val="06BC2BCC"/>
    <w:rsid w:val="06C91180"/>
    <w:rsid w:val="06DC202F"/>
    <w:rsid w:val="06DF3CD6"/>
    <w:rsid w:val="06E4137C"/>
    <w:rsid w:val="06EB14E0"/>
    <w:rsid w:val="06F66EBC"/>
    <w:rsid w:val="06F85085"/>
    <w:rsid w:val="07166979"/>
    <w:rsid w:val="072338A2"/>
    <w:rsid w:val="07303EE3"/>
    <w:rsid w:val="073E2106"/>
    <w:rsid w:val="075F0600"/>
    <w:rsid w:val="07672DD5"/>
    <w:rsid w:val="077136B9"/>
    <w:rsid w:val="0797132F"/>
    <w:rsid w:val="07971533"/>
    <w:rsid w:val="07B411C6"/>
    <w:rsid w:val="07C521D7"/>
    <w:rsid w:val="07C806A5"/>
    <w:rsid w:val="07D20C5E"/>
    <w:rsid w:val="07E546DB"/>
    <w:rsid w:val="07EA58FB"/>
    <w:rsid w:val="08015303"/>
    <w:rsid w:val="08244F14"/>
    <w:rsid w:val="082645F7"/>
    <w:rsid w:val="08296CCE"/>
    <w:rsid w:val="082C35AB"/>
    <w:rsid w:val="08332819"/>
    <w:rsid w:val="08585FB9"/>
    <w:rsid w:val="08640056"/>
    <w:rsid w:val="088A1839"/>
    <w:rsid w:val="088A6469"/>
    <w:rsid w:val="089B7FFE"/>
    <w:rsid w:val="08AB053C"/>
    <w:rsid w:val="08B944EA"/>
    <w:rsid w:val="08D150BA"/>
    <w:rsid w:val="08DC2EB0"/>
    <w:rsid w:val="08DC6EF7"/>
    <w:rsid w:val="08F91DC6"/>
    <w:rsid w:val="08FE3BFC"/>
    <w:rsid w:val="090B5B19"/>
    <w:rsid w:val="09223ADA"/>
    <w:rsid w:val="096A1C8D"/>
    <w:rsid w:val="09763895"/>
    <w:rsid w:val="098119F4"/>
    <w:rsid w:val="09B310AA"/>
    <w:rsid w:val="09B946E5"/>
    <w:rsid w:val="09C676BC"/>
    <w:rsid w:val="09C901BD"/>
    <w:rsid w:val="09E956CF"/>
    <w:rsid w:val="0A0765E5"/>
    <w:rsid w:val="0A0E50FF"/>
    <w:rsid w:val="0A116D9C"/>
    <w:rsid w:val="0A193F95"/>
    <w:rsid w:val="0A2045E1"/>
    <w:rsid w:val="0A205806"/>
    <w:rsid w:val="0A2C4036"/>
    <w:rsid w:val="0A446A1A"/>
    <w:rsid w:val="0A4A3D63"/>
    <w:rsid w:val="0A77327D"/>
    <w:rsid w:val="0A7E7834"/>
    <w:rsid w:val="0A8156E5"/>
    <w:rsid w:val="0A856613"/>
    <w:rsid w:val="0AA939A6"/>
    <w:rsid w:val="0AAA437E"/>
    <w:rsid w:val="0AC35152"/>
    <w:rsid w:val="0B1615C6"/>
    <w:rsid w:val="0B225DC4"/>
    <w:rsid w:val="0B270381"/>
    <w:rsid w:val="0B375527"/>
    <w:rsid w:val="0B3E0850"/>
    <w:rsid w:val="0B4A03A9"/>
    <w:rsid w:val="0B4E45B5"/>
    <w:rsid w:val="0B5350BA"/>
    <w:rsid w:val="0B5D76C3"/>
    <w:rsid w:val="0B5F6DB7"/>
    <w:rsid w:val="0B6D2119"/>
    <w:rsid w:val="0B7675F8"/>
    <w:rsid w:val="0B924BE8"/>
    <w:rsid w:val="0B962E77"/>
    <w:rsid w:val="0BC46C75"/>
    <w:rsid w:val="0BD53D4D"/>
    <w:rsid w:val="0BF57FD2"/>
    <w:rsid w:val="0BFD4BE7"/>
    <w:rsid w:val="0C00147A"/>
    <w:rsid w:val="0C0B3586"/>
    <w:rsid w:val="0C2A5CE1"/>
    <w:rsid w:val="0C364D5F"/>
    <w:rsid w:val="0C461BF1"/>
    <w:rsid w:val="0C5965C6"/>
    <w:rsid w:val="0C687884"/>
    <w:rsid w:val="0C7357A8"/>
    <w:rsid w:val="0C791057"/>
    <w:rsid w:val="0C9564D0"/>
    <w:rsid w:val="0C9A23B0"/>
    <w:rsid w:val="0C9F4C07"/>
    <w:rsid w:val="0CAD0570"/>
    <w:rsid w:val="0CBB34E0"/>
    <w:rsid w:val="0CBE3AD4"/>
    <w:rsid w:val="0CC94CE5"/>
    <w:rsid w:val="0CD85F0B"/>
    <w:rsid w:val="0CE854FE"/>
    <w:rsid w:val="0CEA1379"/>
    <w:rsid w:val="0D037C1E"/>
    <w:rsid w:val="0D0F660F"/>
    <w:rsid w:val="0D18464C"/>
    <w:rsid w:val="0D1A69FC"/>
    <w:rsid w:val="0D1C59D4"/>
    <w:rsid w:val="0D266728"/>
    <w:rsid w:val="0D321D89"/>
    <w:rsid w:val="0D3273DB"/>
    <w:rsid w:val="0D58062B"/>
    <w:rsid w:val="0D6E1535"/>
    <w:rsid w:val="0D876B24"/>
    <w:rsid w:val="0D9B23A3"/>
    <w:rsid w:val="0DAD79B5"/>
    <w:rsid w:val="0DBA733B"/>
    <w:rsid w:val="0DC65EDD"/>
    <w:rsid w:val="0DCE397C"/>
    <w:rsid w:val="0DCF06DB"/>
    <w:rsid w:val="0DDD2BD1"/>
    <w:rsid w:val="0DF23E64"/>
    <w:rsid w:val="0E356BF4"/>
    <w:rsid w:val="0E451044"/>
    <w:rsid w:val="0E48372E"/>
    <w:rsid w:val="0E5C057E"/>
    <w:rsid w:val="0E8337EC"/>
    <w:rsid w:val="0EA25B33"/>
    <w:rsid w:val="0EA8654A"/>
    <w:rsid w:val="0EB12C35"/>
    <w:rsid w:val="0EB21234"/>
    <w:rsid w:val="0EB4197F"/>
    <w:rsid w:val="0EB81550"/>
    <w:rsid w:val="0EBD083F"/>
    <w:rsid w:val="0EC3241C"/>
    <w:rsid w:val="0EC4460A"/>
    <w:rsid w:val="0F0C2578"/>
    <w:rsid w:val="0F10558F"/>
    <w:rsid w:val="0F132F3A"/>
    <w:rsid w:val="0F184516"/>
    <w:rsid w:val="0F1F58A5"/>
    <w:rsid w:val="0F2D2430"/>
    <w:rsid w:val="0F384C31"/>
    <w:rsid w:val="0F3C173B"/>
    <w:rsid w:val="0F445EAF"/>
    <w:rsid w:val="0F4F7C57"/>
    <w:rsid w:val="0F593C92"/>
    <w:rsid w:val="0F5A1B1C"/>
    <w:rsid w:val="0F6505DF"/>
    <w:rsid w:val="0F734460"/>
    <w:rsid w:val="0F772426"/>
    <w:rsid w:val="0F7E3477"/>
    <w:rsid w:val="0F865924"/>
    <w:rsid w:val="0F907180"/>
    <w:rsid w:val="0F9242C9"/>
    <w:rsid w:val="0FB00BF3"/>
    <w:rsid w:val="0FD06DFE"/>
    <w:rsid w:val="0FD2442C"/>
    <w:rsid w:val="0FEA7FC1"/>
    <w:rsid w:val="0FF9679C"/>
    <w:rsid w:val="0FFD223D"/>
    <w:rsid w:val="102D7CF9"/>
    <w:rsid w:val="102F5819"/>
    <w:rsid w:val="10360A28"/>
    <w:rsid w:val="10635A93"/>
    <w:rsid w:val="108F6BDA"/>
    <w:rsid w:val="10934EF5"/>
    <w:rsid w:val="1099314F"/>
    <w:rsid w:val="109B6E27"/>
    <w:rsid w:val="10A233B2"/>
    <w:rsid w:val="10A4325A"/>
    <w:rsid w:val="10B423AA"/>
    <w:rsid w:val="10BB53DE"/>
    <w:rsid w:val="10BC0569"/>
    <w:rsid w:val="10D66437"/>
    <w:rsid w:val="10EC16FA"/>
    <w:rsid w:val="10EF6B1B"/>
    <w:rsid w:val="10F54520"/>
    <w:rsid w:val="10F6660E"/>
    <w:rsid w:val="10F845FF"/>
    <w:rsid w:val="11057D02"/>
    <w:rsid w:val="112B7721"/>
    <w:rsid w:val="11480C7E"/>
    <w:rsid w:val="114A0BD3"/>
    <w:rsid w:val="115D5DC0"/>
    <w:rsid w:val="11796744"/>
    <w:rsid w:val="118019BC"/>
    <w:rsid w:val="11847B14"/>
    <w:rsid w:val="118E7D0F"/>
    <w:rsid w:val="119254DD"/>
    <w:rsid w:val="119623D0"/>
    <w:rsid w:val="11A53309"/>
    <w:rsid w:val="11B92300"/>
    <w:rsid w:val="11D26D01"/>
    <w:rsid w:val="11DC1B19"/>
    <w:rsid w:val="11E22BBA"/>
    <w:rsid w:val="11E36820"/>
    <w:rsid w:val="12100D66"/>
    <w:rsid w:val="12274B6F"/>
    <w:rsid w:val="122776DB"/>
    <w:rsid w:val="129D4B3D"/>
    <w:rsid w:val="129F2DA2"/>
    <w:rsid w:val="12A05508"/>
    <w:rsid w:val="12B122A7"/>
    <w:rsid w:val="12B6249F"/>
    <w:rsid w:val="12C15C8B"/>
    <w:rsid w:val="12D72EF8"/>
    <w:rsid w:val="13144FF5"/>
    <w:rsid w:val="13207E3A"/>
    <w:rsid w:val="132711CC"/>
    <w:rsid w:val="1330447C"/>
    <w:rsid w:val="1339631B"/>
    <w:rsid w:val="133C66A3"/>
    <w:rsid w:val="136A34B1"/>
    <w:rsid w:val="136F4921"/>
    <w:rsid w:val="1393060F"/>
    <w:rsid w:val="13946135"/>
    <w:rsid w:val="13BB257F"/>
    <w:rsid w:val="13BD2CCB"/>
    <w:rsid w:val="13F15DE4"/>
    <w:rsid w:val="14093161"/>
    <w:rsid w:val="140C66B1"/>
    <w:rsid w:val="140D7CAF"/>
    <w:rsid w:val="141F40F9"/>
    <w:rsid w:val="142602DA"/>
    <w:rsid w:val="14397761"/>
    <w:rsid w:val="143F2545"/>
    <w:rsid w:val="144113B5"/>
    <w:rsid w:val="145C4176"/>
    <w:rsid w:val="145F0613"/>
    <w:rsid w:val="146E38A7"/>
    <w:rsid w:val="147C2BAC"/>
    <w:rsid w:val="147E04E2"/>
    <w:rsid w:val="148122C4"/>
    <w:rsid w:val="148417F0"/>
    <w:rsid w:val="14877B41"/>
    <w:rsid w:val="14906B5C"/>
    <w:rsid w:val="14A02CE8"/>
    <w:rsid w:val="14A405FA"/>
    <w:rsid w:val="14A64831"/>
    <w:rsid w:val="14A808FC"/>
    <w:rsid w:val="14CA3D51"/>
    <w:rsid w:val="14E014E7"/>
    <w:rsid w:val="150143A0"/>
    <w:rsid w:val="15021428"/>
    <w:rsid w:val="150A0EBD"/>
    <w:rsid w:val="15174054"/>
    <w:rsid w:val="152647B1"/>
    <w:rsid w:val="15267261"/>
    <w:rsid w:val="152C2AC9"/>
    <w:rsid w:val="152C4980"/>
    <w:rsid w:val="152C6A81"/>
    <w:rsid w:val="152E570F"/>
    <w:rsid w:val="154803A1"/>
    <w:rsid w:val="15485429"/>
    <w:rsid w:val="15511932"/>
    <w:rsid w:val="15572432"/>
    <w:rsid w:val="155B49D1"/>
    <w:rsid w:val="1560391F"/>
    <w:rsid w:val="156B31A0"/>
    <w:rsid w:val="15810065"/>
    <w:rsid w:val="158F2621"/>
    <w:rsid w:val="15A84BD2"/>
    <w:rsid w:val="15C31722"/>
    <w:rsid w:val="15C643F3"/>
    <w:rsid w:val="15C67448"/>
    <w:rsid w:val="15D13671"/>
    <w:rsid w:val="15D921A6"/>
    <w:rsid w:val="15E716FD"/>
    <w:rsid w:val="15EC4007"/>
    <w:rsid w:val="16056B97"/>
    <w:rsid w:val="160639E4"/>
    <w:rsid w:val="162A5A66"/>
    <w:rsid w:val="162F799E"/>
    <w:rsid w:val="167B2AE6"/>
    <w:rsid w:val="16AB2114"/>
    <w:rsid w:val="16AD3819"/>
    <w:rsid w:val="16D81AEB"/>
    <w:rsid w:val="16D93255"/>
    <w:rsid w:val="16E935D6"/>
    <w:rsid w:val="170700D1"/>
    <w:rsid w:val="17084BB7"/>
    <w:rsid w:val="17200A75"/>
    <w:rsid w:val="17456BC3"/>
    <w:rsid w:val="17464751"/>
    <w:rsid w:val="17657BFD"/>
    <w:rsid w:val="176F1213"/>
    <w:rsid w:val="17793A3F"/>
    <w:rsid w:val="17AE30A3"/>
    <w:rsid w:val="17B12EA7"/>
    <w:rsid w:val="17BA6CE2"/>
    <w:rsid w:val="17E467AC"/>
    <w:rsid w:val="17ED55F0"/>
    <w:rsid w:val="17EE2C63"/>
    <w:rsid w:val="17EE66F7"/>
    <w:rsid w:val="17F06730"/>
    <w:rsid w:val="17FF6273"/>
    <w:rsid w:val="18074F72"/>
    <w:rsid w:val="180F4A2D"/>
    <w:rsid w:val="180F5E0C"/>
    <w:rsid w:val="18245FE1"/>
    <w:rsid w:val="182C6AFC"/>
    <w:rsid w:val="184001E3"/>
    <w:rsid w:val="18402D28"/>
    <w:rsid w:val="184A148E"/>
    <w:rsid w:val="184B3C08"/>
    <w:rsid w:val="184D722E"/>
    <w:rsid w:val="18513D29"/>
    <w:rsid w:val="1852553F"/>
    <w:rsid w:val="18587FE0"/>
    <w:rsid w:val="18A938F4"/>
    <w:rsid w:val="18B51008"/>
    <w:rsid w:val="18BE1E57"/>
    <w:rsid w:val="18CA085C"/>
    <w:rsid w:val="18D27064"/>
    <w:rsid w:val="18D439BB"/>
    <w:rsid w:val="18D447D0"/>
    <w:rsid w:val="190A07B7"/>
    <w:rsid w:val="19102702"/>
    <w:rsid w:val="191839EA"/>
    <w:rsid w:val="195C14A3"/>
    <w:rsid w:val="196A6FFE"/>
    <w:rsid w:val="1974258D"/>
    <w:rsid w:val="197D05E0"/>
    <w:rsid w:val="197E599A"/>
    <w:rsid w:val="199210B6"/>
    <w:rsid w:val="19BD2ADF"/>
    <w:rsid w:val="19C1793B"/>
    <w:rsid w:val="19D7212B"/>
    <w:rsid w:val="19F34452"/>
    <w:rsid w:val="1A217624"/>
    <w:rsid w:val="1A23674F"/>
    <w:rsid w:val="1A332204"/>
    <w:rsid w:val="1A342D86"/>
    <w:rsid w:val="1A4746C1"/>
    <w:rsid w:val="1A47744D"/>
    <w:rsid w:val="1A61446C"/>
    <w:rsid w:val="1A66728B"/>
    <w:rsid w:val="1A673775"/>
    <w:rsid w:val="1A8B55CA"/>
    <w:rsid w:val="1A9026DA"/>
    <w:rsid w:val="1AAD7B18"/>
    <w:rsid w:val="1AB20259"/>
    <w:rsid w:val="1ABF2E90"/>
    <w:rsid w:val="1AC355FA"/>
    <w:rsid w:val="1AEE642E"/>
    <w:rsid w:val="1B0424DF"/>
    <w:rsid w:val="1B1234C9"/>
    <w:rsid w:val="1B254838"/>
    <w:rsid w:val="1B445A4A"/>
    <w:rsid w:val="1B4738AD"/>
    <w:rsid w:val="1B821235"/>
    <w:rsid w:val="1B8666C1"/>
    <w:rsid w:val="1B9249C7"/>
    <w:rsid w:val="1B941112"/>
    <w:rsid w:val="1BA77737"/>
    <w:rsid w:val="1BB36BBD"/>
    <w:rsid w:val="1BB9207E"/>
    <w:rsid w:val="1C0970C3"/>
    <w:rsid w:val="1C1D7CD7"/>
    <w:rsid w:val="1C21675F"/>
    <w:rsid w:val="1C2E11AD"/>
    <w:rsid w:val="1C3476C5"/>
    <w:rsid w:val="1C36422E"/>
    <w:rsid w:val="1C39703A"/>
    <w:rsid w:val="1C4B6275"/>
    <w:rsid w:val="1C5D48C9"/>
    <w:rsid w:val="1C862906"/>
    <w:rsid w:val="1C9C6787"/>
    <w:rsid w:val="1CA151F2"/>
    <w:rsid w:val="1CBE1415"/>
    <w:rsid w:val="1CD75A11"/>
    <w:rsid w:val="1CDE2FA7"/>
    <w:rsid w:val="1D0B15FB"/>
    <w:rsid w:val="1D0E1E2E"/>
    <w:rsid w:val="1D223D33"/>
    <w:rsid w:val="1D2F269E"/>
    <w:rsid w:val="1D32494F"/>
    <w:rsid w:val="1D412E8A"/>
    <w:rsid w:val="1D4A3F64"/>
    <w:rsid w:val="1D4A51D6"/>
    <w:rsid w:val="1D6D7D0F"/>
    <w:rsid w:val="1D792624"/>
    <w:rsid w:val="1D862D2D"/>
    <w:rsid w:val="1D8A2851"/>
    <w:rsid w:val="1D8C2307"/>
    <w:rsid w:val="1D92049C"/>
    <w:rsid w:val="1D983BF0"/>
    <w:rsid w:val="1DCB6BF8"/>
    <w:rsid w:val="1DE6679E"/>
    <w:rsid w:val="1DEB423A"/>
    <w:rsid w:val="1DEB556E"/>
    <w:rsid w:val="1DEC2CAE"/>
    <w:rsid w:val="1DEC2EEF"/>
    <w:rsid w:val="1DF75C3F"/>
    <w:rsid w:val="1DFF4D53"/>
    <w:rsid w:val="1E035A41"/>
    <w:rsid w:val="1E1E4AE1"/>
    <w:rsid w:val="1E1F45CD"/>
    <w:rsid w:val="1E25455A"/>
    <w:rsid w:val="1E2E1E33"/>
    <w:rsid w:val="1E3B66C4"/>
    <w:rsid w:val="1E544E3F"/>
    <w:rsid w:val="1E5F2E26"/>
    <w:rsid w:val="1E6270A9"/>
    <w:rsid w:val="1E6B6E09"/>
    <w:rsid w:val="1E7A6829"/>
    <w:rsid w:val="1E7C50E0"/>
    <w:rsid w:val="1E840791"/>
    <w:rsid w:val="1E8F5F26"/>
    <w:rsid w:val="1EA15FCC"/>
    <w:rsid w:val="1EA63523"/>
    <w:rsid w:val="1EB13EE6"/>
    <w:rsid w:val="1EB46E1A"/>
    <w:rsid w:val="1EBB6C6C"/>
    <w:rsid w:val="1ECE09A7"/>
    <w:rsid w:val="1F07193D"/>
    <w:rsid w:val="1F130856"/>
    <w:rsid w:val="1F1B20D7"/>
    <w:rsid w:val="1F2E4FE5"/>
    <w:rsid w:val="1F2F08D8"/>
    <w:rsid w:val="1F2F50CB"/>
    <w:rsid w:val="1F353ADA"/>
    <w:rsid w:val="1F3F4EAE"/>
    <w:rsid w:val="1F566148"/>
    <w:rsid w:val="1F5D2FB5"/>
    <w:rsid w:val="1F6410B2"/>
    <w:rsid w:val="1F6D61B8"/>
    <w:rsid w:val="1F725A08"/>
    <w:rsid w:val="1F7A3837"/>
    <w:rsid w:val="1F7D25B7"/>
    <w:rsid w:val="1F7E452A"/>
    <w:rsid w:val="1F803334"/>
    <w:rsid w:val="1F870A02"/>
    <w:rsid w:val="1F943AD4"/>
    <w:rsid w:val="1F9B23CA"/>
    <w:rsid w:val="1FAD2379"/>
    <w:rsid w:val="1FBC6755"/>
    <w:rsid w:val="1FC64C41"/>
    <w:rsid w:val="1FD46237"/>
    <w:rsid w:val="1FE10E4C"/>
    <w:rsid w:val="1FE435EE"/>
    <w:rsid w:val="1FE8530B"/>
    <w:rsid w:val="1FF0469F"/>
    <w:rsid w:val="200308CB"/>
    <w:rsid w:val="200B7E34"/>
    <w:rsid w:val="201D4B97"/>
    <w:rsid w:val="2029147E"/>
    <w:rsid w:val="202E1D38"/>
    <w:rsid w:val="20322F5E"/>
    <w:rsid w:val="204038F4"/>
    <w:rsid w:val="20495AE6"/>
    <w:rsid w:val="205A7D52"/>
    <w:rsid w:val="20682AE4"/>
    <w:rsid w:val="20731E20"/>
    <w:rsid w:val="20765220"/>
    <w:rsid w:val="20861719"/>
    <w:rsid w:val="208A0FEC"/>
    <w:rsid w:val="208A4352"/>
    <w:rsid w:val="209B233E"/>
    <w:rsid w:val="209C2ECB"/>
    <w:rsid w:val="20A7116B"/>
    <w:rsid w:val="20CD258D"/>
    <w:rsid w:val="20D24967"/>
    <w:rsid w:val="20DA50C0"/>
    <w:rsid w:val="20F379F5"/>
    <w:rsid w:val="20F462B2"/>
    <w:rsid w:val="210C5DEC"/>
    <w:rsid w:val="211A6854"/>
    <w:rsid w:val="211D776A"/>
    <w:rsid w:val="212E7933"/>
    <w:rsid w:val="213172AB"/>
    <w:rsid w:val="21360924"/>
    <w:rsid w:val="217E5FBF"/>
    <w:rsid w:val="218606DD"/>
    <w:rsid w:val="21900B78"/>
    <w:rsid w:val="21A44AF1"/>
    <w:rsid w:val="21B424D9"/>
    <w:rsid w:val="21BC6F83"/>
    <w:rsid w:val="21C53E7F"/>
    <w:rsid w:val="21DE339D"/>
    <w:rsid w:val="21E362A5"/>
    <w:rsid w:val="220402F8"/>
    <w:rsid w:val="221D2285"/>
    <w:rsid w:val="222035F4"/>
    <w:rsid w:val="22217C0A"/>
    <w:rsid w:val="22244B28"/>
    <w:rsid w:val="222F2042"/>
    <w:rsid w:val="223635A3"/>
    <w:rsid w:val="223E62C4"/>
    <w:rsid w:val="224C2822"/>
    <w:rsid w:val="22693286"/>
    <w:rsid w:val="22696F0B"/>
    <w:rsid w:val="226F72F8"/>
    <w:rsid w:val="2270118C"/>
    <w:rsid w:val="22766E2F"/>
    <w:rsid w:val="22905F8B"/>
    <w:rsid w:val="22920FA3"/>
    <w:rsid w:val="229A2E2A"/>
    <w:rsid w:val="22BF31CF"/>
    <w:rsid w:val="22C11246"/>
    <w:rsid w:val="22C15D18"/>
    <w:rsid w:val="22C75BE0"/>
    <w:rsid w:val="22C97BAA"/>
    <w:rsid w:val="22E44DC1"/>
    <w:rsid w:val="22F001CE"/>
    <w:rsid w:val="22F55274"/>
    <w:rsid w:val="22F91418"/>
    <w:rsid w:val="23050218"/>
    <w:rsid w:val="23082F57"/>
    <w:rsid w:val="2319253B"/>
    <w:rsid w:val="23244DE0"/>
    <w:rsid w:val="23254C74"/>
    <w:rsid w:val="23287928"/>
    <w:rsid w:val="232D2DC8"/>
    <w:rsid w:val="232E69FA"/>
    <w:rsid w:val="233B0F02"/>
    <w:rsid w:val="234611FA"/>
    <w:rsid w:val="234912D9"/>
    <w:rsid w:val="23764329"/>
    <w:rsid w:val="23865D24"/>
    <w:rsid w:val="238C6E29"/>
    <w:rsid w:val="2392443F"/>
    <w:rsid w:val="23995561"/>
    <w:rsid w:val="23A4429B"/>
    <w:rsid w:val="23AD74CB"/>
    <w:rsid w:val="23B646CA"/>
    <w:rsid w:val="23B853F0"/>
    <w:rsid w:val="23C71C0F"/>
    <w:rsid w:val="23CE231C"/>
    <w:rsid w:val="23DE1F96"/>
    <w:rsid w:val="23F2175A"/>
    <w:rsid w:val="23F827B0"/>
    <w:rsid w:val="24057FD1"/>
    <w:rsid w:val="240D7F6A"/>
    <w:rsid w:val="241E2D03"/>
    <w:rsid w:val="24253506"/>
    <w:rsid w:val="242C55C6"/>
    <w:rsid w:val="24433EDB"/>
    <w:rsid w:val="244453A9"/>
    <w:rsid w:val="24644D00"/>
    <w:rsid w:val="246942FD"/>
    <w:rsid w:val="24754E93"/>
    <w:rsid w:val="24817AFF"/>
    <w:rsid w:val="24A40E11"/>
    <w:rsid w:val="24AA4030"/>
    <w:rsid w:val="24AF6C51"/>
    <w:rsid w:val="24CF5192"/>
    <w:rsid w:val="24D61539"/>
    <w:rsid w:val="250826D0"/>
    <w:rsid w:val="25136A2C"/>
    <w:rsid w:val="251E5539"/>
    <w:rsid w:val="25243E2E"/>
    <w:rsid w:val="25276D8D"/>
    <w:rsid w:val="25295ACF"/>
    <w:rsid w:val="253315C5"/>
    <w:rsid w:val="25490BCB"/>
    <w:rsid w:val="254D4D20"/>
    <w:rsid w:val="257B0F03"/>
    <w:rsid w:val="258C4EBE"/>
    <w:rsid w:val="25903591"/>
    <w:rsid w:val="25A705AF"/>
    <w:rsid w:val="25A97A7B"/>
    <w:rsid w:val="25FC5841"/>
    <w:rsid w:val="25FC7CEE"/>
    <w:rsid w:val="260470EF"/>
    <w:rsid w:val="26070682"/>
    <w:rsid w:val="261241BA"/>
    <w:rsid w:val="26192BF6"/>
    <w:rsid w:val="262A3F9F"/>
    <w:rsid w:val="2651109A"/>
    <w:rsid w:val="26655E3B"/>
    <w:rsid w:val="26690F27"/>
    <w:rsid w:val="26706409"/>
    <w:rsid w:val="269758A4"/>
    <w:rsid w:val="26AB4836"/>
    <w:rsid w:val="26AC09CF"/>
    <w:rsid w:val="26C32665"/>
    <w:rsid w:val="26CA0354"/>
    <w:rsid w:val="26EC0ACC"/>
    <w:rsid w:val="26ED7BDF"/>
    <w:rsid w:val="26F62BEB"/>
    <w:rsid w:val="27190A70"/>
    <w:rsid w:val="272325A0"/>
    <w:rsid w:val="27303F23"/>
    <w:rsid w:val="2732093F"/>
    <w:rsid w:val="2739217A"/>
    <w:rsid w:val="27441166"/>
    <w:rsid w:val="275B1B91"/>
    <w:rsid w:val="27665FBF"/>
    <w:rsid w:val="27681452"/>
    <w:rsid w:val="276A3F74"/>
    <w:rsid w:val="276B4A6D"/>
    <w:rsid w:val="278353FC"/>
    <w:rsid w:val="27BB70D2"/>
    <w:rsid w:val="27BF301E"/>
    <w:rsid w:val="27CE502B"/>
    <w:rsid w:val="27F47F16"/>
    <w:rsid w:val="27FB2AD3"/>
    <w:rsid w:val="281D3992"/>
    <w:rsid w:val="283705EE"/>
    <w:rsid w:val="283D229F"/>
    <w:rsid w:val="28552BDE"/>
    <w:rsid w:val="287D5AA0"/>
    <w:rsid w:val="28843855"/>
    <w:rsid w:val="28990C19"/>
    <w:rsid w:val="28993471"/>
    <w:rsid w:val="28A52679"/>
    <w:rsid w:val="28C227B0"/>
    <w:rsid w:val="28C752FB"/>
    <w:rsid w:val="28E316B7"/>
    <w:rsid w:val="28E90425"/>
    <w:rsid w:val="28EF2FC6"/>
    <w:rsid w:val="291F4B60"/>
    <w:rsid w:val="293F0683"/>
    <w:rsid w:val="294A1318"/>
    <w:rsid w:val="294D266F"/>
    <w:rsid w:val="294D46AB"/>
    <w:rsid w:val="294F3F1D"/>
    <w:rsid w:val="29650099"/>
    <w:rsid w:val="296830FB"/>
    <w:rsid w:val="29807E53"/>
    <w:rsid w:val="2987431B"/>
    <w:rsid w:val="298A241F"/>
    <w:rsid w:val="298A768E"/>
    <w:rsid w:val="298D2933"/>
    <w:rsid w:val="29BA4F07"/>
    <w:rsid w:val="29E16806"/>
    <w:rsid w:val="29ED5E31"/>
    <w:rsid w:val="29EF4092"/>
    <w:rsid w:val="29FD3180"/>
    <w:rsid w:val="2A2A7CEC"/>
    <w:rsid w:val="2A3C0E9B"/>
    <w:rsid w:val="2A444B66"/>
    <w:rsid w:val="2A617B3F"/>
    <w:rsid w:val="2A6E7F60"/>
    <w:rsid w:val="2A753149"/>
    <w:rsid w:val="2A784570"/>
    <w:rsid w:val="2A7D64BD"/>
    <w:rsid w:val="2A832D10"/>
    <w:rsid w:val="2A900CF4"/>
    <w:rsid w:val="2AB27F18"/>
    <w:rsid w:val="2AC530AA"/>
    <w:rsid w:val="2AEB2687"/>
    <w:rsid w:val="2AEF60C3"/>
    <w:rsid w:val="2B0C5540"/>
    <w:rsid w:val="2B307A17"/>
    <w:rsid w:val="2B315D6C"/>
    <w:rsid w:val="2B3666A1"/>
    <w:rsid w:val="2B636CD2"/>
    <w:rsid w:val="2B665F42"/>
    <w:rsid w:val="2B7022F0"/>
    <w:rsid w:val="2B7E47F6"/>
    <w:rsid w:val="2B8366B6"/>
    <w:rsid w:val="2B8563B9"/>
    <w:rsid w:val="2B8E71B1"/>
    <w:rsid w:val="2BAE7370"/>
    <w:rsid w:val="2BB250AC"/>
    <w:rsid w:val="2BBB5651"/>
    <w:rsid w:val="2BC80039"/>
    <w:rsid w:val="2BDA49F0"/>
    <w:rsid w:val="2BE62421"/>
    <w:rsid w:val="2BF30CBD"/>
    <w:rsid w:val="2BF6127F"/>
    <w:rsid w:val="2C126D0F"/>
    <w:rsid w:val="2C200B69"/>
    <w:rsid w:val="2C2B0B82"/>
    <w:rsid w:val="2C404777"/>
    <w:rsid w:val="2C4E6175"/>
    <w:rsid w:val="2C524149"/>
    <w:rsid w:val="2C595DB5"/>
    <w:rsid w:val="2C616529"/>
    <w:rsid w:val="2C623A1A"/>
    <w:rsid w:val="2C7F11FB"/>
    <w:rsid w:val="2C84323B"/>
    <w:rsid w:val="2C8E3C12"/>
    <w:rsid w:val="2CAB2949"/>
    <w:rsid w:val="2CAC5C21"/>
    <w:rsid w:val="2CB95A14"/>
    <w:rsid w:val="2CC214CD"/>
    <w:rsid w:val="2CC80ED2"/>
    <w:rsid w:val="2CCF2B37"/>
    <w:rsid w:val="2CD06DD8"/>
    <w:rsid w:val="2CD5539D"/>
    <w:rsid w:val="2D25282F"/>
    <w:rsid w:val="2D2C7892"/>
    <w:rsid w:val="2D3179C8"/>
    <w:rsid w:val="2D3C4642"/>
    <w:rsid w:val="2D451845"/>
    <w:rsid w:val="2D536CD6"/>
    <w:rsid w:val="2D7261E4"/>
    <w:rsid w:val="2D7566A4"/>
    <w:rsid w:val="2D7858AF"/>
    <w:rsid w:val="2D905016"/>
    <w:rsid w:val="2D9854D0"/>
    <w:rsid w:val="2DB617E4"/>
    <w:rsid w:val="2DBE707E"/>
    <w:rsid w:val="2DCA0C7A"/>
    <w:rsid w:val="2DE51610"/>
    <w:rsid w:val="2DE51F5F"/>
    <w:rsid w:val="2E126BD5"/>
    <w:rsid w:val="2E136E43"/>
    <w:rsid w:val="2E1D7E44"/>
    <w:rsid w:val="2E3E45E8"/>
    <w:rsid w:val="2E4E71BC"/>
    <w:rsid w:val="2E597423"/>
    <w:rsid w:val="2E601F6B"/>
    <w:rsid w:val="2E616E03"/>
    <w:rsid w:val="2E6E2063"/>
    <w:rsid w:val="2E730714"/>
    <w:rsid w:val="2E8F2AFD"/>
    <w:rsid w:val="2EC44C53"/>
    <w:rsid w:val="2EC47713"/>
    <w:rsid w:val="2ECF44A2"/>
    <w:rsid w:val="2EEC0378"/>
    <w:rsid w:val="2EF95052"/>
    <w:rsid w:val="2F0543A3"/>
    <w:rsid w:val="2F1C3757"/>
    <w:rsid w:val="2F25284B"/>
    <w:rsid w:val="2F2E7E33"/>
    <w:rsid w:val="2F4D362F"/>
    <w:rsid w:val="2F544545"/>
    <w:rsid w:val="2F657C37"/>
    <w:rsid w:val="2F6B0813"/>
    <w:rsid w:val="2F6C023B"/>
    <w:rsid w:val="2F734A93"/>
    <w:rsid w:val="2F8921CE"/>
    <w:rsid w:val="2F897CF3"/>
    <w:rsid w:val="2F9A492A"/>
    <w:rsid w:val="2FA605B5"/>
    <w:rsid w:val="2FA65310"/>
    <w:rsid w:val="2FB34539"/>
    <w:rsid w:val="2FB971F8"/>
    <w:rsid w:val="2FCA28F8"/>
    <w:rsid w:val="2FCE49C3"/>
    <w:rsid w:val="2FD2010B"/>
    <w:rsid w:val="2FDE0FE8"/>
    <w:rsid w:val="2FE06C59"/>
    <w:rsid w:val="2FE5137F"/>
    <w:rsid w:val="300F1DCF"/>
    <w:rsid w:val="30181075"/>
    <w:rsid w:val="30400047"/>
    <w:rsid w:val="304C1097"/>
    <w:rsid w:val="30807EB8"/>
    <w:rsid w:val="308714DC"/>
    <w:rsid w:val="30872ADE"/>
    <w:rsid w:val="309C41B8"/>
    <w:rsid w:val="30A050E6"/>
    <w:rsid w:val="30A335BA"/>
    <w:rsid w:val="30C50D32"/>
    <w:rsid w:val="30DA3939"/>
    <w:rsid w:val="30E8698D"/>
    <w:rsid w:val="30F304E8"/>
    <w:rsid w:val="30F42280"/>
    <w:rsid w:val="30F93D50"/>
    <w:rsid w:val="31077F81"/>
    <w:rsid w:val="31134FBD"/>
    <w:rsid w:val="313A4DE0"/>
    <w:rsid w:val="315901AB"/>
    <w:rsid w:val="315D36A0"/>
    <w:rsid w:val="3172765E"/>
    <w:rsid w:val="317927AC"/>
    <w:rsid w:val="318246F5"/>
    <w:rsid w:val="31894235"/>
    <w:rsid w:val="318D5E09"/>
    <w:rsid w:val="319D236E"/>
    <w:rsid w:val="31B62138"/>
    <w:rsid w:val="31C954A1"/>
    <w:rsid w:val="31DF245B"/>
    <w:rsid w:val="31ED180F"/>
    <w:rsid w:val="31FE2D6B"/>
    <w:rsid w:val="3200319D"/>
    <w:rsid w:val="32036F25"/>
    <w:rsid w:val="32104DEA"/>
    <w:rsid w:val="32335040"/>
    <w:rsid w:val="324423ED"/>
    <w:rsid w:val="32520EBF"/>
    <w:rsid w:val="32535A93"/>
    <w:rsid w:val="32576401"/>
    <w:rsid w:val="326742AA"/>
    <w:rsid w:val="326E23E6"/>
    <w:rsid w:val="327515D8"/>
    <w:rsid w:val="327F1BDB"/>
    <w:rsid w:val="328A248E"/>
    <w:rsid w:val="328D7E82"/>
    <w:rsid w:val="32967F22"/>
    <w:rsid w:val="32A93554"/>
    <w:rsid w:val="32B17AB6"/>
    <w:rsid w:val="32CF3C28"/>
    <w:rsid w:val="32D46EB9"/>
    <w:rsid w:val="32E53BD9"/>
    <w:rsid w:val="33011BF3"/>
    <w:rsid w:val="33034DAD"/>
    <w:rsid w:val="331A180F"/>
    <w:rsid w:val="33372596"/>
    <w:rsid w:val="334E2754"/>
    <w:rsid w:val="334F350D"/>
    <w:rsid w:val="33583D31"/>
    <w:rsid w:val="335E433E"/>
    <w:rsid w:val="336A2CE3"/>
    <w:rsid w:val="336C401D"/>
    <w:rsid w:val="33843D28"/>
    <w:rsid w:val="33A619A9"/>
    <w:rsid w:val="33C92D8D"/>
    <w:rsid w:val="33CE2821"/>
    <w:rsid w:val="33CE6BB7"/>
    <w:rsid w:val="33E34E95"/>
    <w:rsid w:val="33EE4CF1"/>
    <w:rsid w:val="33FA7DD1"/>
    <w:rsid w:val="344B1C78"/>
    <w:rsid w:val="344D703D"/>
    <w:rsid w:val="34871673"/>
    <w:rsid w:val="34884A6B"/>
    <w:rsid w:val="348E7785"/>
    <w:rsid w:val="34AF61E9"/>
    <w:rsid w:val="34C12776"/>
    <w:rsid w:val="34E45595"/>
    <w:rsid w:val="34E46CD6"/>
    <w:rsid w:val="350D4B00"/>
    <w:rsid w:val="3514605D"/>
    <w:rsid w:val="351F3659"/>
    <w:rsid w:val="351F36A9"/>
    <w:rsid w:val="352C3F90"/>
    <w:rsid w:val="353F1BCD"/>
    <w:rsid w:val="354D23B5"/>
    <w:rsid w:val="354D6418"/>
    <w:rsid w:val="3552114B"/>
    <w:rsid w:val="35585F3B"/>
    <w:rsid w:val="35616349"/>
    <w:rsid w:val="356C359A"/>
    <w:rsid w:val="357C09B2"/>
    <w:rsid w:val="35831E3A"/>
    <w:rsid w:val="35A20240"/>
    <w:rsid w:val="35AE2B72"/>
    <w:rsid w:val="35DD1A4F"/>
    <w:rsid w:val="35DF1819"/>
    <w:rsid w:val="360B2CBE"/>
    <w:rsid w:val="36112640"/>
    <w:rsid w:val="363B44C3"/>
    <w:rsid w:val="363F21F7"/>
    <w:rsid w:val="3642601E"/>
    <w:rsid w:val="3647730B"/>
    <w:rsid w:val="364C66D0"/>
    <w:rsid w:val="36654A0E"/>
    <w:rsid w:val="366D4898"/>
    <w:rsid w:val="36853DD2"/>
    <w:rsid w:val="36963DEF"/>
    <w:rsid w:val="36A22794"/>
    <w:rsid w:val="36A565DF"/>
    <w:rsid w:val="36E177D3"/>
    <w:rsid w:val="370B3DA5"/>
    <w:rsid w:val="37256EBC"/>
    <w:rsid w:val="37285C31"/>
    <w:rsid w:val="37316E50"/>
    <w:rsid w:val="373C7AA9"/>
    <w:rsid w:val="374675C3"/>
    <w:rsid w:val="374E7899"/>
    <w:rsid w:val="375E138C"/>
    <w:rsid w:val="37614ABA"/>
    <w:rsid w:val="37632CB7"/>
    <w:rsid w:val="37644007"/>
    <w:rsid w:val="37645489"/>
    <w:rsid w:val="37727832"/>
    <w:rsid w:val="37861566"/>
    <w:rsid w:val="37AB5678"/>
    <w:rsid w:val="37BE75B8"/>
    <w:rsid w:val="37C16A72"/>
    <w:rsid w:val="37C22E69"/>
    <w:rsid w:val="37CD31CF"/>
    <w:rsid w:val="37D2608F"/>
    <w:rsid w:val="37D3697D"/>
    <w:rsid w:val="37EB1F18"/>
    <w:rsid w:val="37FC15D8"/>
    <w:rsid w:val="38066ABA"/>
    <w:rsid w:val="38144872"/>
    <w:rsid w:val="38262F51"/>
    <w:rsid w:val="3833394B"/>
    <w:rsid w:val="384004B6"/>
    <w:rsid w:val="384645B9"/>
    <w:rsid w:val="38465E11"/>
    <w:rsid w:val="384768E4"/>
    <w:rsid w:val="38515636"/>
    <w:rsid w:val="38753E12"/>
    <w:rsid w:val="38940A58"/>
    <w:rsid w:val="38970C93"/>
    <w:rsid w:val="389E3083"/>
    <w:rsid w:val="38B278E7"/>
    <w:rsid w:val="38D2659F"/>
    <w:rsid w:val="38F4205B"/>
    <w:rsid w:val="38F52C52"/>
    <w:rsid w:val="39294987"/>
    <w:rsid w:val="394818FF"/>
    <w:rsid w:val="395809E7"/>
    <w:rsid w:val="39692660"/>
    <w:rsid w:val="396E0176"/>
    <w:rsid w:val="3970375D"/>
    <w:rsid w:val="3976087D"/>
    <w:rsid w:val="39816555"/>
    <w:rsid w:val="399A795B"/>
    <w:rsid w:val="39A165E5"/>
    <w:rsid w:val="39A93F0B"/>
    <w:rsid w:val="39B37DB1"/>
    <w:rsid w:val="39B511FB"/>
    <w:rsid w:val="39C10F53"/>
    <w:rsid w:val="39C34271"/>
    <w:rsid w:val="39E210C2"/>
    <w:rsid w:val="39FD0B42"/>
    <w:rsid w:val="3A0B7B66"/>
    <w:rsid w:val="3A0F16F2"/>
    <w:rsid w:val="3A1868CB"/>
    <w:rsid w:val="3A1E5597"/>
    <w:rsid w:val="3A27650D"/>
    <w:rsid w:val="3A2D188D"/>
    <w:rsid w:val="3A343F1C"/>
    <w:rsid w:val="3A3449D1"/>
    <w:rsid w:val="3A404762"/>
    <w:rsid w:val="3A670030"/>
    <w:rsid w:val="3A675A7B"/>
    <w:rsid w:val="3A705C13"/>
    <w:rsid w:val="3A8914AF"/>
    <w:rsid w:val="3AA8477D"/>
    <w:rsid w:val="3AAD03A9"/>
    <w:rsid w:val="3ACB41F5"/>
    <w:rsid w:val="3AD74633"/>
    <w:rsid w:val="3B053FAB"/>
    <w:rsid w:val="3B1971BC"/>
    <w:rsid w:val="3B420D7B"/>
    <w:rsid w:val="3B763A7F"/>
    <w:rsid w:val="3B790063"/>
    <w:rsid w:val="3B974891"/>
    <w:rsid w:val="3B9B5332"/>
    <w:rsid w:val="3BAD1712"/>
    <w:rsid w:val="3BB045E5"/>
    <w:rsid w:val="3BBA703F"/>
    <w:rsid w:val="3BBF2FCB"/>
    <w:rsid w:val="3BC062F9"/>
    <w:rsid w:val="3BE52F64"/>
    <w:rsid w:val="3BE96F9D"/>
    <w:rsid w:val="3BF35EA0"/>
    <w:rsid w:val="3BF87331"/>
    <w:rsid w:val="3BFD39BA"/>
    <w:rsid w:val="3C01362C"/>
    <w:rsid w:val="3C057B00"/>
    <w:rsid w:val="3C1146C6"/>
    <w:rsid w:val="3C1852A6"/>
    <w:rsid w:val="3C2123DD"/>
    <w:rsid w:val="3C2D2B00"/>
    <w:rsid w:val="3C3B1949"/>
    <w:rsid w:val="3C515C88"/>
    <w:rsid w:val="3C746980"/>
    <w:rsid w:val="3C952FE8"/>
    <w:rsid w:val="3C9E4618"/>
    <w:rsid w:val="3CA15757"/>
    <w:rsid w:val="3CAC29B4"/>
    <w:rsid w:val="3CBC7E30"/>
    <w:rsid w:val="3CDB1C7F"/>
    <w:rsid w:val="3CDC26A0"/>
    <w:rsid w:val="3CDD5D0A"/>
    <w:rsid w:val="3CDE66F6"/>
    <w:rsid w:val="3CE54EE8"/>
    <w:rsid w:val="3CEF663F"/>
    <w:rsid w:val="3CF7087B"/>
    <w:rsid w:val="3D143CBF"/>
    <w:rsid w:val="3D1B49A8"/>
    <w:rsid w:val="3D1D4AE8"/>
    <w:rsid w:val="3D1E3EA7"/>
    <w:rsid w:val="3D40450C"/>
    <w:rsid w:val="3D7512FC"/>
    <w:rsid w:val="3D841898"/>
    <w:rsid w:val="3D88798D"/>
    <w:rsid w:val="3DA6119F"/>
    <w:rsid w:val="3DCC00F6"/>
    <w:rsid w:val="3DCF625D"/>
    <w:rsid w:val="3DDA5B4D"/>
    <w:rsid w:val="3DE70F85"/>
    <w:rsid w:val="3DE761EC"/>
    <w:rsid w:val="3E055610"/>
    <w:rsid w:val="3E266F25"/>
    <w:rsid w:val="3E287A22"/>
    <w:rsid w:val="3E2E12AE"/>
    <w:rsid w:val="3E4275E4"/>
    <w:rsid w:val="3E691DE9"/>
    <w:rsid w:val="3E702C70"/>
    <w:rsid w:val="3E902FDE"/>
    <w:rsid w:val="3EA324DC"/>
    <w:rsid w:val="3EAF47DC"/>
    <w:rsid w:val="3EB17050"/>
    <w:rsid w:val="3EB22106"/>
    <w:rsid w:val="3EB73E82"/>
    <w:rsid w:val="3EB96F61"/>
    <w:rsid w:val="3EBD6873"/>
    <w:rsid w:val="3EC62D97"/>
    <w:rsid w:val="3EC74F15"/>
    <w:rsid w:val="3EC8268A"/>
    <w:rsid w:val="3EC97E3F"/>
    <w:rsid w:val="3EF1608B"/>
    <w:rsid w:val="3F203782"/>
    <w:rsid w:val="3F2F15A1"/>
    <w:rsid w:val="3F2F1880"/>
    <w:rsid w:val="3F3116D1"/>
    <w:rsid w:val="3F4140C6"/>
    <w:rsid w:val="3F455B7C"/>
    <w:rsid w:val="3F64104A"/>
    <w:rsid w:val="3F85653F"/>
    <w:rsid w:val="3FAA616E"/>
    <w:rsid w:val="3FB61A31"/>
    <w:rsid w:val="3FCE12D4"/>
    <w:rsid w:val="3FE034E4"/>
    <w:rsid w:val="3FE1611A"/>
    <w:rsid w:val="3FF26E7D"/>
    <w:rsid w:val="3FF67245"/>
    <w:rsid w:val="400022D9"/>
    <w:rsid w:val="4003379A"/>
    <w:rsid w:val="40096DCE"/>
    <w:rsid w:val="40103BD8"/>
    <w:rsid w:val="40123A47"/>
    <w:rsid w:val="402D1FF6"/>
    <w:rsid w:val="40565FD4"/>
    <w:rsid w:val="40566206"/>
    <w:rsid w:val="405916AE"/>
    <w:rsid w:val="405C39B3"/>
    <w:rsid w:val="406425E6"/>
    <w:rsid w:val="409470D3"/>
    <w:rsid w:val="40AA3915"/>
    <w:rsid w:val="40AF5CAB"/>
    <w:rsid w:val="40C86066"/>
    <w:rsid w:val="40C94909"/>
    <w:rsid w:val="40D4713D"/>
    <w:rsid w:val="40D5234F"/>
    <w:rsid w:val="410A0E4B"/>
    <w:rsid w:val="41164AEC"/>
    <w:rsid w:val="412529D1"/>
    <w:rsid w:val="41331B00"/>
    <w:rsid w:val="41391F47"/>
    <w:rsid w:val="414E0CCE"/>
    <w:rsid w:val="414F6A56"/>
    <w:rsid w:val="416673FB"/>
    <w:rsid w:val="416D26C0"/>
    <w:rsid w:val="417F376C"/>
    <w:rsid w:val="418954B3"/>
    <w:rsid w:val="419351C5"/>
    <w:rsid w:val="41D759CF"/>
    <w:rsid w:val="41E43129"/>
    <w:rsid w:val="420618EE"/>
    <w:rsid w:val="420D7169"/>
    <w:rsid w:val="420E065B"/>
    <w:rsid w:val="420F3BB4"/>
    <w:rsid w:val="421E45DC"/>
    <w:rsid w:val="422F5F27"/>
    <w:rsid w:val="42625DC2"/>
    <w:rsid w:val="427F1EA9"/>
    <w:rsid w:val="429719C5"/>
    <w:rsid w:val="42B11D34"/>
    <w:rsid w:val="42C12D22"/>
    <w:rsid w:val="42C41E76"/>
    <w:rsid w:val="42D01C95"/>
    <w:rsid w:val="42D55BC5"/>
    <w:rsid w:val="42D85D35"/>
    <w:rsid w:val="42DC5219"/>
    <w:rsid w:val="42E10FAA"/>
    <w:rsid w:val="42EF0D5D"/>
    <w:rsid w:val="43006079"/>
    <w:rsid w:val="430125FC"/>
    <w:rsid w:val="430C405D"/>
    <w:rsid w:val="430E4FBA"/>
    <w:rsid w:val="43135828"/>
    <w:rsid w:val="43194DFB"/>
    <w:rsid w:val="431A7B82"/>
    <w:rsid w:val="432438F6"/>
    <w:rsid w:val="432E1E55"/>
    <w:rsid w:val="433E6C89"/>
    <w:rsid w:val="43420F00"/>
    <w:rsid w:val="435439BE"/>
    <w:rsid w:val="43560B8E"/>
    <w:rsid w:val="435A2FE8"/>
    <w:rsid w:val="43657023"/>
    <w:rsid w:val="439000C8"/>
    <w:rsid w:val="439D6DD1"/>
    <w:rsid w:val="439E2AEB"/>
    <w:rsid w:val="439E597D"/>
    <w:rsid w:val="43B253F6"/>
    <w:rsid w:val="43ED7965"/>
    <w:rsid w:val="440139DB"/>
    <w:rsid w:val="44135269"/>
    <w:rsid w:val="441713AB"/>
    <w:rsid w:val="441E766A"/>
    <w:rsid w:val="443F68DF"/>
    <w:rsid w:val="44544FE5"/>
    <w:rsid w:val="445604C1"/>
    <w:rsid w:val="44672EC9"/>
    <w:rsid w:val="448C37BD"/>
    <w:rsid w:val="448C521B"/>
    <w:rsid w:val="44937BC0"/>
    <w:rsid w:val="449421AD"/>
    <w:rsid w:val="44961374"/>
    <w:rsid w:val="44A64D02"/>
    <w:rsid w:val="44AE308E"/>
    <w:rsid w:val="44BA252D"/>
    <w:rsid w:val="44E65F41"/>
    <w:rsid w:val="44E80571"/>
    <w:rsid w:val="44E87F0C"/>
    <w:rsid w:val="450375C9"/>
    <w:rsid w:val="45086C12"/>
    <w:rsid w:val="450C6A2F"/>
    <w:rsid w:val="450E2D12"/>
    <w:rsid w:val="452442FF"/>
    <w:rsid w:val="45403EA8"/>
    <w:rsid w:val="4541644A"/>
    <w:rsid w:val="454B3D0E"/>
    <w:rsid w:val="4559296E"/>
    <w:rsid w:val="455D0279"/>
    <w:rsid w:val="455E07D4"/>
    <w:rsid w:val="456846BA"/>
    <w:rsid w:val="456C23D4"/>
    <w:rsid w:val="457C5ADD"/>
    <w:rsid w:val="45C71F67"/>
    <w:rsid w:val="45E21D87"/>
    <w:rsid w:val="45EF6BF6"/>
    <w:rsid w:val="46072836"/>
    <w:rsid w:val="4634729E"/>
    <w:rsid w:val="463806ED"/>
    <w:rsid w:val="46386C71"/>
    <w:rsid w:val="46707156"/>
    <w:rsid w:val="467852BF"/>
    <w:rsid w:val="467B07B9"/>
    <w:rsid w:val="468328CD"/>
    <w:rsid w:val="46853538"/>
    <w:rsid w:val="468A6973"/>
    <w:rsid w:val="468E6B13"/>
    <w:rsid w:val="46910740"/>
    <w:rsid w:val="46957C1F"/>
    <w:rsid w:val="46A42030"/>
    <w:rsid w:val="46A47C72"/>
    <w:rsid w:val="46AA0164"/>
    <w:rsid w:val="46CE672C"/>
    <w:rsid w:val="46D257E4"/>
    <w:rsid w:val="46DD2AE1"/>
    <w:rsid w:val="46E176C2"/>
    <w:rsid w:val="46EF40BE"/>
    <w:rsid w:val="46F72688"/>
    <w:rsid w:val="46F846EC"/>
    <w:rsid w:val="471D0439"/>
    <w:rsid w:val="47396946"/>
    <w:rsid w:val="477105B8"/>
    <w:rsid w:val="478D4D9A"/>
    <w:rsid w:val="47904B3D"/>
    <w:rsid w:val="47B33006"/>
    <w:rsid w:val="47BB3A68"/>
    <w:rsid w:val="47CC58C3"/>
    <w:rsid w:val="47D50C84"/>
    <w:rsid w:val="47D83E2E"/>
    <w:rsid w:val="47F70218"/>
    <w:rsid w:val="48040C75"/>
    <w:rsid w:val="48147880"/>
    <w:rsid w:val="48150F3A"/>
    <w:rsid w:val="481B23A6"/>
    <w:rsid w:val="48322BB6"/>
    <w:rsid w:val="48541BEF"/>
    <w:rsid w:val="48676E0F"/>
    <w:rsid w:val="48755FCD"/>
    <w:rsid w:val="487572C6"/>
    <w:rsid w:val="48866F14"/>
    <w:rsid w:val="488900F6"/>
    <w:rsid w:val="488F68B3"/>
    <w:rsid w:val="48945339"/>
    <w:rsid w:val="48B8689E"/>
    <w:rsid w:val="48C12B85"/>
    <w:rsid w:val="48ED3E2A"/>
    <w:rsid w:val="48F542B1"/>
    <w:rsid w:val="48F85E50"/>
    <w:rsid w:val="490219B4"/>
    <w:rsid w:val="490E2F15"/>
    <w:rsid w:val="49153299"/>
    <w:rsid w:val="493045FA"/>
    <w:rsid w:val="49376664"/>
    <w:rsid w:val="49422508"/>
    <w:rsid w:val="494345B8"/>
    <w:rsid w:val="495C057F"/>
    <w:rsid w:val="495D5B28"/>
    <w:rsid w:val="49697141"/>
    <w:rsid w:val="497004D0"/>
    <w:rsid w:val="497201DF"/>
    <w:rsid w:val="49746873"/>
    <w:rsid w:val="498816F5"/>
    <w:rsid w:val="499F6739"/>
    <w:rsid w:val="49D176AD"/>
    <w:rsid w:val="49D24C1C"/>
    <w:rsid w:val="49DD71DE"/>
    <w:rsid w:val="49F66C27"/>
    <w:rsid w:val="49FD5D00"/>
    <w:rsid w:val="4A0939B4"/>
    <w:rsid w:val="4A0D6F79"/>
    <w:rsid w:val="4A1C5470"/>
    <w:rsid w:val="4A2D101A"/>
    <w:rsid w:val="4A414DED"/>
    <w:rsid w:val="4A5359BB"/>
    <w:rsid w:val="4A5434F4"/>
    <w:rsid w:val="4A5A0473"/>
    <w:rsid w:val="4A5D5518"/>
    <w:rsid w:val="4A6D4A0F"/>
    <w:rsid w:val="4A706E4F"/>
    <w:rsid w:val="4A742F4C"/>
    <w:rsid w:val="4A8E6457"/>
    <w:rsid w:val="4A950D54"/>
    <w:rsid w:val="4AB4478E"/>
    <w:rsid w:val="4ABF0BF8"/>
    <w:rsid w:val="4AC920F5"/>
    <w:rsid w:val="4AC936C6"/>
    <w:rsid w:val="4B025DC2"/>
    <w:rsid w:val="4B3B5FD3"/>
    <w:rsid w:val="4B561689"/>
    <w:rsid w:val="4B63139A"/>
    <w:rsid w:val="4B677537"/>
    <w:rsid w:val="4B706BFC"/>
    <w:rsid w:val="4B944B64"/>
    <w:rsid w:val="4B973C92"/>
    <w:rsid w:val="4BAF3A1D"/>
    <w:rsid w:val="4BB03743"/>
    <w:rsid w:val="4BB17DE5"/>
    <w:rsid w:val="4BBA29B1"/>
    <w:rsid w:val="4BBE3774"/>
    <w:rsid w:val="4BC66911"/>
    <w:rsid w:val="4C0249ED"/>
    <w:rsid w:val="4C03411B"/>
    <w:rsid w:val="4C1E2EF1"/>
    <w:rsid w:val="4C21339D"/>
    <w:rsid w:val="4C2C70A6"/>
    <w:rsid w:val="4C3C1C89"/>
    <w:rsid w:val="4C5C704E"/>
    <w:rsid w:val="4C6C769A"/>
    <w:rsid w:val="4C6E28AC"/>
    <w:rsid w:val="4C7A3940"/>
    <w:rsid w:val="4C90211B"/>
    <w:rsid w:val="4C9B1E24"/>
    <w:rsid w:val="4CA61048"/>
    <w:rsid w:val="4CB639CD"/>
    <w:rsid w:val="4CBB122D"/>
    <w:rsid w:val="4CE2083A"/>
    <w:rsid w:val="4D017AAA"/>
    <w:rsid w:val="4D071D2C"/>
    <w:rsid w:val="4D116A78"/>
    <w:rsid w:val="4D1D7B5E"/>
    <w:rsid w:val="4D2272DB"/>
    <w:rsid w:val="4D283BA9"/>
    <w:rsid w:val="4D3D47B0"/>
    <w:rsid w:val="4D4001B9"/>
    <w:rsid w:val="4D5A48E5"/>
    <w:rsid w:val="4D7C2380"/>
    <w:rsid w:val="4D827643"/>
    <w:rsid w:val="4D9C3753"/>
    <w:rsid w:val="4DA51EDA"/>
    <w:rsid w:val="4DAB6217"/>
    <w:rsid w:val="4DAC7A33"/>
    <w:rsid w:val="4DB05D4A"/>
    <w:rsid w:val="4DC75626"/>
    <w:rsid w:val="4DD06497"/>
    <w:rsid w:val="4DD454D1"/>
    <w:rsid w:val="4DD51BBB"/>
    <w:rsid w:val="4DF56355"/>
    <w:rsid w:val="4DF64568"/>
    <w:rsid w:val="4E014F57"/>
    <w:rsid w:val="4E2115B5"/>
    <w:rsid w:val="4E230BB9"/>
    <w:rsid w:val="4E2C5EF9"/>
    <w:rsid w:val="4E540B7A"/>
    <w:rsid w:val="4E545BBA"/>
    <w:rsid w:val="4E573921"/>
    <w:rsid w:val="4E6739A8"/>
    <w:rsid w:val="4E685C19"/>
    <w:rsid w:val="4E92589D"/>
    <w:rsid w:val="4E9F4957"/>
    <w:rsid w:val="4ECF57C5"/>
    <w:rsid w:val="4EDE7C89"/>
    <w:rsid w:val="4EE33EED"/>
    <w:rsid w:val="4F1C0A46"/>
    <w:rsid w:val="4F3A2194"/>
    <w:rsid w:val="4F4F2935"/>
    <w:rsid w:val="4F531035"/>
    <w:rsid w:val="4F587128"/>
    <w:rsid w:val="4F5B186E"/>
    <w:rsid w:val="4F6239A8"/>
    <w:rsid w:val="4F6A17CD"/>
    <w:rsid w:val="4F7B5FE5"/>
    <w:rsid w:val="4F955389"/>
    <w:rsid w:val="4F9D1E0B"/>
    <w:rsid w:val="4FB54591"/>
    <w:rsid w:val="4FBD750E"/>
    <w:rsid w:val="4FC13159"/>
    <w:rsid w:val="4FD572DE"/>
    <w:rsid w:val="4FEC7613"/>
    <w:rsid w:val="502D1AB1"/>
    <w:rsid w:val="504373A3"/>
    <w:rsid w:val="5046686A"/>
    <w:rsid w:val="504A3B4B"/>
    <w:rsid w:val="505159BD"/>
    <w:rsid w:val="50555CD5"/>
    <w:rsid w:val="505851D5"/>
    <w:rsid w:val="505A51AF"/>
    <w:rsid w:val="506D2F7E"/>
    <w:rsid w:val="50836E98"/>
    <w:rsid w:val="50842638"/>
    <w:rsid w:val="50B80D86"/>
    <w:rsid w:val="50BA402F"/>
    <w:rsid w:val="50CB1D20"/>
    <w:rsid w:val="50CD545E"/>
    <w:rsid w:val="50D26119"/>
    <w:rsid w:val="50D43B76"/>
    <w:rsid w:val="50EC0364"/>
    <w:rsid w:val="51081011"/>
    <w:rsid w:val="512A365A"/>
    <w:rsid w:val="51332382"/>
    <w:rsid w:val="513E0F69"/>
    <w:rsid w:val="51477EEB"/>
    <w:rsid w:val="514C6649"/>
    <w:rsid w:val="51507FF3"/>
    <w:rsid w:val="51635754"/>
    <w:rsid w:val="51684408"/>
    <w:rsid w:val="516E2A5F"/>
    <w:rsid w:val="517D7C21"/>
    <w:rsid w:val="51825080"/>
    <w:rsid w:val="51913CDA"/>
    <w:rsid w:val="51971C2C"/>
    <w:rsid w:val="51977AB5"/>
    <w:rsid w:val="51A212BC"/>
    <w:rsid w:val="51AB7CDB"/>
    <w:rsid w:val="51B03B5F"/>
    <w:rsid w:val="51C87DE6"/>
    <w:rsid w:val="51CC4711"/>
    <w:rsid w:val="51E25573"/>
    <w:rsid w:val="51FF0979"/>
    <w:rsid w:val="52045352"/>
    <w:rsid w:val="520E2CE4"/>
    <w:rsid w:val="522026DB"/>
    <w:rsid w:val="522142DA"/>
    <w:rsid w:val="52270E26"/>
    <w:rsid w:val="52322BFD"/>
    <w:rsid w:val="523E5864"/>
    <w:rsid w:val="52477016"/>
    <w:rsid w:val="52594FE0"/>
    <w:rsid w:val="525B26DF"/>
    <w:rsid w:val="52767C8E"/>
    <w:rsid w:val="527E60D2"/>
    <w:rsid w:val="527F68E9"/>
    <w:rsid w:val="52980627"/>
    <w:rsid w:val="52AB6198"/>
    <w:rsid w:val="52AC6365"/>
    <w:rsid w:val="52AF52B2"/>
    <w:rsid w:val="52BA27BB"/>
    <w:rsid w:val="52D71C0A"/>
    <w:rsid w:val="52DB10B0"/>
    <w:rsid w:val="52E642A5"/>
    <w:rsid w:val="52F633E1"/>
    <w:rsid w:val="530A076A"/>
    <w:rsid w:val="531644AB"/>
    <w:rsid w:val="532D5FC1"/>
    <w:rsid w:val="53451C14"/>
    <w:rsid w:val="534660F3"/>
    <w:rsid w:val="535B3264"/>
    <w:rsid w:val="535E4EAD"/>
    <w:rsid w:val="536522DE"/>
    <w:rsid w:val="53883F7E"/>
    <w:rsid w:val="538E784F"/>
    <w:rsid w:val="53A07C03"/>
    <w:rsid w:val="53BE1551"/>
    <w:rsid w:val="53D84A33"/>
    <w:rsid w:val="53DC0FC8"/>
    <w:rsid w:val="53DF072C"/>
    <w:rsid w:val="53E834EC"/>
    <w:rsid w:val="53F9175F"/>
    <w:rsid w:val="54197D4F"/>
    <w:rsid w:val="543006A9"/>
    <w:rsid w:val="5433225A"/>
    <w:rsid w:val="54341B49"/>
    <w:rsid w:val="543A0058"/>
    <w:rsid w:val="545F65FE"/>
    <w:rsid w:val="54675BFB"/>
    <w:rsid w:val="546B027D"/>
    <w:rsid w:val="54751E52"/>
    <w:rsid w:val="54831D0B"/>
    <w:rsid w:val="54890B4F"/>
    <w:rsid w:val="548A4FA4"/>
    <w:rsid w:val="54903FEA"/>
    <w:rsid w:val="549112DC"/>
    <w:rsid w:val="549935C6"/>
    <w:rsid w:val="54C94F5D"/>
    <w:rsid w:val="54CF573C"/>
    <w:rsid w:val="54D62CC5"/>
    <w:rsid w:val="54DA0EF3"/>
    <w:rsid w:val="54E17AD3"/>
    <w:rsid w:val="54EE3960"/>
    <w:rsid w:val="54FB273C"/>
    <w:rsid w:val="550F5D1A"/>
    <w:rsid w:val="550F79D3"/>
    <w:rsid w:val="55125C75"/>
    <w:rsid w:val="55290239"/>
    <w:rsid w:val="553E2227"/>
    <w:rsid w:val="55430467"/>
    <w:rsid w:val="55502FB2"/>
    <w:rsid w:val="5560176F"/>
    <w:rsid w:val="55602646"/>
    <w:rsid w:val="557669C3"/>
    <w:rsid w:val="55835522"/>
    <w:rsid w:val="558F3537"/>
    <w:rsid w:val="55CE5FA0"/>
    <w:rsid w:val="55CE79D1"/>
    <w:rsid w:val="55CF1009"/>
    <w:rsid w:val="55D62A23"/>
    <w:rsid w:val="55E52EE7"/>
    <w:rsid w:val="55E52FAE"/>
    <w:rsid w:val="55FC75D9"/>
    <w:rsid w:val="55FD75DF"/>
    <w:rsid w:val="5609334C"/>
    <w:rsid w:val="560E70A6"/>
    <w:rsid w:val="56197CAE"/>
    <w:rsid w:val="561B13C3"/>
    <w:rsid w:val="561C275C"/>
    <w:rsid w:val="561F7C0C"/>
    <w:rsid w:val="56222B52"/>
    <w:rsid w:val="56284268"/>
    <w:rsid w:val="563C2D75"/>
    <w:rsid w:val="563C5042"/>
    <w:rsid w:val="564D6AFA"/>
    <w:rsid w:val="566B7C4B"/>
    <w:rsid w:val="566D0271"/>
    <w:rsid w:val="567D6B7D"/>
    <w:rsid w:val="567F069E"/>
    <w:rsid w:val="568235FA"/>
    <w:rsid w:val="56B90097"/>
    <w:rsid w:val="56CD4643"/>
    <w:rsid w:val="56DB3426"/>
    <w:rsid w:val="56E55ACA"/>
    <w:rsid w:val="56E827BF"/>
    <w:rsid w:val="56F91B04"/>
    <w:rsid w:val="56FC6CB4"/>
    <w:rsid w:val="57074365"/>
    <w:rsid w:val="570C1E79"/>
    <w:rsid w:val="574A6C8B"/>
    <w:rsid w:val="574D4E57"/>
    <w:rsid w:val="5751646B"/>
    <w:rsid w:val="576A0C54"/>
    <w:rsid w:val="57AC4ADA"/>
    <w:rsid w:val="57C23F05"/>
    <w:rsid w:val="57C36C68"/>
    <w:rsid w:val="57C86BF6"/>
    <w:rsid w:val="57D64101"/>
    <w:rsid w:val="58080433"/>
    <w:rsid w:val="58132C50"/>
    <w:rsid w:val="58183BED"/>
    <w:rsid w:val="582B03E3"/>
    <w:rsid w:val="582E3159"/>
    <w:rsid w:val="58384E2E"/>
    <w:rsid w:val="584C49D0"/>
    <w:rsid w:val="586B4C84"/>
    <w:rsid w:val="58777F5C"/>
    <w:rsid w:val="5885065F"/>
    <w:rsid w:val="58870E5D"/>
    <w:rsid w:val="588E735E"/>
    <w:rsid w:val="58951D01"/>
    <w:rsid w:val="58B779E7"/>
    <w:rsid w:val="58BA39C0"/>
    <w:rsid w:val="58D414C7"/>
    <w:rsid w:val="58DD1021"/>
    <w:rsid w:val="58E972C8"/>
    <w:rsid w:val="58EA0FD9"/>
    <w:rsid w:val="58EB1921"/>
    <w:rsid w:val="591E18D7"/>
    <w:rsid w:val="59200C93"/>
    <w:rsid w:val="593D668D"/>
    <w:rsid w:val="5940245D"/>
    <w:rsid w:val="59413C36"/>
    <w:rsid w:val="59537A8F"/>
    <w:rsid w:val="59787D57"/>
    <w:rsid w:val="597D4F92"/>
    <w:rsid w:val="599C7113"/>
    <w:rsid w:val="59AE2AE6"/>
    <w:rsid w:val="59AF2C4A"/>
    <w:rsid w:val="59B25FBD"/>
    <w:rsid w:val="59CB0F76"/>
    <w:rsid w:val="59D4155E"/>
    <w:rsid w:val="59E371DB"/>
    <w:rsid w:val="59E6430E"/>
    <w:rsid w:val="59EC64BD"/>
    <w:rsid w:val="59FA178A"/>
    <w:rsid w:val="5A0E52CA"/>
    <w:rsid w:val="5A166465"/>
    <w:rsid w:val="5A267BAB"/>
    <w:rsid w:val="5A3966BC"/>
    <w:rsid w:val="5A3A1C1B"/>
    <w:rsid w:val="5A446315"/>
    <w:rsid w:val="5A595197"/>
    <w:rsid w:val="5A7E7CA7"/>
    <w:rsid w:val="5A8B7AC0"/>
    <w:rsid w:val="5A9A1850"/>
    <w:rsid w:val="5AA2386B"/>
    <w:rsid w:val="5AA51ED6"/>
    <w:rsid w:val="5AA72E44"/>
    <w:rsid w:val="5AAA5BC7"/>
    <w:rsid w:val="5AC01F04"/>
    <w:rsid w:val="5AD73F68"/>
    <w:rsid w:val="5AE26D53"/>
    <w:rsid w:val="5AFA4277"/>
    <w:rsid w:val="5B022AD5"/>
    <w:rsid w:val="5B0D74F5"/>
    <w:rsid w:val="5B1C219F"/>
    <w:rsid w:val="5B224FD8"/>
    <w:rsid w:val="5B256AC2"/>
    <w:rsid w:val="5B510B0B"/>
    <w:rsid w:val="5B571C93"/>
    <w:rsid w:val="5B7158FB"/>
    <w:rsid w:val="5B746465"/>
    <w:rsid w:val="5BAD0A59"/>
    <w:rsid w:val="5BC055B6"/>
    <w:rsid w:val="5BC7488E"/>
    <w:rsid w:val="5BD669C4"/>
    <w:rsid w:val="5BD9483B"/>
    <w:rsid w:val="5BE21647"/>
    <w:rsid w:val="5BFA5F24"/>
    <w:rsid w:val="5C0054BA"/>
    <w:rsid w:val="5C182A2D"/>
    <w:rsid w:val="5C233D10"/>
    <w:rsid w:val="5C2D762B"/>
    <w:rsid w:val="5C3E1678"/>
    <w:rsid w:val="5C5A1D6F"/>
    <w:rsid w:val="5C6914DA"/>
    <w:rsid w:val="5C7D31D8"/>
    <w:rsid w:val="5C9856B2"/>
    <w:rsid w:val="5CD941BE"/>
    <w:rsid w:val="5D1A7EFC"/>
    <w:rsid w:val="5D23425D"/>
    <w:rsid w:val="5D625A1E"/>
    <w:rsid w:val="5D625DF3"/>
    <w:rsid w:val="5D677EDE"/>
    <w:rsid w:val="5D895245"/>
    <w:rsid w:val="5D8F557D"/>
    <w:rsid w:val="5D8F582F"/>
    <w:rsid w:val="5D9562FF"/>
    <w:rsid w:val="5DB37655"/>
    <w:rsid w:val="5DB7264F"/>
    <w:rsid w:val="5DE814F8"/>
    <w:rsid w:val="5DEF1EB3"/>
    <w:rsid w:val="5DF65079"/>
    <w:rsid w:val="5E1F38D6"/>
    <w:rsid w:val="5E204E81"/>
    <w:rsid w:val="5E240EF1"/>
    <w:rsid w:val="5E2C29A5"/>
    <w:rsid w:val="5E41784A"/>
    <w:rsid w:val="5E513E2B"/>
    <w:rsid w:val="5E5F0DE7"/>
    <w:rsid w:val="5E672B53"/>
    <w:rsid w:val="5E6F2370"/>
    <w:rsid w:val="5E6F4DA2"/>
    <w:rsid w:val="5E8269A3"/>
    <w:rsid w:val="5E876F47"/>
    <w:rsid w:val="5EA82DCB"/>
    <w:rsid w:val="5EA93E10"/>
    <w:rsid w:val="5EAC3874"/>
    <w:rsid w:val="5EB029DF"/>
    <w:rsid w:val="5EC12E19"/>
    <w:rsid w:val="5ED74782"/>
    <w:rsid w:val="5EDC63B8"/>
    <w:rsid w:val="5EFF17CF"/>
    <w:rsid w:val="5F17582E"/>
    <w:rsid w:val="5F256A30"/>
    <w:rsid w:val="5F31725C"/>
    <w:rsid w:val="5F3833E6"/>
    <w:rsid w:val="5F396447"/>
    <w:rsid w:val="5F3B08E4"/>
    <w:rsid w:val="5F3F395E"/>
    <w:rsid w:val="5F4C6E2D"/>
    <w:rsid w:val="5F590FC3"/>
    <w:rsid w:val="5F67746C"/>
    <w:rsid w:val="5F894CC4"/>
    <w:rsid w:val="5F903222"/>
    <w:rsid w:val="5F940159"/>
    <w:rsid w:val="5F9525E6"/>
    <w:rsid w:val="5F9B50F0"/>
    <w:rsid w:val="5F9F3465"/>
    <w:rsid w:val="5FB17F94"/>
    <w:rsid w:val="5FED30FC"/>
    <w:rsid w:val="60064905"/>
    <w:rsid w:val="60092CBB"/>
    <w:rsid w:val="60390126"/>
    <w:rsid w:val="6045400C"/>
    <w:rsid w:val="605D139C"/>
    <w:rsid w:val="60606BAC"/>
    <w:rsid w:val="60656911"/>
    <w:rsid w:val="60693105"/>
    <w:rsid w:val="60833A94"/>
    <w:rsid w:val="60851CB0"/>
    <w:rsid w:val="609D79A4"/>
    <w:rsid w:val="60B22CAB"/>
    <w:rsid w:val="60B42F40"/>
    <w:rsid w:val="60C96F27"/>
    <w:rsid w:val="60DA3F13"/>
    <w:rsid w:val="60F2703E"/>
    <w:rsid w:val="610D5C68"/>
    <w:rsid w:val="610F3F85"/>
    <w:rsid w:val="612260FC"/>
    <w:rsid w:val="61263CDD"/>
    <w:rsid w:val="61306A6A"/>
    <w:rsid w:val="613830A7"/>
    <w:rsid w:val="61497763"/>
    <w:rsid w:val="616404C2"/>
    <w:rsid w:val="6169656E"/>
    <w:rsid w:val="618E594B"/>
    <w:rsid w:val="619351A0"/>
    <w:rsid w:val="61996E8A"/>
    <w:rsid w:val="619F1802"/>
    <w:rsid w:val="61B7538A"/>
    <w:rsid w:val="61C824F4"/>
    <w:rsid w:val="61DA2E84"/>
    <w:rsid w:val="62114DA1"/>
    <w:rsid w:val="62131AA6"/>
    <w:rsid w:val="622445FC"/>
    <w:rsid w:val="62406275"/>
    <w:rsid w:val="62481DB1"/>
    <w:rsid w:val="624A5757"/>
    <w:rsid w:val="625052B0"/>
    <w:rsid w:val="625C1B13"/>
    <w:rsid w:val="62642DBE"/>
    <w:rsid w:val="62844D4B"/>
    <w:rsid w:val="6285212E"/>
    <w:rsid w:val="628C47C0"/>
    <w:rsid w:val="62A32383"/>
    <w:rsid w:val="62A55ED5"/>
    <w:rsid w:val="62AD7C47"/>
    <w:rsid w:val="62B56CD6"/>
    <w:rsid w:val="62BB4DAB"/>
    <w:rsid w:val="62DF24F6"/>
    <w:rsid w:val="62E61243"/>
    <w:rsid w:val="62E637D9"/>
    <w:rsid w:val="62F70ECC"/>
    <w:rsid w:val="63037CCC"/>
    <w:rsid w:val="63264671"/>
    <w:rsid w:val="633739BA"/>
    <w:rsid w:val="633A5898"/>
    <w:rsid w:val="634921AE"/>
    <w:rsid w:val="635C0642"/>
    <w:rsid w:val="635E4460"/>
    <w:rsid w:val="636109BD"/>
    <w:rsid w:val="636A1DD7"/>
    <w:rsid w:val="636E5628"/>
    <w:rsid w:val="638A523F"/>
    <w:rsid w:val="6397012B"/>
    <w:rsid w:val="63A36A58"/>
    <w:rsid w:val="63A554C7"/>
    <w:rsid w:val="63BC45EB"/>
    <w:rsid w:val="63D501BB"/>
    <w:rsid w:val="63E64E62"/>
    <w:rsid w:val="64144421"/>
    <w:rsid w:val="641C247F"/>
    <w:rsid w:val="642721E0"/>
    <w:rsid w:val="64280474"/>
    <w:rsid w:val="64337685"/>
    <w:rsid w:val="64455949"/>
    <w:rsid w:val="6453193C"/>
    <w:rsid w:val="647E56D7"/>
    <w:rsid w:val="6481299F"/>
    <w:rsid w:val="648660B3"/>
    <w:rsid w:val="648B3C9F"/>
    <w:rsid w:val="648B3FB8"/>
    <w:rsid w:val="648E18AD"/>
    <w:rsid w:val="64926D5C"/>
    <w:rsid w:val="649C17B6"/>
    <w:rsid w:val="649E6FC6"/>
    <w:rsid w:val="64C32220"/>
    <w:rsid w:val="64D17DB4"/>
    <w:rsid w:val="64DF6806"/>
    <w:rsid w:val="64F97173"/>
    <w:rsid w:val="654F56C0"/>
    <w:rsid w:val="65610D5A"/>
    <w:rsid w:val="65702D9F"/>
    <w:rsid w:val="658253BB"/>
    <w:rsid w:val="658B0C27"/>
    <w:rsid w:val="65A90B99"/>
    <w:rsid w:val="65B775B5"/>
    <w:rsid w:val="65B825E6"/>
    <w:rsid w:val="65BD00C8"/>
    <w:rsid w:val="65D14CBE"/>
    <w:rsid w:val="65D81CA4"/>
    <w:rsid w:val="65D850EB"/>
    <w:rsid w:val="65F5088A"/>
    <w:rsid w:val="66112B6E"/>
    <w:rsid w:val="661C0342"/>
    <w:rsid w:val="66350EAD"/>
    <w:rsid w:val="663B12B4"/>
    <w:rsid w:val="66462745"/>
    <w:rsid w:val="66503AB4"/>
    <w:rsid w:val="66573892"/>
    <w:rsid w:val="66846D1E"/>
    <w:rsid w:val="668A047E"/>
    <w:rsid w:val="668C55D9"/>
    <w:rsid w:val="66A717A0"/>
    <w:rsid w:val="66AB2F06"/>
    <w:rsid w:val="66AD6C48"/>
    <w:rsid w:val="66BE59C2"/>
    <w:rsid w:val="66C131D0"/>
    <w:rsid w:val="66C6129C"/>
    <w:rsid w:val="66FD5617"/>
    <w:rsid w:val="67090CDF"/>
    <w:rsid w:val="67120BE8"/>
    <w:rsid w:val="6730089F"/>
    <w:rsid w:val="67310E46"/>
    <w:rsid w:val="674A3FF1"/>
    <w:rsid w:val="6758550E"/>
    <w:rsid w:val="6762359B"/>
    <w:rsid w:val="67A13F0A"/>
    <w:rsid w:val="67AA4DFA"/>
    <w:rsid w:val="67B83F93"/>
    <w:rsid w:val="67B86ACF"/>
    <w:rsid w:val="67B86DEE"/>
    <w:rsid w:val="67BD6B7E"/>
    <w:rsid w:val="67BF400C"/>
    <w:rsid w:val="67CC0257"/>
    <w:rsid w:val="67E618DB"/>
    <w:rsid w:val="67E77FBA"/>
    <w:rsid w:val="681B1FC2"/>
    <w:rsid w:val="682656D3"/>
    <w:rsid w:val="68303C5A"/>
    <w:rsid w:val="6839480E"/>
    <w:rsid w:val="68433D5F"/>
    <w:rsid w:val="684A7921"/>
    <w:rsid w:val="687E6674"/>
    <w:rsid w:val="68994F7F"/>
    <w:rsid w:val="68A723CC"/>
    <w:rsid w:val="68A95833"/>
    <w:rsid w:val="68AD36B1"/>
    <w:rsid w:val="68D67EC9"/>
    <w:rsid w:val="68F81C68"/>
    <w:rsid w:val="690D3B1A"/>
    <w:rsid w:val="69205AF0"/>
    <w:rsid w:val="692A62CD"/>
    <w:rsid w:val="692C5F4C"/>
    <w:rsid w:val="69631CF9"/>
    <w:rsid w:val="69670B4F"/>
    <w:rsid w:val="696B6F4D"/>
    <w:rsid w:val="698C6808"/>
    <w:rsid w:val="698E3C86"/>
    <w:rsid w:val="69B664BA"/>
    <w:rsid w:val="69B75B4F"/>
    <w:rsid w:val="69BB0E9B"/>
    <w:rsid w:val="69BE1521"/>
    <w:rsid w:val="69F53BEE"/>
    <w:rsid w:val="6A1559E3"/>
    <w:rsid w:val="6A167E66"/>
    <w:rsid w:val="6A3A45FE"/>
    <w:rsid w:val="6A536CFE"/>
    <w:rsid w:val="6A6A72A7"/>
    <w:rsid w:val="6A794559"/>
    <w:rsid w:val="6A8950C8"/>
    <w:rsid w:val="6AA1789F"/>
    <w:rsid w:val="6B0E6AF0"/>
    <w:rsid w:val="6B0F149F"/>
    <w:rsid w:val="6B1A727F"/>
    <w:rsid w:val="6B2E2D87"/>
    <w:rsid w:val="6B303514"/>
    <w:rsid w:val="6B6B087C"/>
    <w:rsid w:val="6B7F7AA2"/>
    <w:rsid w:val="6B824366"/>
    <w:rsid w:val="6B8A0744"/>
    <w:rsid w:val="6B8A2A7F"/>
    <w:rsid w:val="6BB62C49"/>
    <w:rsid w:val="6BC10557"/>
    <w:rsid w:val="6BD255AD"/>
    <w:rsid w:val="6BE30258"/>
    <w:rsid w:val="6BEE5558"/>
    <w:rsid w:val="6BF331B9"/>
    <w:rsid w:val="6BF65B8B"/>
    <w:rsid w:val="6BFB3869"/>
    <w:rsid w:val="6BFB7C75"/>
    <w:rsid w:val="6BFD39ED"/>
    <w:rsid w:val="6C00528B"/>
    <w:rsid w:val="6C067593"/>
    <w:rsid w:val="6C0D19CB"/>
    <w:rsid w:val="6C466671"/>
    <w:rsid w:val="6CC47C8A"/>
    <w:rsid w:val="6CCB190D"/>
    <w:rsid w:val="6CCC3AAC"/>
    <w:rsid w:val="6CD21CED"/>
    <w:rsid w:val="6CE834E1"/>
    <w:rsid w:val="6CFA142C"/>
    <w:rsid w:val="6D011E69"/>
    <w:rsid w:val="6D2D3E5E"/>
    <w:rsid w:val="6D333B45"/>
    <w:rsid w:val="6D37113B"/>
    <w:rsid w:val="6D406A4A"/>
    <w:rsid w:val="6D441C44"/>
    <w:rsid w:val="6D480E2C"/>
    <w:rsid w:val="6D593394"/>
    <w:rsid w:val="6D641F88"/>
    <w:rsid w:val="6D763A57"/>
    <w:rsid w:val="6D875F32"/>
    <w:rsid w:val="6DAD31F1"/>
    <w:rsid w:val="6DB05355"/>
    <w:rsid w:val="6DBB5734"/>
    <w:rsid w:val="6DBD3EB7"/>
    <w:rsid w:val="6DBE4267"/>
    <w:rsid w:val="6DC36B34"/>
    <w:rsid w:val="6DCE14D1"/>
    <w:rsid w:val="6DE365C3"/>
    <w:rsid w:val="6E096D5A"/>
    <w:rsid w:val="6E192B15"/>
    <w:rsid w:val="6E1F3971"/>
    <w:rsid w:val="6E2E3854"/>
    <w:rsid w:val="6E4309E8"/>
    <w:rsid w:val="6E4C0C5C"/>
    <w:rsid w:val="6E526EB5"/>
    <w:rsid w:val="6E67524C"/>
    <w:rsid w:val="6E765D61"/>
    <w:rsid w:val="6E982B0C"/>
    <w:rsid w:val="6EBC4996"/>
    <w:rsid w:val="6EC12092"/>
    <w:rsid w:val="6EC97E25"/>
    <w:rsid w:val="6EF360B9"/>
    <w:rsid w:val="6F216225"/>
    <w:rsid w:val="6F2C0229"/>
    <w:rsid w:val="6F370BA2"/>
    <w:rsid w:val="6F6538D4"/>
    <w:rsid w:val="6F6C077A"/>
    <w:rsid w:val="6F810491"/>
    <w:rsid w:val="6F813DE8"/>
    <w:rsid w:val="6F867899"/>
    <w:rsid w:val="6FA1224D"/>
    <w:rsid w:val="6FA37D46"/>
    <w:rsid w:val="6FA70E71"/>
    <w:rsid w:val="6FCF70B9"/>
    <w:rsid w:val="6FD21025"/>
    <w:rsid w:val="6FF47D6A"/>
    <w:rsid w:val="700E4E85"/>
    <w:rsid w:val="700F4963"/>
    <w:rsid w:val="70253EB4"/>
    <w:rsid w:val="70303F33"/>
    <w:rsid w:val="703A3C29"/>
    <w:rsid w:val="70414A91"/>
    <w:rsid w:val="70522343"/>
    <w:rsid w:val="70553DF8"/>
    <w:rsid w:val="70567B70"/>
    <w:rsid w:val="705D461D"/>
    <w:rsid w:val="705E52F6"/>
    <w:rsid w:val="70756248"/>
    <w:rsid w:val="708238A0"/>
    <w:rsid w:val="708446D1"/>
    <w:rsid w:val="70853FB1"/>
    <w:rsid w:val="708803B6"/>
    <w:rsid w:val="70A37EE3"/>
    <w:rsid w:val="70AA461F"/>
    <w:rsid w:val="70AE175A"/>
    <w:rsid w:val="70B606D5"/>
    <w:rsid w:val="70BB012D"/>
    <w:rsid w:val="70D736F9"/>
    <w:rsid w:val="70EC5ECF"/>
    <w:rsid w:val="712A1E6E"/>
    <w:rsid w:val="713A4D9B"/>
    <w:rsid w:val="714224A1"/>
    <w:rsid w:val="7181236D"/>
    <w:rsid w:val="71820CC0"/>
    <w:rsid w:val="71951CE6"/>
    <w:rsid w:val="71A167A0"/>
    <w:rsid w:val="71B72D88"/>
    <w:rsid w:val="71C06118"/>
    <w:rsid w:val="71C2026D"/>
    <w:rsid w:val="71C9261D"/>
    <w:rsid w:val="71C97537"/>
    <w:rsid w:val="71F4319C"/>
    <w:rsid w:val="71FB277D"/>
    <w:rsid w:val="721C502C"/>
    <w:rsid w:val="72282781"/>
    <w:rsid w:val="722B4A7B"/>
    <w:rsid w:val="72542852"/>
    <w:rsid w:val="7263685A"/>
    <w:rsid w:val="726406CA"/>
    <w:rsid w:val="72663713"/>
    <w:rsid w:val="727906B4"/>
    <w:rsid w:val="72872262"/>
    <w:rsid w:val="728B6708"/>
    <w:rsid w:val="72987FCC"/>
    <w:rsid w:val="72A751B5"/>
    <w:rsid w:val="72C10849"/>
    <w:rsid w:val="72C83663"/>
    <w:rsid w:val="72F53DEA"/>
    <w:rsid w:val="7306587D"/>
    <w:rsid w:val="730E35A0"/>
    <w:rsid w:val="73100282"/>
    <w:rsid w:val="733702F8"/>
    <w:rsid w:val="73373C88"/>
    <w:rsid w:val="734819F2"/>
    <w:rsid w:val="737D23DF"/>
    <w:rsid w:val="7388128A"/>
    <w:rsid w:val="73AB136D"/>
    <w:rsid w:val="73B057E9"/>
    <w:rsid w:val="73C518C2"/>
    <w:rsid w:val="73CD1EF7"/>
    <w:rsid w:val="73E77ED8"/>
    <w:rsid w:val="73E86D31"/>
    <w:rsid w:val="73F67C86"/>
    <w:rsid w:val="740966B1"/>
    <w:rsid w:val="74127B23"/>
    <w:rsid w:val="74306E1E"/>
    <w:rsid w:val="749742AE"/>
    <w:rsid w:val="749B459A"/>
    <w:rsid w:val="74A25132"/>
    <w:rsid w:val="74B652F1"/>
    <w:rsid w:val="74BB1906"/>
    <w:rsid w:val="74BD4E22"/>
    <w:rsid w:val="74D65630"/>
    <w:rsid w:val="74D91EFC"/>
    <w:rsid w:val="74FB11DF"/>
    <w:rsid w:val="751D7B8D"/>
    <w:rsid w:val="7536648D"/>
    <w:rsid w:val="753A6E5F"/>
    <w:rsid w:val="75497780"/>
    <w:rsid w:val="755C3850"/>
    <w:rsid w:val="756A344E"/>
    <w:rsid w:val="757967BC"/>
    <w:rsid w:val="758D4B30"/>
    <w:rsid w:val="758E30C0"/>
    <w:rsid w:val="759C3F44"/>
    <w:rsid w:val="75B34C3F"/>
    <w:rsid w:val="75C73909"/>
    <w:rsid w:val="75D11EB0"/>
    <w:rsid w:val="75E43528"/>
    <w:rsid w:val="75FD6DD4"/>
    <w:rsid w:val="761F46E6"/>
    <w:rsid w:val="764B7DA6"/>
    <w:rsid w:val="765B5BD4"/>
    <w:rsid w:val="7662618A"/>
    <w:rsid w:val="766A10BC"/>
    <w:rsid w:val="76812D84"/>
    <w:rsid w:val="76832D41"/>
    <w:rsid w:val="768371E5"/>
    <w:rsid w:val="768E1E11"/>
    <w:rsid w:val="76914555"/>
    <w:rsid w:val="76CD1679"/>
    <w:rsid w:val="76CF42A8"/>
    <w:rsid w:val="76D37565"/>
    <w:rsid w:val="76D51C9E"/>
    <w:rsid w:val="76E024D5"/>
    <w:rsid w:val="76E95EB9"/>
    <w:rsid w:val="76F874F0"/>
    <w:rsid w:val="770C4B99"/>
    <w:rsid w:val="7721366B"/>
    <w:rsid w:val="77340732"/>
    <w:rsid w:val="77461C76"/>
    <w:rsid w:val="77555376"/>
    <w:rsid w:val="7773503E"/>
    <w:rsid w:val="77762010"/>
    <w:rsid w:val="77766926"/>
    <w:rsid w:val="77866F8C"/>
    <w:rsid w:val="779A6C95"/>
    <w:rsid w:val="779D35B8"/>
    <w:rsid w:val="77A3512A"/>
    <w:rsid w:val="77B431F6"/>
    <w:rsid w:val="77C31CC3"/>
    <w:rsid w:val="77CE76D2"/>
    <w:rsid w:val="77F50482"/>
    <w:rsid w:val="77F965F9"/>
    <w:rsid w:val="77FC7743"/>
    <w:rsid w:val="78175E36"/>
    <w:rsid w:val="782D1B66"/>
    <w:rsid w:val="78450BF6"/>
    <w:rsid w:val="786D6EEE"/>
    <w:rsid w:val="787C32AE"/>
    <w:rsid w:val="78815757"/>
    <w:rsid w:val="78882890"/>
    <w:rsid w:val="788B5149"/>
    <w:rsid w:val="789C408B"/>
    <w:rsid w:val="78B11DC7"/>
    <w:rsid w:val="78B76D8F"/>
    <w:rsid w:val="78C17C08"/>
    <w:rsid w:val="78DC3076"/>
    <w:rsid w:val="78DD7A6B"/>
    <w:rsid w:val="78E31F71"/>
    <w:rsid w:val="78EC2E1F"/>
    <w:rsid w:val="78F4703E"/>
    <w:rsid w:val="790B2CEF"/>
    <w:rsid w:val="793E76C9"/>
    <w:rsid w:val="794366DD"/>
    <w:rsid w:val="79487AE5"/>
    <w:rsid w:val="79561C17"/>
    <w:rsid w:val="795F5CE7"/>
    <w:rsid w:val="796A3B6D"/>
    <w:rsid w:val="796E2262"/>
    <w:rsid w:val="79877CF0"/>
    <w:rsid w:val="798B2DCF"/>
    <w:rsid w:val="798D5439"/>
    <w:rsid w:val="79957FF5"/>
    <w:rsid w:val="799B611A"/>
    <w:rsid w:val="799C3289"/>
    <w:rsid w:val="79A16266"/>
    <w:rsid w:val="79CA4C08"/>
    <w:rsid w:val="79D10D9C"/>
    <w:rsid w:val="79EF5AC0"/>
    <w:rsid w:val="79F975B1"/>
    <w:rsid w:val="79FD46D5"/>
    <w:rsid w:val="79FE2718"/>
    <w:rsid w:val="7A081773"/>
    <w:rsid w:val="7A1C3829"/>
    <w:rsid w:val="7A253A2E"/>
    <w:rsid w:val="7A510AB4"/>
    <w:rsid w:val="7A6D7F90"/>
    <w:rsid w:val="7A881804"/>
    <w:rsid w:val="7A9B5930"/>
    <w:rsid w:val="7AA91E6E"/>
    <w:rsid w:val="7AA976FD"/>
    <w:rsid w:val="7AAB67CD"/>
    <w:rsid w:val="7ACE27CD"/>
    <w:rsid w:val="7AE27761"/>
    <w:rsid w:val="7AE53FCA"/>
    <w:rsid w:val="7B0973AE"/>
    <w:rsid w:val="7B0F3EDE"/>
    <w:rsid w:val="7B1122A4"/>
    <w:rsid w:val="7B31532C"/>
    <w:rsid w:val="7B345C24"/>
    <w:rsid w:val="7B570BB9"/>
    <w:rsid w:val="7B624783"/>
    <w:rsid w:val="7B726923"/>
    <w:rsid w:val="7B754A7B"/>
    <w:rsid w:val="7B902027"/>
    <w:rsid w:val="7B910F18"/>
    <w:rsid w:val="7B9F2F83"/>
    <w:rsid w:val="7BAC49AC"/>
    <w:rsid w:val="7BCC3D7E"/>
    <w:rsid w:val="7BCD1574"/>
    <w:rsid w:val="7BD437CD"/>
    <w:rsid w:val="7C0455B9"/>
    <w:rsid w:val="7C094584"/>
    <w:rsid w:val="7C12121D"/>
    <w:rsid w:val="7C1932D2"/>
    <w:rsid w:val="7C377426"/>
    <w:rsid w:val="7C4302CA"/>
    <w:rsid w:val="7C4A7A5E"/>
    <w:rsid w:val="7C664C6C"/>
    <w:rsid w:val="7C6C39FA"/>
    <w:rsid w:val="7C731F2B"/>
    <w:rsid w:val="7CA43FD9"/>
    <w:rsid w:val="7CAE1A9E"/>
    <w:rsid w:val="7CB71996"/>
    <w:rsid w:val="7CB72135"/>
    <w:rsid w:val="7CB97566"/>
    <w:rsid w:val="7CBA4FE2"/>
    <w:rsid w:val="7CC3692A"/>
    <w:rsid w:val="7CCB5861"/>
    <w:rsid w:val="7CD72F0A"/>
    <w:rsid w:val="7CDC71D7"/>
    <w:rsid w:val="7CEE32E5"/>
    <w:rsid w:val="7CEE5F66"/>
    <w:rsid w:val="7D0050EB"/>
    <w:rsid w:val="7D1240AA"/>
    <w:rsid w:val="7D131B68"/>
    <w:rsid w:val="7D223046"/>
    <w:rsid w:val="7D240032"/>
    <w:rsid w:val="7D240D74"/>
    <w:rsid w:val="7D263A84"/>
    <w:rsid w:val="7D2A03BA"/>
    <w:rsid w:val="7D2B75E2"/>
    <w:rsid w:val="7D374AD7"/>
    <w:rsid w:val="7D377BC1"/>
    <w:rsid w:val="7D445668"/>
    <w:rsid w:val="7D511676"/>
    <w:rsid w:val="7D530B1F"/>
    <w:rsid w:val="7D6019A4"/>
    <w:rsid w:val="7D6670EF"/>
    <w:rsid w:val="7D7635FF"/>
    <w:rsid w:val="7D9D0B8C"/>
    <w:rsid w:val="7DE50AF2"/>
    <w:rsid w:val="7DEA144B"/>
    <w:rsid w:val="7E066B37"/>
    <w:rsid w:val="7E0B7D7E"/>
    <w:rsid w:val="7E0C5521"/>
    <w:rsid w:val="7E1371B0"/>
    <w:rsid w:val="7E1A0A5B"/>
    <w:rsid w:val="7E370FE0"/>
    <w:rsid w:val="7E3972B1"/>
    <w:rsid w:val="7E3B4CF1"/>
    <w:rsid w:val="7E4C621C"/>
    <w:rsid w:val="7E903DD5"/>
    <w:rsid w:val="7E991305"/>
    <w:rsid w:val="7E9E1A4B"/>
    <w:rsid w:val="7EAB1087"/>
    <w:rsid w:val="7EC42817"/>
    <w:rsid w:val="7EC630D4"/>
    <w:rsid w:val="7EF16E7A"/>
    <w:rsid w:val="7F0D4028"/>
    <w:rsid w:val="7F3C6183"/>
    <w:rsid w:val="7F4A728E"/>
    <w:rsid w:val="7F4F7C7D"/>
    <w:rsid w:val="7F521ADC"/>
    <w:rsid w:val="7F5464AF"/>
    <w:rsid w:val="7F622041"/>
    <w:rsid w:val="7F735AF3"/>
    <w:rsid w:val="7F857B2A"/>
    <w:rsid w:val="7F8C6F76"/>
    <w:rsid w:val="7FA77AA0"/>
    <w:rsid w:val="7FC468A4"/>
    <w:rsid w:val="7FCA7B2D"/>
    <w:rsid w:val="7FD92D45"/>
    <w:rsid w:val="7FDF0F35"/>
    <w:rsid w:val="7FEA1FC0"/>
    <w:rsid w:val="7FEA58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0" w:semiHidden="0"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3"/>
    <w:autoRedefine/>
    <w:qFormat/>
    <w:uiPriority w:val="0"/>
    <w:pPr>
      <w:keepNext/>
      <w:keepLines/>
      <w:spacing w:line="360" w:lineRule="auto"/>
      <w:jc w:val="center"/>
      <w:outlineLvl w:val="0"/>
    </w:pPr>
    <w:rPr>
      <w:b/>
      <w:bCs/>
      <w:kern w:val="44"/>
      <w:sz w:val="44"/>
      <w:szCs w:val="44"/>
    </w:rPr>
  </w:style>
  <w:style w:type="paragraph" w:styleId="3">
    <w:name w:val="heading 2"/>
    <w:basedOn w:val="1"/>
    <w:next w:val="1"/>
    <w:link w:val="74"/>
    <w:autoRedefine/>
    <w:qFormat/>
    <w:uiPriority w:val="0"/>
    <w:pPr>
      <w:keepNext/>
      <w:keepLines/>
      <w:spacing w:line="416" w:lineRule="auto"/>
      <w:outlineLvl w:val="1"/>
    </w:pPr>
    <w:rPr>
      <w:rFonts w:ascii="宋体" w:hAnsi="宋体" w:eastAsia="黑体"/>
      <w:color w:val="000000"/>
      <w:kern w:val="0"/>
      <w:sz w:val="28"/>
      <w:szCs w:val="21"/>
    </w:rPr>
  </w:style>
  <w:style w:type="paragraph" w:styleId="4">
    <w:name w:val="heading 3"/>
    <w:basedOn w:val="1"/>
    <w:next w:val="1"/>
    <w:link w:val="75"/>
    <w:autoRedefine/>
    <w:qFormat/>
    <w:uiPriority w:val="0"/>
    <w:pPr>
      <w:spacing w:line="440" w:lineRule="atLeast"/>
      <w:outlineLvl w:val="2"/>
    </w:pPr>
    <w:rPr>
      <w:b/>
      <w:color w:val="000000"/>
      <w:sz w:val="28"/>
      <w:szCs w:val="28"/>
    </w:rPr>
  </w:style>
  <w:style w:type="paragraph" w:styleId="5">
    <w:name w:val="heading 4"/>
    <w:basedOn w:val="1"/>
    <w:next w:val="1"/>
    <w:link w:val="76"/>
    <w:autoRedefine/>
    <w:qFormat/>
    <w:uiPriority w:val="0"/>
    <w:pPr>
      <w:keepNext/>
      <w:keepLines/>
      <w:spacing w:before="280" w:after="290" w:line="374" w:lineRule="auto"/>
      <w:outlineLvl w:val="3"/>
    </w:pPr>
    <w:rPr>
      <w:rFonts w:ascii="Cambria" w:hAnsi="Cambria"/>
      <w:b/>
      <w:bCs/>
      <w:sz w:val="28"/>
      <w:szCs w:val="28"/>
    </w:rPr>
  </w:style>
  <w:style w:type="paragraph" w:styleId="6">
    <w:name w:val="heading 5"/>
    <w:basedOn w:val="1"/>
    <w:next w:val="1"/>
    <w:link w:val="77"/>
    <w:autoRedefine/>
    <w:qFormat/>
    <w:uiPriority w:val="0"/>
    <w:pPr>
      <w:keepNext/>
      <w:keepLines/>
      <w:spacing w:before="280" w:after="290" w:line="374" w:lineRule="auto"/>
      <w:outlineLvl w:val="4"/>
    </w:pPr>
    <w:rPr>
      <w:b/>
      <w:bCs/>
      <w:sz w:val="28"/>
      <w:szCs w:val="28"/>
    </w:rPr>
  </w:style>
  <w:style w:type="paragraph" w:styleId="7">
    <w:name w:val="heading 6"/>
    <w:basedOn w:val="1"/>
    <w:next w:val="8"/>
    <w:link w:val="78"/>
    <w:autoRedefine/>
    <w:qFormat/>
    <w:uiPriority w:val="0"/>
    <w:pPr>
      <w:keepNext/>
      <w:keepLines/>
      <w:snapToGrid w:val="0"/>
      <w:spacing w:before="240" w:after="64" w:line="317" w:lineRule="auto"/>
      <w:ind w:firstLine="510"/>
      <w:outlineLvl w:val="5"/>
    </w:pPr>
    <w:rPr>
      <w:rFonts w:ascii="Arial" w:hAnsi="Arial" w:eastAsia="黑体"/>
      <w:b/>
      <w:sz w:val="24"/>
      <w:szCs w:val="20"/>
    </w:rPr>
  </w:style>
  <w:style w:type="paragraph" w:styleId="9">
    <w:name w:val="heading 7"/>
    <w:basedOn w:val="1"/>
    <w:next w:val="1"/>
    <w:link w:val="80"/>
    <w:autoRedefine/>
    <w:qFormat/>
    <w:uiPriority w:val="0"/>
    <w:pPr>
      <w:keepNext/>
      <w:keepLines/>
      <w:adjustRightInd w:val="0"/>
      <w:spacing w:before="240" w:after="64" w:line="320" w:lineRule="atLeast"/>
      <w:ind w:left="2975" w:hanging="425"/>
      <w:textAlignment w:val="baseline"/>
      <w:outlineLvl w:val="6"/>
    </w:pPr>
    <w:rPr>
      <w:b/>
      <w:bCs/>
      <w:sz w:val="24"/>
    </w:rPr>
  </w:style>
  <w:style w:type="paragraph" w:styleId="10">
    <w:name w:val="heading 8"/>
    <w:basedOn w:val="1"/>
    <w:next w:val="1"/>
    <w:link w:val="81"/>
    <w:autoRedefine/>
    <w:qFormat/>
    <w:uiPriority w:val="0"/>
    <w:pPr>
      <w:keepNext/>
      <w:keepLines/>
      <w:adjustRightInd w:val="0"/>
      <w:spacing w:before="240" w:after="64" w:line="320" w:lineRule="atLeast"/>
      <w:ind w:left="3400" w:hanging="425"/>
      <w:textAlignment w:val="baseline"/>
      <w:outlineLvl w:val="7"/>
    </w:pPr>
    <w:rPr>
      <w:rFonts w:ascii="Cambria" w:hAnsi="Cambria"/>
      <w:sz w:val="24"/>
    </w:rPr>
  </w:style>
  <w:style w:type="paragraph" w:styleId="11">
    <w:name w:val="heading 9"/>
    <w:basedOn w:val="1"/>
    <w:next w:val="1"/>
    <w:link w:val="82"/>
    <w:autoRedefine/>
    <w:qFormat/>
    <w:uiPriority w:val="0"/>
    <w:pPr>
      <w:keepNext/>
      <w:keepLines/>
      <w:adjustRightInd w:val="0"/>
      <w:spacing w:before="240" w:after="64" w:line="320" w:lineRule="atLeast"/>
      <w:ind w:left="3825" w:hanging="425"/>
      <w:textAlignment w:val="baseline"/>
      <w:outlineLvl w:val="8"/>
    </w:pPr>
    <w:rPr>
      <w:rFonts w:ascii="Cambria" w:hAnsi="Cambria"/>
      <w:szCs w:val="21"/>
    </w:rPr>
  </w:style>
  <w:style w:type="character" w:default="1" w:styleId="51">
    <w:name w:val="Default Paragraph Font"/>
    <w:autoRedefine/>
    <w:unhideWhenUsed/>
    <w:qFormat/>
    <w:uiPriority w:val="1"/>
  </w:style>
  <w:style w:type="table" w:default="1" w:styleId="49">
    <w:name w:val="Normal Table"/>
    <w:autoRedefine/>
    <w:unhideWhenUsed/>
    <w:qFormat/>
    <w:uiPriority w:val="99"/>
    <w:tblPr>
      <w:tblCellMar>
        <w:top w:w="0" w:type="dxa"/>
        <w:left w:w="108" w:type="dxa"/>
        <w:bottom w:w="0" w:type="dxa"/>
        <w:right w:w="108" w:type="dxa"/>
      </w:tblCellMar>
    </w:tblPr>
  </w:style>
  <w:style w:type="paragraph" w:styleId="8">
    <w:name w:val="Normal Indent"/>
    <w:basedOn w:val="1"/>
    <w:link w:val="79"/>
    <w:autoRedefine/>
    <w:qFormat/>
    <w:uiPriority w:val="0"/>
    <w:pPr>
      <w:ind w:firstLine="420"/>
    </w:pPr>
    <w:rPr>
      <w:szCs w:val="20"/>
    </w:rPr>
  </w:style>
  <w:style w:type="paragraph" w:styleId="12">
    <w:name w:val="toc 7"/>
    <w:basedOn w:val="1"/>
    <w:next w:val="1"/>
    <w:autoRedefine/>
    <w:qFormat/>
    <w:uiPriority w:val="39"/>
    <w:pPr>
      <w:ind w:left="2520" w:leftChars="1200"/>
    </w:pPr>
  </w:style>
  <w:style w:type="paragraph" w:styleId="13">
    <w:name w:val="caption"/>
    <w:basedOn w:val="1"/>
    <w:next w:val="1"/>
    <w:autoRedefine/>
    <w:qFormat/>
    <w:uiPriority w:val="0"/>
    <w:rPr>
      <w:rFonts w:ascii="Cambria" w:hAnsi="Cambria" w:eastAsia="黑体"/>
      <w:kern w:val="0"/>
      <w:sz w:val="20"/>
      <w:szCs w:val="20"/>
    </w:rPr>
  </w:style>
  <w:style w:type="paragraph" w:styleId="14">
    <w:name w:val="Document Map"/>
    <w:basedOn w:val="1"/>
    <w:link w:val="83"/>
    <w:autoRedefine/>
    <w:qFormat/>
    <w:uiPriority w:val="0"/>
    <w:pPr>
      <w:shd w:val="clear" w:color="auto" w:fill="000080"/>
    </w:pPr>
    <w:rPr>
      <w:sz w:val="16"/>
      <w:szCs w:val="16"/>
    </w:rPr>
  </w:style>
  <w:style w:type="paragraph" w:styleId="15">
    <w:name w:val="toa heading"/>
    <w:basedOn w:val="1"/>
    <w:next w:val="1"/>
    <w:autoRedefine/>
    <w:qFormat/>
    <w:uiPriority w:val="0"/>
    <w:pPr>
      <w:spacing w:before="120"/>
    </w:pPr>
    <w:rPr>
      <w:rFonts w:ascii="Arial" w:hAnsi="Arial" w:cs="Arial"/>
      <w:sz w:val="24"/>
    </w:rPr>
  </w:style>
  <w:style w:type="paragraph" w:styleId="16">
    <w:name w:val="annotation text"/>
    <w:basedOn w:val="1"/>
    <w:link w:val="84"/>
    <w:autoRedefine/>
    <w:qFormat/>
    <w:uiPriority w:val="0"/>
    <w:pPr>
      <w:jc w:val="left"/>
    </w:pPr>
  </w:style>
  <w:style w:type="paragraph" w:styleId="17">
    <w:name w:val="Body Text 3"/>
    <w:basedOn w:val="1"/>
    <w:link w:val="85"/>
    <w:autoRedefine/>
    <w:qFormat/>
    <w:uiPriority w:val="0"/>
    <w:pPr>
      <w:spacing w:after="120"/>
    </w:pPr>
    <w:rPr>
      <w:sz w:val="16"/>
      <w:szCs w:val="16"/>
    </w:rPr>
  </w:style>
  <w:style w:type="paragraph" w:styleId="18">
    <w:name w:val="Body Text"/>
    <w:basedOn w:val="1"/>
    <w:next w:val="1"/>
    <w:link w:val="71"/>
    <w:autoRedefine/>
    <w:qFormat/>
    <w:uiPriority w:val="0"/>
    <w:pPr>
      <w:spacing w:after="120"/>
    </w:pPr>
  </w:style>
  <w:style w:type="paragraph" w:styleId="19">
    <w:name w:val="Body Text Indent"/>
    <w:basedOn w:val="1"/>
    <w:next w:val="20"/>
    <w:link w:val="69"/>
    <w:autoRedefine/>
    <w:qFormat/>
    <w:uiPriority w:val="0"/>
    <w:pPr>
      <w:spacing w:line="480" w:lineRule="exact"/>
      <w:ind w:firstLine="560" w:firstLineChars="200"/>
    </w:pPr>
    <w:rPr>
      <w:sz w:val="24"/>
    </w:rPr>
  </w:style>
  <w:style w:type="paragraph" w:styleId="20">
    <w:name w:val="envelope return"/>
    <w:basedOn w:val="1"/>
    <w:autoRedefine/>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1">
    <w:name w:val="toc 5"/>
    <w:basedOn w:val="1"/>
    <w:next w:val="1"/>
    <w:autoRedefine/>
    <w:qFormat/>
    <w:uiPriority w:val="39"/>
    <w:pPr>
      <w:ind w:left="1680" w:leftChars="800"/>
    </w:pPr>
  </w:style>
  <w:style w:type="paragraph" w:styleId="22">
    <w:name w:val="toc 3"/>
    <w:basedOn w:val="1"/>
    <w:next w:val="1"/>
    <w:autoRedefine/>
    <w:qFormat/>
    <w:uiPriority w:val="39"/>
    <w:pPr>
      <w:ind w:left="840" w:leftChars="400"/>
    </w:pPr>
  </w:style>
  <w:style w:type="paragraph" w:styleId="23">
    <w:name w:val="Plain Text"/>
    <w:basedOn w:val="1"/>
    <w:link w:val="86"/>
    <w:autoRedefine/>
    <w:qFormat/>
    <w:uiPriority w:val="99"/>
    <w:rPr>
      <w:rFonts w:ascii="宋体" w:hAnsi="Courier New" w:cs="Courier New"/>
      <w:szCs w:val="21"/>
    </w:rPr>
  </w:style>
  <w:style w:type="paragraph" w:styleId="24">
    <w:name w:val="toc 8"/>
    <w:basedOn w:val="1"/>
    <w:next w:val="1"/>
    <w:autoRedefine/>
    <w:qFormat/>
    <w:uiPriority w:val="39"/>
    <w:pPr>
      <w:ind w:left="2940" w:leftChars="1400"/>
    </w:pPr>
  </w:style>
  <w:style w:type="paragraph" w:styleId="25">
    <w:name w:val="Date"/>
    <w:basedOn w:val="1"/>
    <w:next w:val="1"/>
    <w:link w:val="87"/>
    <w:autoRedefine/>
    <w:qFormat/>
    <w:uiPriority w:val="0"/>
    <w:pPr>
      <w:ind w:left="100" w:leftChars="2500"/>
    </w:pPr>
  </w:style>
  <w:style w:type="paragraph" w:styleId="26">
    <w:name w:val="Body Text Indent 2"/>
    <w:basedOn w:val="1"/>
    <w:link w:val="88"/>
    <w:autoRedefine/>
    <w:qFormat/>
    <w:uiPriority w:val="0"/>
    <w:pPr>
      <w:spacing w:after="120" w:line="480" w:lineRule="auto"/>
      <w:ind w:left="420" w:leftChars="200"/>
    </w:pPr>
  </w:style>
  <w:style w:type="paragraph" w:styleId="27">
    <w:name w:val="Balloon Text"/>
    <w:basedOn w:val="1"/>
    <w:link w:val="89"/>
    <w:autoRedefine/>
    <w:qFormat/>
    <w:uiPriority w:val="0"/>
    <w:rPr>
      <w:sz w:val="16"/>
      <w:szCs w:val="16"/>
    </w:rPr>
  </w:style>
  <w:style w:type="paragraph" w:styleId="28">
    <w:name w:val="footer"/>
    <w:basedOn w:val="1"/>
    <w:link w:val="90"/>
    <w:autoRedefine/>
    <w:qFormat/>
    <w:uiPriority w:val="99"/>
    <w:pPr>
      <w:tabs>
        <w:tab w:val="center" w:pos="4153"/>
        <w:tab w:val="right" w:pos="8306"/>
      </w:tabs>
      <w:snapToGrid w:val="0"/>
      <w:jc w:val="left"/>
    </w:pPr>
    <w:rPr>
      <w:sz w:val="18"/>
      <w:szCs w:val="18"/>
    </w:rPr>
  </w:style>
  <w:style w:type="paragraph" w:styleId="29">
    <w:name w:val="header"/>
    <w:basedOn w:val="1"/>
    <w:link w:val="91"/>
    <w:autoRedefine/>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style>
  <w:style w:type="paragraph" w:styleId="31">
    <w:name w:val="toc 4"/>
    <w:basedOn w:val="1"/>
    <w:next w:val="1"/>
    <w:autoRedefine/>
    <w:qFormat/>
    <w:uiPriority w:val="39"/>
    <w:pPr>
      <w:ind w:left="1260" w:leftChars="600"/>
    </w:pPr>
  </w:style>
  <w:style w:type="paragraph" w:styleId="32">
    <w:name w:val="Subtitle"/>
    <w:basedOn w:val="1"/>
    <w:link w:val="92"/>
    <w:autoRedefine/>
    <w:qFormat/>
    <w:uiPriority w:val="0"/>
    <w:pPr>
      <w:spacing w:line="312" w:lineRule="auto"/>
      <w:jc w:val="center"/>
      <w:outlineLvl w:val="1"/>
    </w:pPr>
    <w:rPr>
      <w:rFonts w:ascii="Arial" w:hAnsi="Arial" w:eastAsia="Times New Roman"/>
      <w:b/>
      <w:bCs/>
      <w:kern w:val="28"/>
      <w:sz w:val="32"/>
      <w:szCs w:val="32"/>
    </w:rPr>
  </w:style>
  <w:style w:type="paragraph" w:styleId="33">
    <w:name w:val="footnote text"/>
    <w:basedOn w:val="1"/>
    <w:link w:val="93"/>
    <w:autoRedefine/>
    <w:qFormat/>
    <w:uiPriority w:val="0"/>
    <w:pPr>
      <w:snapToGrid w:val="0"/>
      <w:jc w:val="left"/>
    </w:pPr>
    <w:rPr>
      <w:sz w:val="18"/>
      <w:szCs w:val="18"/>
    </w:rPr>
  </w:style>
  <w:style w:type="paragraph" w:styleId="34">
    <w:name w:val="toc 6"/>
    <w:basedOn w:val="1"/>
    <w:next w:val="1"/>
    <w:autoRedefine/>
    <w:qFormat/>
    <w:uiPriority w:val="39"/>
    <w:pPr>
      <w:ind w:left="2100" w:leftChars="1000"/>
    </w:pPr>
  </w:style>
  <w:style w:type="paragraph" w:styleId="35">
    <w:name w:val="Body Text Indent 3"/>
    <w:basedOn w:val="1"/>
    <w:link w:val="94"/>
    <w:autoRedefine/>
    <w:qFormat/>
    <w:uiPriority w:val="0"/>
    <w:pPr>
      <w:spacing w:line="540" w:lineRule="atLeast"/>
      <w:ind w:firstLine="480" w:firstLineChars="200"/>
    </w:pPr>
    <w:rPr>
      <w:sz w:val="16"/>
      <w:szCs w:val="16"/>
    </w:rPr>
  </w:style>
  <w:style w:type="paragraph" w:styleId="36">
    <w:name w:val="table of figures"/>
    <w:basedOn w:val="1"/>
    <w:next w:val="1"/>
    <w:autoRedefine/>
    <w:qFormat/>
    <w:uiPriority w:val="0"/>
    <w:pPr>
      <w:ind w:left="200" w:leftChars="200" w:hanging="200" w:hangingChars="200"/>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Body Text 2"/>
    <w:basedOn w:val="1"/>
    <w:link w:val="95"/>
    <w:autoRedefine/>
    <w:qFormat/>
    <w:uiPriority w:val="0"/>
    <w:pPr>
      <w:spacing w:after="120" w:line="480" w:lineRule="auto"/>
    </w:pPr>
  </w:style>
  <w:style w:type="paragraph" w:styleId="40">
    <w:name w:val="HTML Preformatted"/>
    <w:basedOn w:val="1"/>
    <w:link w:val="9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2"/>
    </w:rPr>
  </w:style>
  <w:style w:type="paragraph" w:styleId="41">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42">
    <w:name w:val="index 1"/>
    <w:basedOn w:val="1"/>
    <w:next w:val="1"/>
    <w:autoRedefine/>
    <w:qFormat/>
    <w:uiPriority w:val="0"/>
    <w:pPr>
      <w:spacing w:line="400" w:lineRule="exact"/>
      <w:ind w:firstLine="420" w:firstLineChars="200"/>
    </w:pPr>
    <w:rPr>
      <w:rFonts w:ascii="宋体" w:hAnsi="Courier New"/>
      <w:b/>
      <w:szCs w:val="20"/>
    </w:rPr>
  </w:style>
  <w:style w:type="paragraph" w:styleId="43">
    <w:name w:val="Title"/>
    <w:basedOn w:val="1"/>
    <w:next w:val="1"/>
    <w:link w:val="97"/>
    <w:autoRedefine/>
    <w:qFormat/>
    <w:uiPriority w:val="0"/>
    <w:pPr>
      <w:spacing w:before="240" w:after="60"/>
      <w:jc w:val="center"/>
      <w:outlineLvl w:val="0"/>
    </w:pPr>
    <w:rPr>
      <w:rFonts w:ascii="Cambria" w:hAnsi="Cambria"/>
      <w:b/>
      <w:bCs/>
      <w:sz w:val="32"/>
      <w:szCs w:val="32"/>
    </w:rPr>
  </w:style>
  <w:style w:type="paragraph" w:styleId="44">
    <w:name w:val="annotation subject"/>
    <w:basedOn w:val="16"/>
    <w:next w:val="16"/>
    <w:link w:val="98"/>
    <w:autoRedefine/>
    <w:qFormat/>
    <w:uiPriority w:val="0"/>
    <w:rPr>
      <w:b/>
      <w:bCs/>
    </w:rPr>
  </w:style>
  <w:style w:type="paragraph" w:styleId="45">
    <w:name w:val="Body Text First Indent"/>
    <w:basedOn w:val="18"/>
    <w:link w:val="72"/>
    <w:autoRedefine/>
    <w:qFormat/>
    <w:uiPriority w:val="0"/>
    <w:pPr>
      <w:ind w:firstLine="420" w:firstLineChars="100"/>
    </w:pPr>
  </w:style>
  <w:style w:type="paragraph" w:styleId="46">
    <w:name w:val="Body Text First Indent 2"/>
    <w:basedOn w:val="19"/>
    <w:next w:val="47"/>
    <w:link w:val="70"/>
    <w:autoRedefine/>
    <w:unhideWhenUsed/>
    <w:qFormat/>
    <w:uiPriority w:val="0"/>
    <w:pPr>
      <w:spacing w:after="120" w:line="240" w:lineRule="auto"/>
      <w:ind w:left="420" w:leftChars="25" w:hanging="367" w:hangingChars="153"/>
    </w:pPr>
    <w:rPr>
      <w:rFonts w:ascii="Calibri" w:hAnsi="Calibri" w:eastAsia="Times New Roman"/>
      <w:kern w:val="0"/>
    </w:rPr>
  </w:style>
  <w:style w:type="paragraph" w:customStyle="1" w:styleId="47">
    <w:name w:val="明显引用1"/>
    <w:basedOn w:val="48"/>
    <w:next w:val="48"/>
    <w:qFormat/>
    <w:uiPriority w:val="0"/>
    <w:pPr>
      <w:pBdr>
        <w:bottom w:val="single" w:color="4F81BD" w:sz="4" w:space="4"/>
      </w:pBdr>
      <w:spacing w:before="200" w:after="280"/>
      <w:ind w:left="936" w:right="936"/>
    </w:pPr>
    <w:rPr>
      <w:b/>
      <w:bCs/>
      <w:i/>
      <w:iCs/>
      <w:color w:val="4F81BD"/>
    </w:rPr>
  </w:style>
  <w:style w:type="paragraph" w:customStyle="1" w:styleId="48">
    <w:name w:val="Normal_1"/>
    <w:next w:val="46"/>
    <w:autoRedefine/>
    <w:qFormat/>
    <w:uiPriority w:val="0"/>
    <w:rPr>
      <w:rFonts w:ascii="Times New Roman" w:hAnsi="Times New Roman" w:eastAsia="Times New Roman" w:cs="Times New Roman"/>
      <w:sz w:val="24"/>
      <w:szCs w:val="24"/>
      <w:lang w:val="en-US" w:eastAsia="zh-CN" w:bidi="ar-SA"/>
    </w:rPr>
  </w:style>
  <w:style w:type="table" w:styleId="50">
    <w:name w:val="Table Grid"/>
    <w:basedOn w:val="49"/>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autoRedefine/>
    <w:qFormat/>
    <w:uiPriority w:val="0"/>
    <w:rPr>
      <w:b/>
      <w:bCs/>
    </w:rPr>
  </w:style>
  <w:style w:type="character" w:styleId="53">
    <w:name w:val="page number"/>
    <w:autoRedefine/>
    <w:qFormat/>
    <w:uiPriority w:val="0"/>
    <w:rPr>
      <w:rFonts w:cs="Times New Roman"/>
    </w:rPr>
  </w:style>
  <w:style w:type="character" w:styleId="54">
    <w:name w:val="FollowedHyperlink"/>
    <w:autoRedefine/>
    <w:qFormat/>
    <w:uiPriority w:val="99"/>
    <w:rPr>
      <w:rFonts w:cs="Times New Roman"/>
      <w:color w:val="800080"/>
      <w:u w:val="single"/>
    </w:rPr>
  </w:style>
  <w:style w:type="character" w:styleId="55">
    <w:name w:val="Emphasis"/>
    <w:autoRedefine/>
    <w:qFormat/>
    <w:uiPriority w:val="0"/>
    <w:rPr>
      <w:i/>
      <w:iCs/>
    </w:rPr>
  </w:style>
  <w:style w:type="character" w:styleId="56">
    <w:name w:val="HTML Definition"/>
    <w:basedOn w:val="51"/>
    <w:autoRedefine/>
    <w:unhideWhenUsed/>
    <w:qFormat/>
    <w:uiPriority w:val="99"/>
  </w:style>
  <w:style w:type="character" w:styleId="57">
    <w:name w:val="HTML Typewriter"/>
    <w:basedOn w:val="51"/>
    <w:autoRedefine/>
    <w:unhideWhenUsed/>
    <w:qFormat/>
    <w:uiPriority w:val="99"/>
    <w:rPr>
      <w:rFonts w:hint="default" w:ascii="monospace" w:hAnsi="monospace" w:eastAsia="monospace" w:cs="monospace"/>
      <w:sz w:val="20"/>
    </w:rPr>
  </w:style>
  <w:style w:type="character" w:styleId="58">
    <w:name w:val="HTML Acronym"/>
    <w:basedOn w:val="51"/>
    <w:autoRedefine/>
    <w:unhideWhenUsed/>
    <w:qFormat/>
    <w:uiPriority w:val="99"/>
  </w:style>
  <w:style w:type="character" w:styleId="59">
    <w:name w:val="HTML Variable"/>
    <w:basedOn w:val="51"/>
    <w:autoRedefine/>
    <w:unhideWhenUsed/>
    <w:qFormat/>
    <w:uiPriority w:val="99"/>
  </w:style>
  <w:style w:type="character" w:styleId="60">
    <w:name w:val="Hyperlink"/>
    <w:autoRedefine/>
    <w:qFormat/>
    <w:uiPriority w:val="99"/>
    <w:rPr>
      <w:rFonts w:cs="Times New Roman"/>
      <w:color w:val="0000FF"/>
      <w:u w:val="single"/>
    </w:rPr>
  </w:style>
  <w:style w:type="character" w:styleId="61">
    <w:name w:val="HTML Code"/>
    <w:basedOn w:val="51"/>
    <w:autoRedefine/>
    <w:unhideWhenUsed/>
    <w:qFormat/>
    <w:uiPriority w:val="99"/>
    <w:rPr>
      <w:rFonts w:ascii="monospace" w:hAnsi="monospace" w:eastAsia="monospace" w:cs="monospace"/>
      <w:sz w:val="20"/>
    </w:rPr>
  </w:style>
  <w:style w:type="character" w:styleId="62">
    <w:name w:val="annotation reference"/>
    <w:autoRedefine/>
    <w:qFormat/>
    <w:uiPriority w:val="0"/>
    <w:rPr>
      <w:rFonts w:cs="Times New Roman"/>
      <w:sz w:val="21"/>
      <w:szCs w:val="21"/>
    </w:rPr>
  </w:style>
  <w:style w:type="character" w:styleId="63">
    <w:name w:val="HTML Cite"/>
    <w:basedOn w:val="51"/>
    <w:autoRedefine/>
    <w:unhideWhenUsed/>
    <w:qFormat/>
    <w:uiPriority w:val="99"/>
  </w:style>
  <w:style w:type="character" w:styleId="64">
    <w:name w:val="footnote reference"/>
    <w:autoRedefine/>
    <w:unhideWhenUsed/>
    <w:qFormat/>
    <w:uiPriority w:val="99"/>
    <w:rPr>
      <w:vertAlign w:val="superscript"/>
    </w:rPr>
  </w:style>
  <w:style w:type="character" w:styleId="65">
    <w:name w:val="HTML Keyboard"/>
    <w:basedOn w:val="51"/>
    <w:autoRedefine/>
    <w:unhideWhenUsed/>
    <w:qFormat/>
    <w:uiPriority w:val="99"/>
    <w:rPr>
      <w:rFonts w:hint="default" w:ascii="monospace" w:hAnsi="monospace" w:eastAsia="monospace" w:cs="monospace"/>
      <w:sz w:val="20"/>
    </w:rPr>
  </w:style>
  <w:style w:type="character" w:styleId="66">
    <w:name w:val="HTML Sample"/>
    <w:basedOn w:val="51"/>
    <w:autoRedefine/>
    <w:unhideWhenUsed/>
    <w:qFormat/>
    <w:uiPriority w:val="99"/>
    <w:rPr>
      <w:rFonts w:hint="default" w:ascii="monospace" w:hAnsi="monospace" w:eastAsia="monospace" w:cs="monospace"/>
    </w:rPr>
  </w:style>
  <w:style w:type="paragraph" w:customStyle="1" w:styleId="67">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8">
    <w:name w:val="正文文本_0"/>
    <w:basedOn w:val="67"/>
    <w:next w:val="67"/>
    <w:autoRedefine/>
    <w:qFormat/>
    <w:uiPriority w:val="99"/>
    <w:pPr>
      <w:spacing w:after="120"/>
    </w:pPr>
    <w:rPr>
      <w:rFonts w:ascii="Times New Roman" w:hAnsi="Times New Roman"/>
      <w:szCs w:val="24"/>
    </w:rPr>
  </w:style>
  <w:style w:type="character" w:customStyle="1" w:styleId="69">
    <w:name w:val="正文文本缩进 Char"/>
    <w:link w:val="19"/>
    <w:autoRedefine/>
    <w:qFormat/>
    <w:uiPriority w:val="0"/>
    <w:rPr>
      <w:rFonts w:eastAsia="宋体" w:cs="Times New Roman"/>
      <w:kern w:val="2"/>
      <w:sz w:val="24"/>
      <w:szCs w:val="24"/>
      <w:lang w:val="en-US" w:eastAsia="zh-CN" w:bidi="ar-SA"/>
    </w:rPr>
  </w:style>
  <w:style w:type="character" w:customStyle="1" w:styleId="70">
    <w:name w:val="正文首行缩进 2 Char"/>
    <w:link w:val="46"/>
    <w:autoRedefine/>
    <w:qFormat/>
    <w:uiPriority w:val="0"/>
    <w:rPr>
      <w:rFonts w:ascii="Calibri" w:hAnsi="Calibri" w:eastAsia="Times New Roman"/>
      <w:sz w:val="24"/>
      <w:szCs w:val="24"/>
    </w:rPr>
  </w:style>
  <w:style w:type="character" w:customStyle="1" w:styleId="71">
    <w:name w:val="正文文本 Char"/>
    <w:link w:val="18"/>
    <w:autoRedefine/>
    <w:qFormat/>
    <w:uiPriority w:val="0"/>
    <w:rPr>
      <w:kern w:val="2"/>
      <w:sz w:val="21"/>
      <w:szCs w:val="24"/>
    </w:rPr>
  </w:style>
  <w:style w:type="character" w:customStyle="1" w:styleId="72">
    <w:name w:val="正文首行缩进 Char"/>
    <w:link w:val="45"/>
    <w:autoRedefine/>
    <w:qFormat/>
    <w:uiPriority w:val="0"/>
  </w:style>
  <w:style w:type="character" w:customStyle="1" w:styleId="73">
    <w:name w:val="标题 1 Char"/>
    <w:link w:val="2"/>
    <w:autoRedefine/>
    <w:qFormat/>
    <w:uiPriority w:val="0"/>
    <w:rPr>
      <w:rFonts w:ascii="Times New Roman" w:hAnsi="Times New Roman" w:eastAsia="宋体" w:cs="Times New Roman"/>
      <w:b/>
      <w:bCs/>
      <w:kern w:val="44"/>
      <w:sz w:val="44"/>
      <w:szCs w:val="44"/>
      <w:lang w:val="en-US" w:eastAsia="zh-CN" w:bidi="ar-SA"/>
    </w:rPr>
  </w:style>
  <w:style w:type="character" w:customStyle="1" w:styleId="74">
    <w:name w:val="标题 2 Char"/>
    <w:link w:val="3"/>
    <w:autoRedefine/>
    <w:qFormat/>
    <w:uiPriority w:val="0"/>
    <w:rPr>
      <w:rFonts w:ascii="宋体" w:hAnsi="宋体" w:eastAsia="黑体" w:cs="宋体"/>
      <w:color w:val="000000"/>
      <w:sz w:val="28"/>
      <w:szCs w:val="21"/>
    </w:rPr>
  </w:style>
  <w:style w:type="character" w:customStyle="1" w:styleId="75">
    <w:name w:val="标题 3 Char"/>
    <w:link w:val="4"/>
    <w:autoRedefine/>
    <w:qFormat/>
    <w:uiPriority w:val="0"/>
    <w:rPr>
      <w:b/>
      <w:color w:val="000000"/>
      <w:kern w:val="2"/>
      <w:sz w:val="28"/>
      <w:szCs w:val="28"/>
    </w:rPr>
  </w:style>
  <w:style w:type="character" w:customStyle="1" w:styleId="76">
    <w:name w:val="标题 4 Char"/>
    <w:link w:val="5"/>
    <w:autoRedefine/>
    <w:qFormat/>
    <w:uiPriority w:val="0"/>
    <w:rPr>
      <w:rFonts w:ascii="Cambria" w:hAnsi="Cambria" w:eastAsia="宋体" w:cs="Times New Roman"/>
      <w:b/>
      <w:bCs/>
      <w:kern w:val="2"/>
      <w:sz w:val="28"/>
      <w:szCs w:val="28"/>
    </w:rPr>
  </w:style>
  <w:style w:type="character" w:customStyle="1" w:styleId="77">
    <w:name w:val="标题 5 Char"/>
    <w:link w:val="6"/>
    <w:autoRedefine/>
    <w:qFormat/>
    <w:uiPriority w:val="0"/>
    <w:rPr>
      <w:rFonts w:eastAsia="宋体" w:cs="Times New Roman"/>
      <w:b/>
      <w:bCs/>
      <w:kern w:val="2"/>
      <w:sz w:val="28"/>
      <w:szCs w:val="28"/>
      <w:lang w:val="en-US" w:eastAsia="zh-CN" w:bidi="ar-SA"/>
    </w:rPr>
  </w:style>
  <w:style w:type="character" w:customStyle="1" w:styleId="78">
    <w:name w:val="标题 6 Char1"/>
    <w:link w:val="7"/>
    <w:autoRedefine/>
    <w:qFormat/>
    <w:uiPriority w:val="0"/>
    <w:rPr>
      <w:rFonts w:ascii="Arial" w:hAnsi="Arial" w:eastAsia="黑体"/>
      <w:b/>
      <w:kern w:val="2"/>
      <w:sz w:val="24"/>
    </w:rPr>
  </w:style>
  <w:style w:type="character" w:customStyle="1" w:styleId="79">
    <w:name w:val="正文缩进 Char"/>
    <w:link w:val="8"/>
    <w:autoRedefine/>
    <w:qFormat/>
    <w:uiPriority w:val="0"/>
    <w:rPr>
      <w:rFonts w:eastAsia="宋体" w:cs="Times New Roman"/>
      <w:kern w:val="2"/>
      <w:sz w:val="21"/>
      <w:lang w:val="en-US" w:eastAsia="zh-CN" w:bidi="ar-SA"/>
    </w:rPr>
  </w:style>
  <w:style w:type="character" w:customStyle="1" w:styleId="80">
    <w:name w:val="标题 7 Char"/>
    <w:link w:val="9"/>
    <w:autoRedefine/>
    <w:semiHidden/>
    <w:qFormat/>
    <w:uiPriority w:val="0"/>
    <w:rPr>
      <w:b/>
      <w:bCs/>
      <w:kern w:val="2"/>
      <w:sz w:val="24"/>
      <w:szCs w:val="24"/>
    </w:rPr>
  </w:style>
  <w:style w:type="character" w:customStyle="1" w:styleId="81">
    <w:name w:val="标题 8 Char"/>
    <w:link w:val="10"/>
    <w:autoRedefine/>
    <w:semiHidden/>
    <w:qFormat/>
    <w:uiPriority w:val="0"/>
    <w:rPr>
      <w:rFonts w:ascii="Cambria" w:hAnsi="Cambria" w:eastAsia="宋体" w:cs="Times New Roman"/>
      <w:kern w:val="2"/>
      <w:sz w:val="24"/>
      <w:szCs w:val="24"/>
    </w:rPr>
  </w:style>
  <w:style w:type="character" w:customStyle="1" w:styleId="82">
    <w:name w:val="标题 9 Char"/>
    <w:link w:val="11"/>
    <w:autoRedefine/>
    <w:semiHidden/>
    <w:qFormat/>
    <w:uiPriority w:val="0"/>
    <w:rPr>
      <w:rFonts w:ascii="Cambria" w:hAnsi="Cambria" w:eastAsia="宋体" w:cs="Times New Roman"/>
      <w:kern w:val="2"/>
      <w:sz w:val="21"/>
      <w:szCs w:val="21"/>
    </w:rPr>
  </w:style>
  <w:style w:type="character" w:customStyle="1" w:styleId="83">
    <w:name w:val="文档结构图 Char"/>
    <w:link w:val="14"/>
    <w:autoRedefine/>
    <w:qFormat/>
    <w:uiPriority w:val="0"/>
    <w:rPr>
      <w:kern w:val="2"/>
      <w:sz w:val="16"/>
      <w:szCs w:val="0"/>
    </w:rPr>
  </w:style>
  <w:style w:type="character" w:customStyle="1" w:styleId="84">
    <w:name w:val="批注文字 Char"/>
    <w:link w:val="16"/>
    <w:autoRedefine/>
    <w:qFormat/>
    <w:uiPriority w:val="0"/>
    <w:rPr>
      <w:kern w:val="2"/>
      <w:sz w:val="21"/>
      <w:szCs w:val="24"/>
    </w:rPr>
  </w:style>
  <w:style w:type="character" w:customStyle="1" w:styleId="85">
    <w:name w:val="正文文本 3 Char"/>
    <w:link w:val="17"/>
    <w:autoRedefine/>
    <w:qFormat/>
    <w:uiPriority w:val="0"/>
    <w:rPr>
      <w:kern w:val="2"/>
      <w:sz w:val="16"/>
      <w:szCs w:val="16"/>
    </w:rPr>
  </w:style>
  <w:style w:type="character" w:customStyle="1" w:styleId="86">
    <w:name w:val="纯文本 Char"/>
    <w:link w:val="23"/>
    <w:autoRedefine/>
    <w:qFormat/>
    <w:uiPriority w:val="99"/>
    <w:rPr>
      <w:rFonts w:ascii="宋体" w:hAnsi="Courier New" w:eastAsia="宋体" w:cs="Courier New"/>
      <w:kern w:val="2"/>
      <w:sz w:val="21"/>
      <w:szCs w:val="21"/>
      <w:lang w:val="en-US" w:eastAsia="zh-CN" w:bidi="ar-SA"/>
    </w:rPr>
  </w:style>
  <w:style w:type="character" w:customStyle="1" w:styleId="87">
    <w:name w:val="日期 Char"/>
    <w:link w:val="25"/>
    <w:autoRedefine/>
    <w:qFormat/>
    <w:uiPriority w:val="0"/>
    <w:rPr>
      <w:kern w:val="2"/>
      <w:sz w:val="21"/>
      <w:szCs w:val="24"/>
    </w:rPr>
  </w:style>
  <w:style w:type="character" w:customStyle="1" w:styleId="88">
    <w:name w:val="正文文本缩进 2 Char"/>
    <w:link w:val="26"/>
    <w:autoRedefine/>
    <w:qFormat/>
    <w:uiPriority w:val="0"/>
    <w:rPr>
      <w:kern w:val="2"/>
      <w:sz w:val="21"/>
      <w:szCs w:val="24"/>
    </w:rPr>
  </w:style>
  <w:style w:type="character" w:customStyle="1" w:styleId="89">
    <w:name w:val="批注框文本 Char"/>
    <w:link w:val="27"/>
    <w:autoRedefine/>
    <w:qFormat/>
    <w:uiPriority w:val="0"/>
    <w:rPr>
      <w:kern w:val="2"/>
      <w:sz w:val="16"/>
      <w:szCs w:val="0"/>
    </w:rPr>
  </w:style>
  <w:style w:type="character" w:customStyle="1" w:styleId="90">
    <w:name w:val="页脚 Char"/>
    <w:link w:val="28"/>
    <w:autoRedefine/>
    <w:qFormat/>
    <w:uiPriority w:val="99"/>
    <w:rPr>
      <w:kern w:val="2"/>
      <w:sz w:val="18"/>
      <w:szCs w:val="18"/>
    </w:rPr>
  </w:style>
  <w:style w:type="character" w:customStyle="1" w:styleId="91">
    <w:name w:val="页眉 Char"/>
    <w:link w:val="29"/>
    <w:autoRedefine/>
    <w:qFormat/>
    <w:uiPriority w:val="0"/>
    <w:rPr>
      <w:rFonts w:eastAsia="宋体" w:cs="Times New Roman"/>
      <w:kern w:val="2"/>
      <w:sz w:val="18"/>
      <w:szCs w:val="18"/>
      <w:lang w:val="en-US" w:eastAsia="zh-CN" w:bidi="ar-SA"/>
    </w:rPr>
  </w:style>
  <w:style w:type="character" w:customStyle="1" w:styleId="92">
    <w:name w:val="副标题 Char"/>
    <w:link w:val="32"/>
    <w:autoRedefine/>
    <w:qFormat/>
    <w:uiPriority w:val="0"/>
    <w:rPr>
      <w:rFonts w:ascii="Arial" w:hAnsi="Arial" w:eastAsia="Times New Roman"/>
      <w:b/>
      <w:bCs/>
      <w:kern w:val="28"/>
      <w:sz w:val="32"/>
      <w:szCs w:val="32"/>
    </w:rPr>
  </w:style>
  <w:style w:type="character" w:customStyle="1" w:styleId="93">
    <w:name w:val="脚注文本 Char"/>
    <w:link w:val="33"/>
    <w:autoRedefine/>
    <w:qFormat/>
    <w:uiPriority w:val="0"/>
    <w:rPr>
      <w:kern w:val="2"/>
      <w:sz w:val="18"/>
      <w:szCs w:val="18"/>
    </w:rPr>
  </w:style>
  <w:style w:type="character" w:customStyle="1" w:styleId="94">
    <w:name w:val="正文文本缩进 3 Char"/>
    <w:link w:val="35"/>
    <w:autoRedefine/>
    <w:qFormat/>
    <w:uiPriority w:val="0"/>
    <w:rPr>
      <w:kern w:val="2"/>
      <w:sz w:val="16"/>
      <w:szCs w:val="16"/>
    </w:rPr>
  </w:style>
  <w:style w:type="character" w:customStyle="1" w:styleId="95">
    <w:name w:val="正文文本 2 Char"/>
    <w:link w:val="39"/>
    <w:autoRedefine/>
    <w:qFormat/>
    <w:uiPriority w:val="0"/>
    <w:rPr>
      <w:kern w:val="2"/>
      <w:sz w:val="21"/>
      <w:szCs w:val="24"/>
    </w:rPr>
  </w:style>
  <w:style w:type="character" w:customStyle="1" w:styleId="96">
    <w:name w:val="HTML 预设格式 Char2"/>
    <w:link w:val="40"/>
    <w:autoRedefine/>
    <w:qFormat/>
    <w:uiPriority w:val="0"/>
    <w:rPr>
      <w:rFonts w:ascii="宋体" w:hAnsi="宋体" w:eastAsia="宋体" w:cs="Times New Roman"/>
      <w:kern w:val="2"/>
      <w:sz w:val="24"/>
      <w:szCs w:val="22"/>
    </w:rPr>
  </w:style>
  <w:style w:type="character" w:customStyle="1" w:styleId="97">
    <w:name w:val="标题 Char"/>
    <w:link w:val="43"/>
    <w:autoRedefine/>
    <w:qFormat/>
    <w:uiPriority w:val="0"/>
    <w:rPr>
      <w:rFonts w:ascii="Cambria" w:hAnsi="Cambria"/>
      <w:b/>
      <w:bCs/>
      <w:kern w:val="2"/>
      <w:sz w:val="32"/>
      <w:szCs w:val="32"/>
    </w:rPr>
  </w:style>
  <w:style w:type="character" w:customStyle="1" w:styleId="98">
    <w:name w:val="批注主题 Char"/>
    <w:link w:val="44"/>
    <w:autoRedefine/>
    <w:qFormat/>
    <w:uiPriority w:val="0"/>
    <w:rPr>
      <w:b/>
      <w:bCs/>
      <w:kern w:val="2"/>
      <w:sz w:val="21"/>
      <w:szCs w:val="24"/>
    </w:rPr>
  </w:style>
  <w:style w:type="character" w:customStyle="1" w:styleId="99">
    <w:name w:val="正文（首行缩进两字） Char1"/>
    <w:autoRedefine/>
    <w:qFormat/>
    <w:uiPriority w:val="0"/>
    <w:rPr>
      <w:rFonts w:eastAsia="宋体"/>
      <w:kern w:val="2"/>
      <w:sz w:val="21"/>
      <w:lang w:val="en-US" w:eastAsia="zh-CN" w:bidi="ar-SA"/>
    </w:rPr>
  </w:style>
  <w:style w:type="character" w:customStyle="1" w:styleId="100">
    <w:name w:val="z-窗体顶端 Char1"/>
    <w:autoRedefine/>
    <w:qFormat/>
    <w:uiPriority w:val="0"/>
    <w:rPr>
      <w:rFonts w:ascii="Arial" w:hAnsi="Arial" w:eastAsia="宋体" w:cs="Arial"/>
      <w:vanish/>
      <w:sz w:val="16"/>
      <w:szCs w:val="16"/>
    </w:rPr>
  </w:style>
  <w:style w:type="character" w:customStyle="1" w:styleId="101">
    <w:name w:val="纯文本 字符"/>
    <w:autoRedefine/>
    <w:qFormat/>
    <w:uiPriority w:val="0"/>
    <w:rPr>
      <w:rFonts w:ascii="宋体" w:hAnsi="Courier New" w:eastAsia="宋体" w:cs="Courier New"/>
      <w:kern w:val="2"/>
      <w:sz w:val="21"/>
      <w:szCs w:val="21"/>
      <w:lang w:val="en-US" w:eastAsia="zh-CN" w:bidi="ar-SA"/>
    </w:rPr>
  </w:style>
  <w:style w:type="character" w:customStyle="1" w:styleId="102">
    <w:name w:val="正文（首行缩进两字） Char Char"/>
    <w:autoRedefine/>
    <w:qFormat/>
    <w:uiPriority w:val="0"/>
    <w:rPr>
      <w:kern w:val="2"/>
      <w:sz w:val="21"/>
    </w:rPr>
  </w:style>
  <w:style w:type="character" w:customStyle="1" w:styleId="103">
    <w:name w:val="标题 3 Char1"/>
    <w:autoRedefine/>
    <w:qFormat/>
    <w:uiPriority w:val="0"/>
    <w:rPr>
      <w:rFonts w:eastAsia="宋体"/>
      <w:kern w:val="2"/>
      <w:sz w:val="24"/>
      <w:lang w:val="en-US" w:eastAsia="zh-CN"/>
    </w:rPr>
  </w:style>
  <w:style w:type="character" w:customStyle="1" w:styleId="104">
    <w:name w:val="标题 Char1"/>
    <w:autoRedefine/>
    <w:qFormat/>
    <w:uiPriority w:val="0"/>
    <w:rPr>
      <w:rFonts w:ascii="Cambria" w:hAnsi="Cambria" w:eastAsia="宋体" w:cs="Times New Roman"/>
      <w:b/>
      <w:bCs/>
      <w:sz w:val="32"/>
      <w:szCs w:val="32"/>
    </w:rPr>
  </w:style>
  <w:style w:type="character" w:customStyle="1" w:styleId="105">
    <w:name w:val="标题 2 Char3"/>
    <w:autoRedefine/>
    <w:qFormat/>
    <w:uiPriority w:val="0"/>
    <w:rPr>
      <w:rFonts w:ascii="Calibri Light" w:hAnsi="Calibri Light" w:eastAsia="宋体"/>
      <w:b/>
      <w:bCs/>
      <w:kern w:val="2"/>
      <w:sz w:val="32"/>
      <w:szCs w:val="32"/>
      <w:lang w:val="en-US" w:eastAsia="zh-CN" w:bidi="ar-SA"/>
    </w:rPr>
  </w:style>
  <w:style w:type="character" w:customStyle="1" w:styleId="106">
    <w:name w:val="正文首行缩进 Char1"/>
    <w:autoRedefine/>
    <w:qFormat/>
    <w:uiPriority w:val="0"/>
  </w:style>
  <w:style w:type="character" w:customStyle="1" w:styleId="107">
    <w:name w:val="正文文本 Char1"/>
    <w:autoRedefine/>
    <w:semiHidden/>
    <w:qFormat/>
    <w:uiPriority w:val="99"/>
    <w:rPr>
      <w:rFonts w:ascii="Times New Roman" w:hAnsi="Times New Roman" w:eastAsia="宋体" w:cs="Times New Roman"/>
      <w:szCs w:val="24"/>
    </w:rPr>
  </w:style>
  <w:style w:type="character" w:customStyle="1" w:styleId="108">
    <w:name w:val="正文文本缩进 2 Char1"/>
    <w:autoRedefine/>
    <w:qFormat/>
    <w:uiPriority w:val="0"/>
    <w:rPr>
      <w:szCs w:val="24"/>
    </w:rPr>
  </w:style>
  <w:style w:type="character" w:customStyle="1" w:styleId="109">
    <w:name w:val="标题 9 Char1"/>
    <w:autoRedefine/>
    <w:qFormat/>
    <w:uiPriority w:val="0"/>
    <w:rPr>
      <w:rFonts w:ascii="Arial" w:hAnsi="Arial" w:eastAsia="黑体"/>
      <w:sz w:val="21"/>
    </w:rPr>
  </w:style>
  <w:style w:type="character" w:customStyle="1" w:styleId="110">
    <w:name w:val="页脚 Char1"/>
    <w:autoRedefine/>
    <w:qFormat/>
    <w:uiPriority w:val="99"/>
    <w:rPr>
      <w:rFonts w:ascii="Times New Roman" w:hAnsi="Times New Roman" w:eastAsia="宋体" w:cs="Times New Roman"/>
      <w:sz w:val="18"/>
      <w:szCs w:val="18"/>
    </w:rPr>
  </w:style>
  <w:style w:type="character" w:customStyle="1" w:styleId="111">
    <w:name w:val="font11"/>
    <w:autoRedefine/>
    <w:qFormat/>
    <w:uiPriority w:val="0"/>
    <w:rPr>
      <w:rFonts w:hint="eastAsia" w:ascii="宋体" w:hAnsi="宋体" w:eastAsia="宋体" w:cs="宋体"/>
      <w:color w:val="000000"/>
      <w:sz w:val="20"/>
      <w:szCs w:val="20"/>
      <w:u w:val="none"/>
    </w:rPr>
  </w:style>
  <w:style w:type="character" w:customStyle="1" w:styleId="112">
    <w:name w:val="Char Char16"/>
    <w:autoRedefine/>
    <w:qFormat/>
    <w:uiPriority w:val="0"/>
    <w:rPr>
      <w:rFonts w:eastAsia="宋体"/>
      <w:sz w:val="21"/>
      <w:lang w:val="en-US" w:eastAsia="zh-CN" w:bidi="ar-SA"/>
    </w:rPr>
  </w:style>
  <w:style w:type="character" w:customStyle="1" w:styleId="113">
    <w:name w:val="Char Char2"/>
    <w:autoRedefine/>
    <w:qFormat/>
    <w:uiPriority w:val="0"/>
    <w:rPr>
      <w:rFonts w:ascii="宋体" w:hAnsi="Courier New"/>
      <w:kern w:val="2"/>
      <w:sz w:val="21"/>
    </w:rPr>
  </w:style>
  <w:style w:type="character" w:customStyle="1" w:styleId="114">
    <w:name w:val="标题 1 Char Char Char Char Char Char Char Char Char Char Char Char Char Char Char Char Char Char Char Char1"/>
    <w:autoRedefine/>
    <w:qFormat/>
    <w:uiPriority w:val="0"/>
    <w:rPr>
      <w:rFonts w:eastAsia="宋体"/>
      <w:b/>
      <w:bCs/>
      <w:color w:val="FF0000"/>
      <w:kern w:val="2"/>
      <w:sz w:val="21"/>
      <w:szCs w:val="24"/>
      <w:lang w:val="en-US" w:eastAsia="zh-CN" w:bidi="ar-SA"/>
    </w:rPr>
  </w:style>
  <w:style w:type="character" w:customStyle="1" w:styleId="115">
    <w:name w:val="headline-content2"/>
    <w:autoRedefine/>
    <w:qFormat/>
    <w:uiPriority w:val="0"/>
  </w:style>
  <w:style w:type="character" w:customStyle="1" w:styleId="116">
    <w:name w:val="列出段落 Char"/>
    <w:link w:val="117"/>
    <w:autoRedefine/>
    <w:qFormat/>
    <w:uiPriority w:val="0"/>
    <w:rPr>
      <w:rFonts w:ascii="Calibri" w:hAnsi="Calibri"/>
      <w:kern w:val="2"/>
      <w:sz w:val="21"/>
      <w:szCs w:val="22"/>
    </w:rPr>
  </w:style>
  <w:style w:type="paragraph" w:styleId="117">
    <w:name w:val="List Paragraph"/>
    <w:basedOn w:val="1"/>
    <w:link w:val="116"/>
    <w:autoRedefine/>
    <w:qFormat/>
    <w:uiPriority w:val="0"/>
    <w:pPr>
      <w:ind w:firstLine="420" w:firstLineChars="200"/>
    </w:pPr>
    <w:rPr>
      <w:rFonts w:ascii="Calibri" w:hAnsi="Calibri"/>
      <w:szCs w:val="22"/>
    </w:rPr>
  </w:style>
  <w:style w:type="character" w:customStyle="1" w:styleId="118">
    <w:name w:val="批注文字 字符"/>
    <w:autoRedefine/>
    <w:qFormat/>
    <w:uiPriority w:val="0"/>
    <w:rPr>
      <w:kern w:val="2"/>
      <w:sz w:val="21"/>
      <w:szCs w:val="24"/>
    </w:rPr>
  </w:style>
  <w:style w:type="character" w:customStyle="1" w:styleId="119">
    <w:name w:val="正文文本 3 Char1"/>
    <w:autoRedefine/>
    <w:qFormat/>
    <w:uiPriority w:val="0"/>
    <w:rPr>
      <w:sz w:val="16"/>
      <w:szCs w:val="16"/>
    </w:rPr>
  </w:style>
  <w:style w:type="character" w:customStyle="1" w:styleId="120">
    <w:name w:val="font91"/>
    <w:autoRedefine/>
    <w:qFormat/>
    <w:uiPriority w:val="0"/>
    <w:rPr>
      <w:rFonts w:hint="eastAsia" w:ascii="宋体" w:hAnsi="宋体" w:eastAsia="宋体" w:cs="宋体"/>
      <w:color w:val="000000"/>
      <w:sz w:val="18"/>
      <w:szCs w:val="18"/>
      <w:u w:val="none"/>
    </w:rPr>
  </w:style>
  <w:style w:type="character" w:customStyle="1" w:styleId="121">
    <w:name w:val="表格正文 Char"/>
    <w:link w:val="122"/>
    <w:autoRedefine/>
    <w:qFormat/>
    <w:uiPriority w:val="0"/>
    <w:rPr>
      <w:rFonts w:ascii="Times New Roman" w:hAnsi="Times New Roman" w:cs="Times"/>
      <w:sz w:val="21"/>
      <w:szCs w:val="21"/>
    </w:rPr>
  </w:style>
  <w:style w:type="paragraph" w:customStyle="1" w:styleId="122">
    <w:name w:val="表格正文"/>
    <w:basedOn w:val="1"/>
    <w:link w:val="121"/>
    <w:autoRedefine/>
    <w:qFormat/>
    <w:uiPriority w:val="0"/>
    <w:pPr>
      <w:widowControl/>
      <w:spacing w:line="276" w:lineRule="auto"/>
      <w:jc w:val="left"/>
    </w:pPr>
    <w:rPr>
      <w:kern w:val="0"/>
      <w:szCs w:val="21"/>
    </w:rPr>
  </w:style>
  <w:style w:type="character" w:customStyle="1" w:styleId="123">
    <w:name w:val="编号1. Char Char Char"/>
    <w:link w:val="124"/>
    <w:autoRedefine/>
    <w:qFormat/>
    <w:uiPriority w:val="0"/>
    <w:rPr>
      <w:rFonts w:eastAsia="宋体" w:cs="Times New Roman"/>
      <w:kern w:val="2"/>
      <w:sz w:val="24"/>
      <w:szCs w:val="24"/>
      <w:lang w:val="en-US" w:eastAsia="zh-CN" w:bidi="ar-SA"/>
    </w:rPr>
  </w:style>
  <w:style w:type="paragraph" w:customStyle="1" w:styleId="124">
    <w:name w:val="编号1."/>
    <w:basedOn w:val="1"/>
    <w:link w:val="123"/>
    <w:autoRedefine/>
    <w:qFormat/>
    <w:uiPriority w:val="0"/>
    <w:pPr>
      <w:tabs>
        <w:tab w:val="left" w:pos="360"/>
        <w:tab w:val="left" w:pos="547"/>
        <w:tab w:val="left" w:pos="1080"/>
      </w:tabs>
      <w:spacing w:line="480" w:lineRule="atLeast"/>
      <w:ind w:left="360" w:hanging="360"/>
    </w:pPr>
    <w:rPr>
      <w:sz w:val="24"/>
    </w:rPr>
  </w:style>
  <w:style w:type="character" w:customStyle="1" w:styleId="125">
    <w:name w:val="Char Char1"/>
    <w:autoRedefine/>
    <w:qFormat/>
    <w:uiPriority w:val="0"/>
    <w:rPr>
      <w:rFonts w:ascii="宋体" w:hAnsi="Courier New" w:eastAsia="宋体"/>
      <w:kern w:val="2"/>
      <w:sz w:val="21"/>
      <w:lang w:val="en-US" w:eastAsia="zh-CN" w:bidi="ar-SA"/>
    </w:rPr>
  </w:style>
  <w:style w:type="character" w:customStyle="1" w:styleId="126">
    <w:name w:val="纯文本 Char2"/>
    <w:autoRedefine/>
    <w:qFormat/>
    <w:uiPriority w:val="0"/>
    <w:rPr>
      <w:rFonts w:ascii="宋体" w:hAnsi="Courier New" w:eastAsia="宋体" w:cs="Courier New"/>
      <w:kern w:val="2"/>
      <w:sz w:val="21"/>
      <w:szCs w:val="21"/>
    </w:rPr>
  </w:style>
  <w:style w:type="character" w:customStyle="1" w:styleId="127">
    <w:name w:val="正文（首行缩进两字） Char11"/>
    <w:autoRedefine/>
    <w:qFormat/>
    <w:uiPriority w:val="0"/>
    <w:rPr>
      <w:rFonts w:eastAsia="宋体"/>
      <w:kern w:val="2"/>
      <w:sz w:val="21"/>
      <w:lang w:val="en-US" w:eastAsia="zh-CN" w:bidi="ar-SA"/>
    </w:rPr>
  </w:style>
  <w:style w:type="character" w:customStyle="1" w:styleId="128">
    <w:name w:val="正文文本缩进 Char1"/>
    <w:autoRedefine/>
    <w:qFormat/>
    <w:uiPriority w:val="0"/>
    <w:rPr>
      <w:rFonts w:eastAsia="宋体" w:cs="Times New Roman"/>
      <w:sz w:val="24"/>
      <w:szCs w:val="24"/>
    </w:rPr>
  </w:style>
  <w:style w:type="character" w:customStyle="1" w:styleId="129">
    <w:name w:val="font21"/>
    <w:autoRedefine/>
    <w:qFormat/>
    <w:uiPriority w:val="0"/>
    <w:rPr>
      <w:rFonts w:hint="eastAsia" w:ascii="宋体" w:hAnsi="宋体" w:eastAsia="宋体" w:cs="宋体"/>
      <w:color w:val="000000"/>
      <w:sz w:val="21"/>
      <w:szCs w:val="21"/>
      <w:u w:val="none"/>
    </w:rPr>
  </w:style>
  <w:style w:type="character" w:customStyle="1" w:styleId="130">
    <w:name w:val="正文缩进 字符"/>
    <w:autoRedefine/>
    <w:qFormat/>
    <w:uiPriority w:val="0"/>
    <w:rPr>
      <w:rFonts w:eastAsia="宋体" w:cs="Times New Roman"/>
      <w:kern w:val="2"/>
      <w:sz w:val="21"/>
      <w:lang w:val="en-US" w:eastAsia="zh-CN" w:bidi="ar-SA"/>
    </w:rPr>
  </w:style>
  <w:style w:type="character" w:customStyle="1" w:styleId="131">
    <w:name w:val="表格文字图表文字 Char"/>
    <w:link w:val="132"/>
    <w:autoRedefine/>
    <w:qFormat/>
    <w:uiPriority w:val="0"/>
    <w:rPr>
      <w:lang w:val="zh-CN"/>
    </w:rPr>
  </w:style>
  <w:style w:type="paragraph" w:customStyle="1" w:styleId="132">
    <w:name w:val="表格文字图表文字"/>
    <w:basedOn w:val="1"/>
    <w:link w:val="131"/>
    <w:autoRedefine/>
    <w:qFormat/>
    <w:uiPriority w:val="0"/>
    <w:pPr>
      <w:snapToGrid w:val="0"/>
      <w:jc w:val="center"/>
    </w:pPr>
    <w:rPr>
      <w:kern w:val="0"/>
      <w:sz w:val="20"/>
      <w:szCs w:val="20"/>
      <w:lang w:val="zh-CN"/>
    </w:rPr>
  </w:style>
  <w:style w:type="character" w:customStyle="1" w:styleId="133">
    <w:name w:val="标题1 Char"/>
    <w:autoRedefine/>
    <w:qFormat/>
    <w:locked/>
    <w:uiPriority w:val="0"/>
    <w:rPr>
      <w:rFonts w:eastAsia="宋体"/>
      <w:b/>
      <w:kern w:val="44"/>
      <w:sz w:val="32"/>
      <w:lang w:val="en-US" w:eastAsia="zh-CN"/>
    </w:rPr>
  </w:style>
  <w:style w:type="character" w:customStyle="1" w:styleId="134">
    <w:name w:val="样式 超链接 + 仿宋_GB2312 小四 加粗"/>
    <w:autoRedefine/>
    <w:qFormat/>
    <w:uiPriority w:val="0"/>
    <w:rPr>
      <w:rFonts w:ascii="仿宋_GB2312" w:hAnsi="仿宋_GB2312" w:eastAsia="黑体"/>
      <w:b/>
      <w:bCs/>
      <w:color w:val="auto"/>
      <w:sz w:val="24"/>
      <w:u w:val="none"/>
    </w:rPr>
  </w:style>
  <w:style w:type="character" w:customStyle="1" w:styleId="135">
    <w:name w:val="style41"/>
    <w:autoRedefine/>
    <w:qFormat/>
    <w:uiPriority w:val="0"/>
    <w:rPr>
      <w:rFonts w:hint="eastAsia" w:ascii="宋体" w:hAnsi="宋体" w:eastAsia="宋体"/>
      <w:sz w:val="18"/>
    </w:rPr>
  </w:style>
  <w:style w:type="character" w:customStyle="1" w:styleId="136">
    <w:name w:val="HTML 预设格式 Char"/>
    <w:autoRedefine/>
    <w:qFormat/>
    <w:uiPriority w:val="0"/>
    <w:rPr>
      <w:rFonts w:ascii="Courier New" w:hAnsi="Courier New" w:cs="Courier New"/>
      <w:kern w:val="2"/>
    </w:rPr>
  </w:style>
  <w:style w:type="character" w:customStyle="1" w:styleId="137">
    <w:name w:val="z-窗体底端 Char"/>
    <w:link w:val="138"/>
    <w:autoRedefine/>
    <w:qFormat/>
    <w:uiPriority w:val="99"/>
    <w:rPr>
      <w:rFonts w:ascii="Arial" w:hAnsi="Arial" w:cs="Arial"/>
      <w:vanish/>
      <w:kern w:val="2"/>
      <w:sz w:val="16"/>
      <w:szCs w:val="16"/>
    </w:rPr>
  </w:style>
  <w:style w:type="paragraph" w:customStyle="1" w:styleId="138">
    <w:name w:val="_Style 132"/>
    <w:basedOn w:val="1"/>
    <w:next w:val="1"/>
    <w:link w:val="137"/>
    <w:autoRedefine/>
    <w:qFormat/>
    <w:uiPriority w:val="99"/>
    <w:pPr>
      <w:pBdr>
        <w:top w:val="single" w:color="auto" w:sz="6" w:space="1"/>
      </w:pBdr>
      <w:jc w:val="center"/>
    </w:pPr>
    <w:rPr>
      <w:rFonts w:ascii="Arial" w:hAnsi="Arial"/>
      <w:vanish/>
      <w:sz w:val="16"/>
      <w:szCs w:val="16"/>
    </w:rPr>
  </w:style>
  <w:style w:type="character" w:customStyle="1" w:styleId="139">
    <w:name w:val="标题 1 Char1"/>
    <w:autoRedefine/>
    <w:qFormat/>
    <w:uiPriority w:val="0"/>
    <w:rPr>
      <w:rFonts w:eastAsia="宋体"/>
      <w:b/>
      <w:bCs/>
      <w:color w:val="FF0000"/>
      <w:kern w:val="2"/>
      <w:sz w:val="21"/>
      <w:szCs w:val="24"/>
      <w:lang w:val="en-US" w:eastAsia="zh-CN" w:bidi="ar-SA"/>
    </w:rPr>
  </w:style>
  <w:style w:type="character" w:customStyle="1" w:styleId="140">
    <w:name w:val="lb1"/>
    <w:autoRedefine/>
    <w:qFormat/>
    <w:uiPriority w:val="0"/>
    <w:rPr>
      <w:rFonts w:hint="default"/>
      <w:b/>
      <w:bCs/>
      <w:color w:val="0851A5"/>
      <w:sz w:val="27"/>
      <w:szCs w:val="27"/>
    </w:rPr>
  </w:style>
  <w:style w:type="character" w:customStyle="1" w:styleId="141">
    <w:name w:val="z-窗体顶端 Char"/>
    <w:link w:val="142"/>
    <w:autoRedefine/>
    <w:qFormat/>
    <w:uiPriority w:val="99"/>
    <w:rPr>
      <w:rFonts w:ascii="Arial" w:hAnsi="Arial" w:cs="Arial"/>
      <w:vanish/>
      <w:kern w:val="2"/>
      <w:sz w:val="16"/>
      <w:szCs w:val="16"/>
    </w:rPr>
  </w:style>
  <w:style w:type="paragraph" w:customStyle="1" w:styleId="142">
    <w:name w:val="_Style 136"/>
    <w:basedOn w:val="1"/>
    <w:next w:val="1"/>
    <w:link w:val="141"/>
    <w:autoRedefine/>
    <w:qFormat/>
    <w:uiPriority w:val="99"/>
    <w:pPr>
      <w:pBdr>
        <w:bottom w:val="single" w:color="auto" w:sz="6" w:space="1"/>
      </w:pBdr>
      <w:jc w:val="center"/>
    </w:pPr>
    <w:rPr>
      <w:rFonts w:ascii="Arial" w:hAnsi="Arial"/>
      <w:vanish/>
      <w:sz w:val="16"/>
      <w:szCs w:val="16"/>
    </w:rPr>
  </w:style>
  <w:style w:type="character" w:customStyle="1" w:styleId="143">
    <w:name w:val="style6"/>
    <w:autoRedefine/>
    <w:qFormat/>
    <w:uiPriority w:val="0"/>
  </w:style>
  <w:style w:type="character" w:customStyle="1" w:styleId="144">
    <w:name w:val="批注框文本 Char1"/>
    <w:autoRedefine/>
    <w:qFormat/>
    <w:uiPriority w:val="0"/>
    <w:rPr>
      <w:sz w:val="18"/>
      <w:szCs w:val="18"/>
    </w:rPr>
  </w:style>
  <w:style w:type="character" w:customStyle="1" w:styleId="145">
    <w:name w:val="正文文本 字符"/>
    <w:autoRedefine/>
    <w:qFormat/>
    <w:uiPriority w:val="0"/>
    <w:rPr>
      <w:kern w:val="2"/>
      <w:sz w:val="21"/>
      <w:szCs w:val="24"/>
    </w:rPr>
  </w:style>
  <w:style w:type="character" w:customStyle="1" w:styleId="146">
    <w:name w:val="style351"/>
    <w:autoRedefine/>
    <w:qFormat/>
    <w:uiPriority w:val="0"/>
    <w:rPr>
      <w:sz w:val="15"/>
      <w:szCs w:val="15"/>
    </w:rPr>
  </w:style>
  <w:style w:type="character" w:customStyle="1" w:styleId="147">
    <w:name w:val="日期 Char1"/>
    <w:autoRedefine/>
    <w:qFormat/>
    <w:uiPriority w:val="0"/>
    <w:rPr>
      <w:szCs w:val="24"/>
    </w:rPr>
  </w:style>
  <w:style w:type="character" w:customStyle="1" w:styleId="148">
    <w:name w:val="普通文字1 Char"/>
    <w:autoRedefine/>
    <w:qFormat/>
    <w:uiPriority w:val="0"/>
    <w:rPr>
      <w:rFonts w:ascii="宋体" w:hAnsi="Courier New" w:eastAsia="宋体"/>
      <w:kern w:val="2"/>
      <w:sz w:val="21"/>
      <w:lang w:val="en-US" w:eastAsia="zh-CN" w:bidi="ar-SA"/>
    </w:rPr>
  </w:style>
  <w:style w:type="character" w:customStyle="1" w:styleId="149">
    <w:name w:val="脚注文本 Char2"/>
    <w:autoRedefine/>
    <w:qFormat/>
    <w:uiPriority w:val="0"/>
    <w:rPr>
      <w:sz w:val="18"/>
      <w:szCs w:val="18"/>
    </w:rPr>
  </w:style>
  <w:style w:type="character" w:customStyle="1" w:styleId="150">
    <w:name w:val="正文文本缩进 3 Char1"/>
    <w:autoRedefine/>
    <w:qFormat/>
    <w:uiPriority w:val="0"/>
    <w:rPr>
      <w:sz w:val="16"/>
      <w:szCs w:val="16"/>
    </w:rPr>
  </w:style>
  <w:style w:type="character" w:customStyle="1" w:styleId="151">
    <w:name w:val="Plain Text Char1"/>
    <w:autoRedefine/>
    <w:qFormat/>
    <w:uiPriority w:val="0"/>
    <w:rPr>
      <w:rFonts w:ascii="宋体" w:hAnsi="Courier New" w:cs="Courier New"/>
      <w:kern w:val="2"/>
      <w:sz w:val="21"/>
      <w:szCs w:val="21"/>
    </w:rPr>
  </w:style>
  <w:style w:type="character" w:customStyle="1" w:styleId="152">
    <w:name w:val="标题 4 Char1"/>
    <w:autoRedefine/>
    <w:qFormat/>
    <w:uiPriority w:val="0"/>
    <w:rPr>
      <w:rFonts w:ascii="Cambria" w:hAnsi="Cambria" w:eastAsia="宋体" w:cs="Times New Roman"/>
      <w:b/>
      <w:bCs/>
      <w:kern w:val="2"/>
      <w:sz w:val="28"/>
      <w:szCs w:val="28"/>
    </w:rPr>
  </w:style>
  <w:style w:type="character" w:customStyle="1" w:styleId="153">
    <w:name w:val="font71"/>
    <w:autoRedefine/>
    <w:qFormat/>
    <w:uiPriority w:val="0"/>
    <w:rPr>
      <w:rFonts w:hint="default" w:ascii="Times New Roman" w:hAnsi="Times New Roman" w:cs="Times New Roman"/>
      <w:b/>
      <w:color w:val="000000"/>
      <w:sz w:val="18"/>
      <w:szCs w:val="18"/>
      <w:u w:val="none"/>
    </w:rPr>
  </w:style>
  <w:style w:type="character" w:customStyle="1" w:styleId="154">
    <w:name w:val="font81"/>
    <w:autoRedefine/>
    <w:qFormat/>
    <w:uiPriority w:val="0"/>
    <w:rPr>
      <w:rFonts w:hint="eastAsia" w:ascii="宋体" w:hAnsi="宋体" w:eastAsia="宋体" w:cs="宋体"/>
      <w:color w:val="000000"/>
      <w:sz w:val="21"/>
      <w:szCs w:val="21"/>
      <w:u w:val="none"/>
      <w:vertAlign w:val="superscript"/>
    </w:rPr>
  </w:style>
  <w:style w:type="character" w:customStyle="1" w:styleId="155">
    <w:name w:val="font41"/>
    <w:autoRedefine/>
    <w:qFormat/>
    <w:uiPriority w:val="0"/>
    <w:rPr>
      <w:rFonts w:hint="eastAsia" w:ascii="宋体" w:hAnsi="宋体" w:eastAsia="宋体" w:cs="宋体"/>
      <w:color w:val="000000"/>
      <w:sz w:val="21"/>
      <w:szCs w:val="21"/>
      <w:u w:val="none"/>
    </w:rPr>
  </w:style>
  <w:style w:type="character" w:customStyle="1" w:styleId="156">
    <w:name w:val="批注框文本 字符"/>
    <w:autoRedefine/>
    <w:qFormat/>
    <w:uiPriority w:val="0"/>
    <w:rPr>
      <w:kern w:val="2"/>
      <w:sz w:val="16"/>
      <w:szCs w:val="0"/>
    </w:rPr>
  </w:style>
  <w:style w:type="character" w:customStyle="1" w:styleId="157">
    <w:name w:val="纯文本 Char1"/>
    <w:autoRedefine/>
    <w:qFormat/>
    <w:uiPriority w:val="99"/>
    <w:rPr>
      <w:rFonts w:ascii="宋体" w:hAnsi="Courier New" w:eastAsia="宋体"/>
      <w:sz w:val="24"/>
      <w:szCs w:val="24"/>
    </w:rPr>
  </w:style>
  <w:style w:type="character" w:customStyle="1" w:styleId="158">
    <w:name w:val="HTML 预设格式 Char1"/>
    <w:autoRedefine/>
    <w:qFormat/>
    <w:uiPriority w:val="0"/>
    <w:rPr>
      <w:rFonts w:ascii="宋体" w:hAnsi="宋体"/>
      <w:sz w:val="24"/>
    </w:rPr>
  </w:style>
  <w:style w:type="character" w:customStyle="1" w:styleId="159">
    <w:name w:val="文档结构图 Char1"/>
    <w:autoRedefine/>
    <w:qFormat/>
    <w:uiPriority w:val="0"/>
    <w:rPr>
      <w:kern w:val="2"/>
      <w:sz w:val="16"/>
      <w:szCs w:val="16"/>
      <w:shd w:val="clear" w:color="auto" w:fill="000080"/>
    </w:rPr>
  </w:style>
  <w:style w:type="character" w:customStyle="1" w:styleId="160">
    <w:name w:val="脚注文本 Char1"/>
    <w:autoRedefine/>
    <w:qFormat/>
    <w:uiPriority w:val="0"/>
    <w:rPr>
      <w:kern w:val="2"/>
      <w:sz w:val="18"/>
      <w:szCs w:val="18"/>
    </w:rPr>
  </w:style>
  <w:style w:type="character" w:customStyle="1" w:styleId="161">
    <w:name w:val="批注主题 Char1"/>
    <w:autoRedefine/>
    <w:qFormat/>
    <w:uiPriority w:val="0"/>
  </w:style>
  <w:style w:type="character" w:customStyle="1" w:styleId="162">
    <w:name w:val="批注文字 Char1"/>
    <w:autoRedefine/>
    <w:semiHidden/>
    <w:qFormat/>
    <w:uiPriority w:val="0"/>
    <w:rPr>
      <w:rFonts w:ascii="Times New Roman" w:hAnsi="Times New Roman" w:eastAsia="宋体" w:cs="Times New Roman"/>
      <w:szCs w:val="24"/>
    </w:rPr>
  </w:style>
  <w:style w:type="character" w:customStyle="1" w:styleId="163">
    <w:name w:val="font31"/>
    <w:autoRedefine/>
    <w:qFormat/>
    <w:uiPriority w:val="0"/>
    <w:rPr>
      <w:rFonts w:hint="eastAsia" w:ascii="宋体" w:hAnsi="宋体" w:eastAsia="宋体" w:cs="宋体"/>
      <w:color w:val="000000"/>
      <w:sz w:val="18"/>
      <w:szCs w:val="18"/>
      <w:u w:val="none"/>
    </w:rPr>
  </w:style>
  <w:style w:type="character" w:customStyle="1" w:styleId="164">
    <w:name w:val="Header Char1"/>
    <w:autoRedefine/>
    <w:qFormat/>
    <w:uiPriority w:val="0"/>
    <w:rPr>
      <w:kern w:val="2"/>
      <w:sz w:val="18"/>
      <w:szCs w:val="18"/>
    </w:rPr>
  </w:style>
  <w:style w:type="character" w:customStyle="1" w:styleId="165">
    <w:name w:val="正文缩进 Char Char"/>
    <w:autoRedefine/>
    <w:qFormat/>
    <w:uiPriority w:val="0"/>
    <w:rPr>
      <w:rFonts w:eastAsia="宋体" w:cs="Times New Roman"/>
      <w:sz w:val="21"/>
      <w:lang w:val="en-US" w:eastAsia="zh-CN" w:bidi="ar-SA"/>
    </w:rPr>
  </w:style>
  <w:style w:type="character" w:customStyle="1" w:styleId="166">
    <w:name w:val="fontblank12"/>
    <w:autoRedefine/>
    <w:qFormat/>
    <w:uiPriority w:val="0"/>
  </w:style>
  <w:style w:type="character" w:customStyle="1" w:styleId="167">
    <w:name w:val="标题 1 Char2"/>
    <w:autoRedefine/>
    <w:qFormat/>
    <w:uiPriority w:val="0"/>
    <w:rPr>
      <w:rFonts w:ascii="Times New Roman" w:hAnsi="Times New Roman" w:eastAsia="宋体" w:cs="Times New Roman"/>
      <w:b/>
      <w:bCs/>
      <w:kern w:val="44"/>
      <w:sz w:val="44"/>
      <w:szCs w:val="44"/>
    </w:rPr>
  </w:style>
  <w:style w:type="character" w:customStyle="1" w:styleId="168">
    <w:name w:val="标题 6 Char"/>
    <w:autoRedefine/>
    <w:semiHidden/>
    <w:qFormat/>
    <w:uiPriority w:val="0"/>
    <w:rPr>
      <w:rFonts w:ascii="Cambria" w:hAnsi="Cambria" w:eastAsia="宋体" w:cs="Times New Roman"/>
      <w:b/>
      <w:bCs/>
      <w:kern w:val="2"/>
      <w:sz w:val="24"/>
      <w:szCs w:val="24"/>
    </w:rPr>
  </w:style>
  <w:style w:type="character" w:customStyle="1" w:styleId="169">
    <w:name w:val="样式 样式 小四 行距: 固定值 27 磅 + 首行缩进:  2 字符 Char Char"/>
    <w:link w:val="170"/>
    <w:autoRedefine/>
    <w:qFormat/>
    <w:uiPriority w:val="0"/>
    <w:rPr>
      <w:rFonts w:eastAsia="宋体" w:cs="Times New Roman"/>
      <w:kern w:val="2"/>
      <w:sz w:val="24"/>
      <w:lang w:val="en-US" w:eastAsia="zh-CN" w:bidi="ar-SA"/>
    </w:rPr>
  </w:style>
  <w:style w:type="paragraph" w:customStyle="1" w:styleId="170">
    <w:name w:val="样式 样式 小四 行距: 固定值 27 磅 + 首行缩进:  2 字符"/>
    <w:basedOn w:val="1"/>
    <w:link w:val="169"/>
    <w:autoRedefine/>
    <w:qFormat/>
    <w:uiPriority w:val="0"/>
    <w:pPr>
      <w:spacing w:line="360" w:lineRule="auto"/>
      <w:ind w:firstLine="480" w:firstLineChars="200"/>
    </w:pPr>
    <w:rPr>
      <w:sz w:val="24"/>
      <w:szCs w:val="20"/>
    </w:rPr>
  </w:style>
  <w:style w:type="character" w:customStyle="1" w:styleId="171">
    <w:name w:val="font51"/>
    <w:autoRedefine/>
    <w:qFormat/>
    <w:uiPriority w:val="0"/>
    <w:rPr>
      <w:rFonts w:hint="default" w:ascii="Calibri" w:hAnsi="Calibri" w:cs="Calibri"/>
      <w:color w:val="000000"/>
      <w:sz w:val="21"/>
      <w:szCs w:val="21"/>
      <w:u w:val="none"/>
    </w:rPr>
  </w:style>
  <w:style w:type="character" w:customStyle="1" w:styleId="172">
    <w:name w:val="批注文字 Char2"/>
    <w:autoRedefine/>
    <w:qFormat/>
    <w:uiPriority w:val="0"/>
    <w:rPr>
      <w:sz w:val="21"/>
      <w:szCs w:val="24"/>
    </w:rPr>
  </w:style>
  <w:style w:type="character" w:customStyle="1" w:styleId="173">
    <w:name w:val="正文文本 2 Char1"/>
    <w:autoRedefine/>
    <w:qFormat/>
    <w:uiPriority w:val="0"/>
    <w:rPr>
      <w:szCs w:val="24"/>
    </w:rPr>
  </w:style>
  <w:style w:type="character" w:customStyle="1" w:styleId="174">
    <w:name w:val="正文缩进 Char1"/>
    <w:autoRedefine/>
    <w:qFormat/>
    <w:uiPriority w:val="0"/>
    <w:rPr>
      <w:rFonts w:eastAsia="宋体"/>
      <w:kern w:val="2"/>
      <w:sz w:val="21"/>
      <w:lang w:val="en-US" w:eastAsia="zh-CN" w:bidi="ar-SA"/>
    </w:rPr>
  </w:style>
  <w:style w:type="character" w:customStyle="1" w:styleId="175">
    <w:name w:val="正文（首行缩进两字） Char12"/>
    <w:autoRedefine/>
    <w:qFormat/>
    <w:uiPriority w:val="0"/>
    <w:rPr>
      <w:rFonts w:eastAsia="宋体"/>
      <w:kern w:val="2"/>
      <w:sz w:val="21"/>
      <w:lang w:val="en-US" w:eastAsia="zh-CN" w:bidi="ar-SA"/>
    </w:rPr>
  </w:style>
  <w:style w:type="character" w:customStyle="1" w:styleId="176">
    <w:name w:val="font141"/>
    <w:autoRedefine/>
    <w:qFormat/>
    <w:uiPriority w:val="0"/>
    <w:rPr>
      <w:rFonts w:hint="eastAsia" w:ascii="宋体" w:hAnsi="宋体" w:eastAsia="宋体" w:cs="宋体"/>
      <w:b/>
      <w:color w:val="000000"/>
      <w:sz w:val="18"/>
      <w:szCs w:val="18"/>
      <w:u w:val="none"/>
    </w:rPr>
  </w:style>
  <w:style w:type="character" w:customStyle="1" w:styleId="177">
    <w:name w:val="编号1. Char Char"/>
    <w:autoRedefine/>
    <w:qFormat/>
    <w:uiPriority w:val="0"/>
    <w:rPr>
      <w:rFonts w:ascii="Times New Roman" w:hAnsi="Times New Roman" w:eastAsia="宋体" w:cs="Times New Roman"/>
      <w:sz w:val="24"/>
      <w:szCs w:val="24"/>
    </w:rPr>
  </w:style>
  <w:style w:type="character" w:customStyle="1" w:styleId="178">
    <w:name w:val="3zw"/>
    <w:autoRedefine/>
    <w:qFormat/>
    <w:uiPriority w:val="0"/>
  </w:style>
  <w:style w:type="character" w:customStyle="1" w:styleId="179">
    <w:name w:val="不明显强调1"/>
    <w:autoRedefine/>
    <w:qFormat/>
    <w:uiPriority w:val="0"/>
    <w:rPr>
      <w:i/>
      <w:iCs/>
      <w:color w:val="808080"/>
    </w:rPr>
  </w:style>
  <w:style w:type="character" w:customStyle="1" w:styleId="180">
    <w:name w:val="标题1"/>
    <w:autoRedefine/>
    <w:qFormat/>
    <w:uiPriority w:val="0"/>
    <w:rPr>
      <w:rFonts w:ascii="隶书" w:eastAsia="宋体"/>
      <w:color w:val="000000"/>
      <w:sz w:val="24"/>
    </w:rPr>
  </w:style>
  <w:style w:type="character" w:customStyle="1" w:styleId="181">
    <w:name w:val="标题 5 Char1"/>
    <w:autoRedefine/>
    <w:qFormat/>
    <w:uiPriority w:val="0"/>
    <w:rPr>
      <w:rFonts w:ascii="Times New Roman" w:hAnsi="Times New Roman" w:eastAsia="宋体" w:cs="Times New Roman"/>
      <w:b/>
      <w:bCs/>
      <w:kern w:val="2"/>
      <w:sz w:val="28"/>
      <w:szCs w:val="28"/>
    </w:rPr>
  </w:style>
  <w:style w:type="character" w:customStyle="1" w:styleId="182">
    <w:name w:val="main5"/>
    <w:autoRedefine/>
    <w:qFormat/>
    <w:uiPriority w:val="0"/>
    <w:rPr>
      <w:color w:val="000000"/>
      <w:sz w:val="20"/>
      <w:szCs w:val="20"/>
    </w:rPr>
  </w:style>
  <w:style w:type="character" w:customStyle="1" w:styleId="183">
    <w:name w:val="标题 1.1 Char"/>
    <w:autoRedefine/>
    <w:qFormat/>
    <w:uiPriority w:val="0"/>
    <w:rPr>
      <w:rFonts w:ascii="Arial" w:hAnsi="Arial" w:eastAsia="黑体" w:cs="Times New Roman"/>
      <w:b/>
      <w:bCs/>
      <w:kern w:val="2"/>
      <w:sz w:val="32"/>
      <w:szCs w:val="32"/>
      <w:lang w:val="en-US" w:eastAsia="zh-CN" w:bidi="ar-SA"/>
    </w:rPr>
  </w:style>
  <w:style w:type="character" w:customStyle="1" w:styleId="184">
    <w:name w:val="标题 7 Char1"/>
    <w:autoRedefine/>
    <w:qFormat/>
    <w:uiPriority w:val="0"/>
    <w:rPr>
      <w:rFonts w:eastAsia="创艺简行楷"/>
      <w:b/>
      <w:sz w:val="24"/>
    </w:rPr>
  </w:style>
  <w:style w:type="character" w:customStyle="1" w:styleId="185">
    <w:name w:val="标题 8 Char1"/>
    <w:autoRedefine/>
    <w:qFormat/>
    <w:uiPriority w:val="0"/>
    <w:rPr>
      <w:rFonts w:ascii="Arial" w:hAnsi="Arial" w:eastAsia="黑体"/>
      <w:sz w:val="24"/>
    </w:rPr>
  </w:style>
  <w:style w:type="character" w:customStyle="1" w:styleId="186">
    <w:name w:val="标题2"/>
    <w:autoRedefine/>
    <w:qFormat/>
    <w:uiPriority w:val="0"/>
    <w:rPr>
      <w:rFonts w:ascii="隶书" w:eastAsia="隶书"/>
      <w:b/>
      <w:color w:val="000000"/>
      <w:sz w:val="36"/>
    </w:rPr>
  </w:style>
  <w:style w:type="character" w:customStyle="1" w:styleId="187">
    <w:name w:val="标题 2 字符"/>
    <w:autoRedefine/>
    <w:qFormat/>
    <w:uiPriority w:val="0"/>
    <w:rPr>
      <w:rFonts w:ascii="Times New Roman" w:hAnsi="Times New Roman" w:eastAsia="宋体" w:cs="Times New Roman"/>
      <w:b/>
      <w:bCs/>
      <w:kern w:val="2"/>
      <w:sz w:val="24"/>
      <w:szCs w:val="32"/>
      <w:lang w:val="en-US" w:eastAsia="zh-CN" w:bidi="ar-SA"/>
    </w:rPr>
  </w:style>
  <w:style w:type="character" w:customStyle="1" w:styleId="188">
    <w:name w:val="font01"/>
    <w:autoRedefine/>
    <w:qFormat/>
    <w:uiPriority w:val="0"/>
    <w:rPr>
      <w:rFonts w:hint="eastAsia" w:ascii="宋体" w:hAnsi="宋体" w:eastAsia="宋体" w:cs="宋体"/>
      <w:color w:val="000000"/>
      <w:sz w:val="18"/>
      <w:szCs w:val="18"/>
      <w:u w:val="none"/>
    </w:rPr>
  </w:style>
  <w:style w:type="character" w:customStyle="1" w:styleId="189">
    <w:name w:val="Body Text Indent Char1"/>
    <w:autoRedefine/>
    <w:qFormat/>
    <w:uiPriority w:val="0"/>
    <w:rPr>
      <w:kern w:val="2"/>
      <w:sz w:val="21"/>
      <w:szCs w:val="24"/>
    </w:rPr>
  </w:style>
  <w:style w:type="character" w:customStyle="1" w:styleId="190">
    <w:name w:val="z-窗体底端 Char1"/>
    <w:autoRedefine/>
    <w:qFormat/>
    <w:uiPriority w:val="0"/>
    <w:rPr>
      <w:rFonts w:ascii="Arial" w:hAnsi="Arial" w:eastAsia="宋体" w:cs="Arial"/>
      <w:vanish/>
      <w:sz w:val="16"/>
      <w:szCs w:val="16"/>
    </w:rPr>
  </w:style>
  <w:style w:type="character" w:customStyle="1" w:styleId="191">
    <w:name w:val="标题 3 Char3"/>
    <w:autoRedefine/>
    <w:qFormat/>
    <w:uiPriority w:val="0"/>
    <w:rPr>
      <w:rFonts w:eastAsia="宋体"/>
      <w:kern w:val="2"/>
      <w:sz w:val="24"/>
      <w:lang w:val="en-US" w:eastAsia="zh-CN" w:bidi="ar-SA"/>
    </w:rPr>
  </w:style>
  <w:style w:type="paragraph" w:customStyle="1" w:styleId="192">
    <w:name w:val="font6"/>
    <w:basedOn w:val="1"/>
    <w:autoRedefine/>
    <w:qFormat/>
    <w:uiPriority w:val="0"/>
    <w:pPr>
      <w:widowControl/>
      <w:spacing w:before="100" w:beforeAutospacing="1" w:after="100" w:afterAutospacing="1"/>
      <w:jc w:val="left"/>
    </w:pPr>
    <w:rPr>
      <w:rFonts w:eastAsia="Arial Unicode MS"/>
      <w:kern w:val="0"/>
      <w:sz w:val="20"/>
      <w:szCs w:val="20"/>
    </w:rPr>
  </w:style>
  <w:style w:type="paragraph" w:customStyle="1" w:styleId="193">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94">
    <w:name w:val="_Style 1"/>
    <w:basedOn w:val="1"/>
    <w:autoRedefine/>
    <w:qFormat/>
    <w:uiPriority w:val="34"/>
    <w:pPr>
      <w:spacing w:line="360" w:lineRule="auto"/>
      <w:ind w:firstLine="420" w:firstLineChars="200"/>
    </w:pPr>
    <w:rPr>
      <w:rFonts w:ascii="宋体" w:hAnsi="宋体"/>
      <w:kern w:val="0"/>
    </w:rPr>
  </w:style>
  <w:style w:type="paragraph" w:customStyle="1" w:styleId="195">
    <w:name w:val="Char Char Char Char Char Char Char Char Char Char1"/>
    <w:basedOn w:val="1"/>
    <w:autoRedefine/>
    <w:qFormat/>
    <w:uiPriority w:val="0"/>
    <w:pPr>
      <w:widowControl/>
      <w:spacing w:after="160" w:line="240" w:lineRule="exact"/>
      <w:jc w:val="left"/>
    </w:pPr>
    <w:rPr>
      <w:szCs w:val="20"/>
    </w:rPr>
  </w:style>
  <w:style w:type="paragraph" w:customStyle="1" w:styleId="196">
    <w:name w:val="xl3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197">
    <w:name w:val="xl54"/>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198">
    <w:name w:val="Char Char Char Char Char Char Char11"/>
    <w:basedOn w:val="1"/>
    <w:autoRedefine/>
    <w:qFormat/>
    <w:uiPriority w:val="0"/>
    <w:rPr>
      <w:rFonts w:ascii="Arial" w:hAnsi="Arial"/>
      <w:snapToGrid w:val="0"/>
      <w:szCs w:val="21"/>
    </w:rPr>
  </w:style>
  <w:style w:type="paragraph" w:customStyle="1" w:styleId="199">
    <w:name w:val="z-窗体顶端1"/>
    <w:basedOn w:val="1"/>
    <w:next w:val="1"/>
    <w:autoRedefine/>
    <w:qFormat/>
    <w:uiPriority w:val="99"/>
    <w:pPr>
      <w:pBdr>
        <w:bottom w:val="single" w:color="auto" w:sz="6" w:space="1"/>
      </w:pBdr>
      <w:jc w:val="center"/>
    </w:pPr>
    <w:rPr>
      <w:rFonts w:ascii="Arial" w:hAnsi="Arial" w:cs="Arial"/>
      <w:vanish/>
      <w:sz w:val="16"/>
      <w:szCs w:val="16"/>
    </w:rPr>
  </w:style>
  <w:style w:type="paragraph" w:customStyle="1" w:styleId="200">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201">
    <w:name w:val="常规"/>
    <w:basedOn w:val="1"/>
    <w:autoRedefine/>
    <w:qFormat/>
    <w:uiPriority w:val="0"/>
    <w:pPr>
      <w:widowControl/>
      <w:jc w:val="left"/>
    </w:pPr>
    <w:rPr>
      <w:rFonts w:ascii="Arial" w:hAnsi="Arial" w:cs="Arial"/>
      <w:color w:val="000000"/>
      <w:kern w:val="0"/>
      <w:sz w:val="20"/>
      <w:szCs w:val="20"/>
    </w:rPr>
  </w:style>
  <w:style w:type="paragraph" w:customStyle="1" w:styleId="202">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03">
    <w:name w:val="表中"/>
    <w:basedOn w:val="1"/>
    <w:autoRedefine/>
    <w:qFormat/>
    <w:uiPriority w:val="0"/>
    <w:pPr>
      <w:adjustRightInd w:val="0"/>
      <w:spacing w:line="360" w:lineRule="atLeast"/>
      <w:jc w:val="center"/>
      <w:textAlignment w:val="baseline"/>
    </w:pPr>
    <w:rPr>
      <w:kern w:val="0"/>
      <w:szCs w:val="20"/>
    </w:rPr>
  </w:style>
  <w:style w:type="paragraph" w:customStyle="1" w:styleId="204">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05">
    <w:name w:val="z-窗体底端1"/>
    <w:basedOn w:val="1"/>
    <w:next w:val="1"/>
    <w:autoRedefine/>
    <w:qFormat/>
    <w:uiPriority w:val="99"/>
    <w:pPr>
      <w:pBdr>
        <w:top w:val="single" w:color="auto" w:sz="6" w:space="1"/>
      </w:pBdr>
      <w:jc w:val="center"/>
    </w:pPr>
    <w:rPr>
      <w:rFonts w:ascii="Arial" w:hAnsi="Arial" w:cs="Arial"/>
      <w:vanish/>
      <w:sz w:val="16"/>
      <w:szCs w:val="16"/>
    </w:rPr>
  </w:style>
  <w:style w:type="paragraph" w:customStyle="1" w:styleId="206">
    <w:name w:val="0"/>
    <w:basedOn w:val="1"/>
    <w:autoRedefine/>
    <w:qFormat/>
    <w:uiPriority w:val="0"/>
    <w:pPr>
      <w:widowControl/>
    </w:pPr>
    <w:rPr>
      <w:kern w:val="0"/>
      <w:szCs w:val="20"/>
    </w:rPr>
  </w:style>
  <w:style w:type="paragraph" w:customStyle="1" w:styleId="207">
    <w:name w:val="样式4"/>
    <w:basedOn w:val="5"/>
    <w:autoRedefine/>
    <w:qFormat/>
    <w:uiPriority w:val="0"/>
    <w:pPr>
      <w:keepNext w:val="0"/>
      <w:keepLines w:val="0"/>
      <w:tabs>
        <w:tab w:val="left" w:pos="425"/>
        <w:tab w:val="left" w:pos="851"/>
      </w:tabs>
      <w:adjustRightInd w:val="0"/>
      <w:snapToGrid w:val="0"/>
      <w:spacing w:before="0" w:after="0" w:line="360" w:lineRule="auto"/>
      <w:ind w:left="425" w:hanging="425"/>
    </w:pPr>
    <w:rPr>
      <w:rFonts w:ascii="Times New Roman" w:hAnsi="Times New Roman"/>
      <w:bCs w:val="0"/>
      <w:sz w:val="24"/>
      <w:szCs w:val="20"/>
    </w:rPr>
  </w:style>
  <w:style w:type="paragraph" w:customStyle="1" w:styleId="208">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4"/>
      <w:szCs w:val="20"/>
    </w:rPr>
  </w:style>
  <w:style w:type="paragraph" w:customStyle="1" w:styleId="209">
    <w:name w:val="表格大标题"/>
    <w:autoRedefine/>
    <w:qFormat/>
    <w:uiPriority w:val="0"/>
    <w:pPr>
      <w:jc w:val="center"/>
      <w:outlineLvl w:val="0"/>
    </w:pPr>
    <w:rPr>
      <w:rFonts w:ascii="Times New Roman" w:hAnsi="Times New Roman" w:eastAsia="方正小标宋简体" w:cs="Times New Roman"/>
      <w:bCs/>
      <w:sz w:val="36"/>
      <w:szCs w:val="36"/>
      <w:lang w:val="en-US" w:eastAsia="zh-CN" w:bidi="ar-SA"/>
    </w:rPr>
  </w:style>
  <w:style w:type="paragraph" w:customStyle="1" w:styleId="210">
    <w:name w:val="17"/>
    <w:basedOn w:val="1"/>
    <w:autoRedefine/>
    <w:qFormat/>
    <w:uiPriority w:val="0"/>
    <w:pPr>
      <w:widowControl/>
      <w:spacing w:before="100" w:beforeAutospacing="1" w:after="100" w:afterAutospacing="1"/>
      <w:jc w:val="left"/>
    </w:pPr>
    <w:rPr>
      <w:kern w:val="0"/>
      <w:sz w:val="20"/>
      <w:szCs w:val="20"/>
    </w:rPr>
  </w:style>
  <w:style w:type="paragraph" w:customStyle="1" w:styleId="211">
    <w:name w:val="我的正文"/>
    <w:basedOn w:val="1"/>
    <w:autoRedefine/>
    <w:qFormat/>
    <w:uiPriority w:val="0"/>
    <w:pPr>
      <w:spacing w:line="520" w:lineRule="exact"/>
      <w:ind w:firstLine="192" w:firstLineChars="192"/>
    </w:pPr>
    <w:rPr>
      <w:sz w:val="28"/>
      <w:szCs w:val="28"/>
    </w:rPr>
  </w:style>
  <w:style w:type="paragraph" w:customStyle="1" w:styleId="212">
    <w:name w:val="Char11"/>
    <w:basedOn w:val="1"/>
    <w:autoRedefine/>
    <w:qFormat/>
    <w:uiPriority w:val="0"/>
    <w:pPr>
      <w:widowControl/>
      <w:spacing w:after="160" w:line="240" w:lineRule="exact"/>
      <w:jc w:val="left"/>
    </w:pPr>
    <w:rPr>
      <w:rFonts w:ascii="宋体"/>
      <w:kern w:val="0"/>
      <w:sz w:val="34"/>
      <w:szCs w:val="20"/>
    </w:rPr>
  </w:style>
  <w:style w:type="paragraph" w:customStyle="1" w:styleId="213">
    <w:name w:val="Char Char1 Char Char Char Char"/>
    <w:basedOn w:val="1"/>
    <w:autoRedefine/>
    <w:qFormat/>
    <w:uiPriority w:val="0"/>
    <w:rPr>
      <w:szCs w:val="20"/>
    </w:rPr>
  </w:style>
  <w:style w:type="paragraph" w:customStyle="1" w:styleId="214">
    <w:name w:val="二级标"/>
    <w:basedOn w:val="1"/>
    <w:autoRedefine/>
    <w:qFormat/>
    <w:uiPriority w:val="0"/>
    <w:pPr>
      <w:spacing w:line="300" w:lineRule="auto"/>
      <w:outlineLvl w:val="1"/>
    </w:pPr>
    <w:rPr>
      <w:rFonts w:ascii="宋体" w:hAnsi="宋体" w:eastAsia="隶书"/>
      <w:b/>
      <w:sz w:val="36"/>
      <w:szCs w:val="20"/>
    </w:rPr>
  </w:style>
  <w:style w:type="paragraph" w:customStyle="1" w:styleId="215">
    <w:name w:val="标书正文"/>
    <w:basedOn w:val="1"/>
    <w:autoRedefine/>
    <w:qFormat/>
    <w:uiPriority w:val="0"/>
    <w:pPr>
      <w:spacing w:beforeLines="50" w:afterLines="50" w:line="276" w:lineRule="auto"/>
      <w:ind w:firstLine="480" w:firstLineChars="200"/>
    </w:pPr>
    <w:rPr>
      <w:rFonts w:ascii="Calibri" w:hAnsi="Calibri" w:eastAsia="Times New Roman"/>
      <w:kern w:val="0"/>
      <w:sz w:val="24"/>
    </w:rPr>
  </w:style>
  <w:style w:type="paragraph" w:customStyle="1" w:styleId="216">
    <w:name w:val="Char3"/>
    <w:basedOn w:val="1"/>
    <w:autoRedefine/>
    <w:qFormat/>
    <w:uiPriority w:val="0"/>
    <w:pPr>
      <w:widowControl/>
      <w:spacing w:after="160" w:line="240" w:lineRule="exact"/>
      <w:jc w:val="left"/>
    </w:pPr>
    <w:rPr>
      <w:rFonts w:ascii="Tahoma" w:hAnsi="Tahoma"/>
      <w:kern w:val="0"/>
      <w:sz w:val="24"/>
      <w:lang w:eastAsia="en-US"/>
    </w:rPr>
  </w:style>
  <w:style w:type="paragraph" w:customStyle="1" w:styleId="217">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18">
    <w:name w:val="Char Char Char Char Char Char Char"/>
    <w:basedOn w:val="1"/>
    <w:autoRedefine/>
    <w:qFormat/>
    <w:uiPriority w:val="0"/>
    <w:pPr>
      <w:widowControl/>
      <w:spacing w:after="160" w:line="240" w:lineRule="exact"/>
      <w:jc w:val="left"/>
    </w:pPr>
    <w:rPr>
      <w:szCs w:val="20"/>
    </w:rPr>
  </w:style>
  <w:style w:type="paragraph" w:customStyle="1" w:styleId="219">
    <w:name w:val="xl61"/>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20">
    <w:name w:val="xl4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21">
    <w:name w:val="Char Char Char Char"/>
    <w:basedOn w:val="1"/>
    <w:autoRedefine/>
    <w:qFormat/>
    <w:uiPriority w:val="0"/>
    <w:rPr>
      <w:rFonts w:ascii="仿宋_GB2312" w:eastAsia="仿宋_GB2312"/>
      <w:b/>
      <w:sz w:val="32"/>
      <w:szCs w:val="32"/>
    </w:rPr>
  </w:style>
  <w:style w:type="paragraph" w:customStyle="1" w:styleId="222">
    <w:name w:val="xl59"/>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23">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24">
    <w:name w:val="表格文字"/>
    <w:autoRedefine/>
    <w:qFormat/>
    <w:uiPriority w:val="0"/>
    <w:pPr>
      <w:autoSpaceDE w:val="0"/>
      <w:autoSpaceDN w:val="0"/>
      <w:adjustRightInd w:val="0"/>
      <w:snapToGrid w:val="0"/>
      <w:jc w:val="center"/>
    </w:pPr>
    <w:rPr>
      <w:rFonts w:ascii="宋体" w:hAnsi="Times New Roman" w:eastAsia="宋体" w:cs="Times New Roman"/>
      <w:sz w:val="24"/>
      <w:lang w:val="en-US" w:eastAsia="zh-CN" w:bidi="ar-SA"/>
    </w:rPr>
  </w:style>
  <w:style w:type="paragraph" w:customStyle="1" w:styleId="225">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226">
    <w:name w:val="TOC 标题2"/>
    <w:basedOn w:val="2"/>
    <w:next w:val="1"/>
    <w:autoRedefine/>
    <w:qFormat/>
    <w:uiPriority w:val="39"/>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227">
    <w:name w:val="Char Char Char Char Char Char1 Char Char Char Char"/>
    <w:basedOn w:val="1"/>
    <w:autoRedefine/>
    <w:qFormat/>
    <w:uiPriority w:val="0"/>
  </w:style>
  <w:style w:type="paragraph" w:customStyle="1" w:styleId="228">
    <w:name w:val="小五 宋体 居中"/>
    <w:basedOn w:val="1"/>
    <w:autoRedefine/>
    <w:qFormat/>
    <w:uiPriority w:val="0"/>
    <w:pPr>
      <w:jc w:val="center"/>
    </w:pPr>
    <w:rPr>
      <w:sz w:val="18"/>
      <w:szCs w:val="20"/>
    </w:rPr>
  </w:style>
  <w:style w:type="paragraph" w:customStyle="1" w:styleId="229">
    <w:name w:val="1"/>
    <w:basedOn w:val="1"/>
    <w:next w:val="23"/>
    <w:autoRedefine/>
    <w:qFormat/>
    <w:uiPriority w:val="0"/>
    <w:rPr>
      <w:rFonts w:ascii="宋体" w:hAnsi="Courier New"/>
      <w:szCs w:val="20"/>
    </w:rPr>
  </w:style>
  <w:style w:type="paragraph" w:customStyle="1" w:styleId="230">
    <w:name w:val="xl47"/>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31">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32">
    <w:name w:val="Char111"/>
    <w:basedOn w:val="1"/>
    <w:autoRedefine/>
    <w:qFormat/>
    <w:uiPriority w:val="0"/>
    <w:pPr>
      <w:widowControl/>
      <w:spacing w:after="160" w:line="240" w:lineRule="exact"/>
      <w:jc w:val="left"/>
    </w:pPr>
    <w:rPr>
      <w:rFonts w:ascii="宋体"/>
      <w:kern w:val="0"/>
      <w:sz w:val="34"/>
      <w:szCs w:val="20"/>
    </w:rPr>
  </w:style>
  <w:style w:type="paragraph" w:customStyle="1" w:styleId="233">
    <w:name w:val="样式 首行缩进:  2 字符"/>
    <w:basedOn w:val="1"/>
    <w:autoRedefine/>
    <w:qFormat/>
    <w:uiPriority w:val="0"/>
    <w:pPr>
      <w:autoSpaceDE w:val="0"/>
      <w:autoSpaceDN w:val="0"/>
      <w:adjustRightInd w:val="0"/>
      <w:snapToGrid w:val="0"/>
      <w:ind w:firstLine="480"/>
    </w:pPr>
    <w:rPr>
      <w:rFonts w:ascii="Microsoft Sans Serif" w:hAnsi="Microsoft Sans Serif" w:cs="宋体"/>
      <w:sz w:val="24"/>
    </w:rPr>
  </w:style>
  <w:style w:type="paragraph" w:customStyle="1" w:styleId="234">
    <w:name w:val="xl2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35">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3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237">
    <w:name w:val="Char Char Char Char Char Char Char1"/>
    <w:basedOn w:val="1"/>
    <w:autoRedefine/>
    <w:qFormat/>
    <w:uiPriority w:val="0"/>
    <w:rPr>
      <w:rFonts w:ascii="Arial" w:hAnsi="Arial"/>
      <w:snapToGrid w:val="0"/>
      <w:szCs w:val="21"/>
    </w:rPr>
  </w:style>
  <w:style w:type="paragraph" w:customStyle="1" w:styleId="238">
    <w:name w:val="Char1"/>
    <w:basedOn w:val="1"/>
    <w:autoRedefine/>
    <w:qFormat/>
    <w:uiPriority w:val="0"/>
    <w:pPr>
      <w:widowControl/>
      <w:spacing w:after="160" w:line="240" w:lineRule="exact"/>
      <w:jc w:val="left"/>
    </w:pPr>
    <w:rPr>
      <w:rFonts w:ascii="宋体"/>
      <w:kern w:val="0"/>
      <w:sz w:val="34"/>
      <w:szCs w:val="20"/>
    </w:rPr>
  </w:style>
  <w:style w:type="paragraph" w:customStyle="1" w:styleId="239">
    <w:name w:val="p15"/>
    <w:basedOn w:val="1"/>
    <w:autoRedefine/>
    <w:qFormat/>
    <w:uiPriority w:val="0"/>
    <w:pPr>
      <w:widowControl/>
      <w:ind w:left="210"/>
      <w:jc w:val="left"/>
    </w:pPr>
    <w:rPr>
      <w:smallCaps/>
      <w:kern w:val="0"/>
      <w:sz w:val="20"/>
      <w:szCs w:val="20"/>
    </w:rPr>
  </w:style>
  <w:style w:type="paragraph" w:customStyle="1" w:styleId="240">
    <w:name w:val="_Style 16"/>
    <w:basedOn w:val="1"/>
    <w:autoRedefine/>
    <w:qFormat/>
    <w:uiPriority w:val="0"/>
    <w:pPr>
      <w:widowControl/>
      <w:spacing w:after="160" w:line="240" w:lineRule="exact"/>
      <w:jc w:val="left"/>
    </w:pPr>
  </w:style>
  <w:style w:type="paragraph" w:customStyle="1" w:styleId="241">
    <w:name w:val="19"/>
    <w:basedOn w:val="1"/>
    <w:autoRedefine/>
    <w:qFormat/>
    <w:uiPriority w:val="0"/>
    <w:pPr>
      <w:widowControl/>
      <w:snapToGrid w:val="0"/>
      <w:spacing w:before="100" w:beforeAutospacing="1" w:after="120" w:line="360" w:lineRule="atLeast"/>
      <w:jc w:val="left"/>
    </w:pPr>
    <w:rPr>
      <w:rFonts w:ascii="宋体" w:hAnsi="宋体"/>
      <w:kern w:val="0"/>
      <w:sz w:val="28"/>
      <w:szCs w:val="20"/>
    </w:rPr>
  </w:style>
  <w:style w:type="paragraph" w:customStyle="1" w:styleId="242">
    <w:name w:val="缺省文本"/>
    <w:basedOn w:val="1"/>
    <w:autoRedefine/>
    <w:qFormat/>
    <w:uiPriority w:val="0"/>
    <w:pPr>
      <w:autoSpaceDE w:val="0"/>
      <w:autoSpaceDN w:val="0"/>
      <w:adjustRightInd w:val="0"/>
      <w:jc w:val="left"/>
    </w:pPr>
    <w:rPr>
      <w:rFonts w:ascii="仿宋_GB2312" w:eastAsia="仿宋_GB2312"/>
      <w:kern w:val="0"/>
      <w:sz w:val="24"/>
      <w:szCs w:val="20"/>
    </w:rPr>
  </w:style>
  <w:style w:type="paragraph" w:customStyle="1" w:styleId="243">
    <w:name w:val="正文文本 31"/>
    <w:basedOn w:val="1"/>
    <w:autoRedefine/>
    <w:qFormat/>
    <w:uiPriority w:val="0"/>
    <w:pPr>
      <w:adjustRightInd w:val="0"/>
      <w:spacing w:line="312" w:lineRule="atLeast"/>
      <w:jc w:val="center"/>
      <w:textAlignment w:val="baseline"/>
    </w:pPr>
    <w:rPr>
      <w:kern w:val="0"/>
      <w:szCs w:val="20"/>
    </w:rPr>
  </w:style>
  <w:style w:type="paragraph" w:customStyle="1" w:styleId="244">
    <w:name w:val="Char Char"/>
    <w:basedOn w:val="1"/>
    <w:autoRedefine/>
    <w:qFormat/>
    <w:uiPriority w:val="0"/>
    <w:pPr>
      <w:ind w:left="567" w:hanging="279"/>
    </w:pPr>
    <w:rPr>
      <w:rFonts w:ascii="Calibri" w:hAnsi="Calibri"/>
    </w:rPr>
  </w:style>
  <w:style w:type="paragraph" w:customStyle="1" w:styleId="245">
    <w:name w:val="WPSOffice手动目录 1"/>
    <w:autoRedefine/>
    <w:qFormat/>
    <w:uiPriority w:val="0"/>
    <w:rPr>
      <w:rFonts w:ascii="Times New Roman" w:hAnsi="Times New Roman" w:eastAsia="宋体" w:cs="Times New Roman"/>
      <w:lang w:val="en-US" w:eastAsia="zh-CN" w:bidi="ar-SA"/>
    </w:rPr>
  </w:style>
  <w:style w:type="paragraph" w:customStyle="1" w:styleId="246">
    <w:name w:val="TOC 标题3"/>
    <w:basedOn w:val="2"/>
    <w:next w:val="1"/>
    <w:autoRedefine/>
    <w:unhideWhenUsed/>
    <w:qFormat/>
    <w:uiPriority w:val="39"/>
    <w:pPr>
      <w:widowControl/>
      <w:spacing w:line="276" w:lineRule="auto"/>
      <w:jc w:val="left"/>
      <w:outlineLvl w:val="9"/>
    </w:pPr>
    <w:rPr>
      <w:rFonts w:ascii="Calibri Light" w:hAnsi="Calibri Light"/>
      <w:color w:val="2E74B5"/>
      <w:kern w:val="0"/>
      <w:sz w:val="28"/>
      <w:szCs w:val="28"/>
    </w:rPr>
  </w:style>
  <w:style w:type="paragraph" w:customStyle="1" w:styleId="247">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48">
    <w:name w:val="纯文本1"/>
    <w:basedOn w:val="1"/>
    <w:autoRedefine/>
    <w:qFormat/>
    <w:uiPriority w:val="0"/>
    <w:pPr>
      <w:adjustRightInd w:val="0"/>
      <w:textAlignment w:val="baseline"/>
    </w:pPr>
    <w:rPr>
      <w:szCs w:val="20"/>
    </w:rPr>
  </w:style>
  <w:style w:type="paragraph" w:customStyle="1" w:styleId="249">
    <w:name w:val="font8"/>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50">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51">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25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53">
    <w:name w:val="标题 2-"/>
    <w:basedOn w:val="3"/>
    <w:autoRedefine/>
    <w:qFormat/>
    <w:uiPriority w:val="0"/>
    <w:pPr>
      <w:spacing w:before="240" w:after="120" w:line="360" w:lineRule="auto"/>
      <w:jc w:val="center"/>
    </w:pPr>
    <w:rPr>
      <w:rFonts w:ascii="Times New Roman" w:hAnsi="Times New Roman"/>
      <w:sz w:val="24"/>
      <w:szCs w:val="20"/>
    </w:rPr>
  </w:style>
  <w:style w:type="paragraph" w:customStyle="1" w:styleId="254">
    <w:name w:val="样式 标题 2标题 2 Char Char Char Char Char2标题 2 Char1 Char + 五号"/>
    <w:basedOn w:val="3"/>
    <w:next w:val="1"/>
    <w:autoRedefine/>
    <w:qFormat/>
    <w:uiPriority w:val="0"/>
    <w:pPr>
      <w:keepNext w:val="0"/>
      <w:keepLines w:val="0"/>
      <w:spacing w:line="360" w:lineRule="auto"/>
      <w:ind w:left="567" w:hanging="567"/>
    </w:pPr>
    <w:rPr>
      <w:rFonts w:ascii="Times New Roman" w:hAnsi="Times New Roman" w:eastAsia="宋体"/>
      <w:kern w:val="0"/>
      <w:sz w:val="21"/>
      <w:szCs w:val="20"/>
    </w:rPr>
  </w:style>
  <w:style w:type="paragraph" w:customStyle="1" w:styleId="255">
    <w:name w:val="xl53"/>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6">
    <w:name w:val="TOC 标题1"/>
    <w:basedOn w:val="2"/>
    <w:next w:val="1"/>
    <w:autoRedefine/>
    <w:qFormat/>
    <w:uiPriority w:val="39"/>
    <w:pPr>
      <w:widowControl/>
      <w:spacing w:before="480" w:line="276" w:lineRule="auto"/>
      <w:jc w:val="left"/>
      <w:outlineLvl w:val="9"/>
    </w:pPr>
    <w:rPr>
      <w:rFonts w:ascii="Cambria" w:hAnsi="Cambria"/>
      <w:color w:val="365F90"/>
      <w:kern w:val="0"/>
      <w:sz w:val="28"/>
      <w:szCs w:val="28"/>
    </w:rPr>
  </w:style>
  <w:style w:type="paragraph" w:customStyle="1" w:styleId="257">
    <w:name w:val="Char Char2 Char Char"/>
    <w:basedOn w:val="1"/>
    <w:autoRedefine/>
    <w:qFormat/>
    <w:uiPriority w:val="0"/>
    <w:rPr>
      <w:rFonts w:ascii="仿宋_GB2312" w:eastAsia="仿宋_GB2312"/>
      <w:b/>
      <w:sz w:val="32"/>
      <w:szCs w:val="32"/>
    </w:rPr>
  </w:style>
  <w:style w:type="paragraph" w:customStyle="1" w:styleId="258">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59">
    <w:name w:val="p18"/>
    <w:basedOn w:val="1"/>
    <w:autoRedefine/>
    <w:qFormat/>
    <w:uiPriority w:val="0"/>
    <w:pPr>
      <w:widowControl/>
      <w:ind w:firstLine="420"/>
    </w:pPr>
    <w:rPr>
      <w:kern w:val="0"/>
      <w:szCs w:val="21"/>
    </w:rPr>
  </w:style>
  <w:style w:type="paragraph" w:customStyle="1" w:styleId="260">
    <w:name w:val="xl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61">
    <w:name w:val="A4-SIZE"/>
    <w:basedOn w:val="1"/>
    <w:autoRedefine/>
    <w:qFormat/>
    <w:uiPriority w:val="0"/>
    <w:pPr>
      <w:widowControl/>
      <w:autoSpaceDE w:val="0"/>
      <w:autoSpaceDN w:val="0"/>
      <w:jc w:val="left"/>
    </w:pPr>
    <w:rPr>
      <w:rFonts w:ascii="Roman 12cpi" w:hAnsi="Roman 12cpi"/>
      <w:kern w:val="0"/>
      <w:sz w:val="20"/>
      <w:szCs w:val="20"/>
      <w:lang w:val="en-GB"/>
    </w:rPr>
  </w:style>
  <w:style w:type="paragraph" w:customStyle="1" w:styleId="262">
    <w:name w:val="font5"/>
    <w:basedOn w:val="1"/>
    <w:autoRedefine/>
    <w:qFormat/>
    <w:uiPriority w:val="0"/>
    <w:pPr>
      <w:widowControl/>
      <w:spacing w:before="100" w:beforeAutospacing="1" w:after="100" w:afterAutospacing="1"/>
      <w:jc w:val="left"/>
    </w:pPr>
    <w:rPr>
      <w:rFonts w:hint="eastAsia" w:ascii="宋体" w:hAnsi="宋体"/>
      <w:kern w:val="0"/>
      <w:sz w:val="18"/>
      <w:szCs w:val="20"/>
    </w:rPr>
  </w:style>
  <w:style w:type="paragraph" w:customStyle="1" w:styleId="263">
    <w:name w:val="xl5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64">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65">
    <w:name w:val="xl46"/>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66">
    <w:name w:val="_Style 79"/>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Char Char Char Char Char Char Char12"/>
    <w:basedOn w:val="1"/>
    <w:autoRedefine/>
    <w:qFormat/>
    <w:uiPriority w:val="0"/>
    <w:rPr>
      <w:rFonts w:ascii="Arial" w:hAnsi="Arial"/>
      <w:snapToGrid w:val="0"/>
      <w:szCs w:val="21"/>
    </w:rPr>
  </w:style>
  <w:style w:type="paragraph" w:customStyle="1" w:styleId="26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69">
    <w:name w:val="样式 楷体_GB2312 小四 首行缩进:  0.8 厘米 行距: 固定值 28 磅"/>
    <w:basedOn w:val="1"/>
    <w:autoRedefine/>
    <w:qFormat/>
    <w:uiPriority w:val="0"/>
    <w:pPr>
      <w:ind w:firstLine="550" w:firstLineChars="262"/>
    </w:pPr>
    <w:rPr>
      <w:szCs w:val="21"/>
    </w:rPr>
  </w:style>
  <w:style w:type="paragraph" w:customStyle="1" w:styleId="270">
    <w:name w:val="默认段落字体 Para Char Char Char Char"/>
    <w:basedOn w:val="1"/>
    <w:autoRedefine/>
    <w:qFormat/>
    <w:uiPriority w:val="0"/>
    <w:pPr>
      <w:spacing w:line="360" w:lineRule="auto"/>
      <w:ind w:firstLine="200" w:firstLineChars="200"/>
    </w:pPr>
    <w:rPr>
      <w:rFonts w:ascii="宋体" w:hAnsi="宋体" w:cs="宋体"/>
      <w:sz w:val="24"/>
    </w:rPr>
  </w:style>
  <w:style w:type="paragraph" w:customStyle="1" w:styleId="271">
    <w:name w:val="末级"/>
    <w:basedOn w:val="1"/>
    <w:autoRedefine/>
    <w:qFormat/>
    <w:uiPriority w:val="0"/>
    <w:pPr>
      <w:tabs>
        <w:tab w:val="left" w:pos="851"/>
      </w:tabs>
      <w:spacing w:line="360" w:lineRule="auto"/>
      <w:ind w:firstLine="510"/>
    </w:pPr>
    <w:rPr>
      <w:sz w:val="24"/>
    </w:rPr>
  </w:style>
  <w:style w:type="paragraph" w:customStyle="1" w:styleId="272">
    <w:name w:val="xl5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273">
    <w:name w:val="Char2"/>
    <w:basedOn w:val="1"/>
    <w:autoRedefine/>
    <w:qFormat/>
    <w:uiPriority w:val="0"/>
    <w:pPr>
      <w:spacing w:line="360" w:lineRule="auto"/>
    </w:pPr>
    <w:rPr>
      <w:rFonts w:ascii="黑体" w:hAnsi="黑体"/>
      <w:sz w:val="24"/>
      <w:lang w:val="zh-CN"/>
    </w:rPr>
  </w:style>
  <w:style w:type="paragraph" w:customStyle="1" w:styleId="274">
    <w:name w:val="段落样式"/>
    <w:basedOn w:val="1"/>
    <w:autoRedefine/>
    <w:qFormat/>
    <w:uiPriority w:val="0"/>
    <w:pPr>
      <w:widowControl/>
      <w:spacing w:line="400" w:lineRule="exact"/>
      <w:ind w:firstLine="480" w:firstLineChars="200"/>
    </w:pPr>
    <w:rPr>
      <w:rFonts w:ascii="黑体" w:hAnsi="黑体"/>
      <w:kern w:val="0"/>
      <w:sz w:val="24"/>
    </w:rPr>
  </w:style>
  <w:style w:type="paragraph" w:customStyle="1" w:styleId="275">
    <w:name w:val="Char12"/>
    <w:basedOn w:val="1"/>
    <w:autoRedefine/>
    <w:qFormat/>
    <w:uiPriority w:val="0"/>
    <w:pPr>
      <w:widowControl/>
      <w:spacing w:after="160" w:line="240" w:lineRule="exact"/>
      <w:jc w:val="left"/>
    </w:pPr>
    <w:rPr>
      <w:rFonts w:ascii="宋体"/>
      <w:kern w:val="0"/>
      <w:sz w:val="34"/>
      <w:szCs w:val="20"/>
    </w:rPr>
  </w:style>
  <w:style w:type="paragraph" w:customStyle="1" w:styleId="276">
    <w:name w:val="样式1"/>
    <w:basedOn w:val="1"/>
    <w:autoRedefine/>
    <w:qFormat/>
    <w:uiPriority w:val="0"/>
    <w:pPr>
      <w:spacing w:line="360" w:lineRule="auto"/>
      <w:jc w:val="center"/>
    </w:pPr>
    <w:rPr>
      <w:rFonts w:ascii="宋体" w:hAnsi="宋体"/>
      <w:b/>
      <w:sz w:val="32"/>
      <w:szCs w:val="30"/>
    </w:rPr>
  </w:style>
  <w:style w:type="paragraph" w:customStyle="1" w:styleId="277">
    <w:name w:val="样式3"/>
    <w:basedOn w:val="4"/>
    <w:autoRedefine/>
    <w:qFormat/>
    <w:uiPriority w:val="0"/>
    <w:pPr>
      <w:tabs>
        <w:tab w:val="left" w:pos="425"/>
        <w:tab w:val="left" w:pos="709"/>
      </w:tabs>
      <w:adjustRightInd w:val="0"/>
      <w:snapToGrid w:val="0"/>
      <w:spacing w:line="360" w:lineRule="auto"/>
      <w:ind w:left="425" w:hanging="425"/>
      <w:jc w:val="left"/>
    </w:pPr>
    <w:rPr>
      <w:sz w:val="24"/>
      <w:szCs w:val="20"/>
    </w:rPr>
  </w:style>
  <w:style w:type="paragraph" w:customStyle="1" w:styleId="278">
    <w:name w:val="Char Char Char Char Char Char Char Char1"/>
    <w:basedOn w:val="1"/>
    <w:autoRedefine/>
    <w:qFormat/>
    <w:uiPriority w:val="0"/>
    <w:rPr>
      <w:szCs w:val="20"/>
    </w:rPr>
  </w:style>
  <w:style w:type="paragraph" w:customStyle="1" w:styleId="279">
    <w:name w:val="列出段落1"/>
    <w:basedOn w:val="1"/>
    <w:autoRedefine/>
    <w:qFormat/>
    <w:uiPriority w:val="0"/>
    <w:pPr>
      <w:ind w:firstLine="420" w:firstLineChars="200"/>
    </w:pPr>
    <w:rPr>
      <w:rFonts w:ascii="Calibri" w:hAnsi="Calibri"/>
      <w:szCs w:val="22"/>
    </w:rPr>
  </w:style>
  <w:style w:type="paragraph" w:customStyle="1" w:styleId="280">
    <w:name w:val="正文缩进2"/>
    <w:basedOn w:val="1"/>
    <w:autoRedefine/>
    <w:qFormat/>
    <w:uiPriority w:val="0"/>
    <w:pPr>
      <w:ind w:firstLine="420"/>
    </w:pPr>
    <w:rPr>
      <w:szCs w:val="20"/>
    </w:rPr>
  </w:style>
  <w:style w:type="paragraph" w:customStyle="1" w:styleId="281">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82">
    <w:name w:val="正文段"/>
    <w:basedOn w:val="1"/>
    <w:autoRedefine/>
    <w:qFormat/>
    <w:uiPriority w:val="0"/>
    <w:pPr>
      <w:spacing w:line="360" w:lineRule="auto"/>
      <w:ind w:firstLine="420"/>
    </w:pPr>
    <w:rPr>
      <w:rFonts w:ascii="宋体"/>
      <w:sz w:val="24"/>
    </w:rPr>
  </w:style>
  <w:style w:type="paragraph" w:customStyle="1" w:styleId="283">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4">
    <w:name w:val="正文首行缩进 2_0"/>
    <w:basedOn w:val="285"/>
    <w:autoRedefine/>
    <w:qFormat/>
    <w:uiPriority w:val="0"/>
    <w:pPr>
      <w:ind w:firstLine="200"/>
    </w:pPr>
    <w:rPr>
      <w:rFonts w:ascii="Times New Roman" w:hAnsi="Times New Roman"/>
      <w:szCs w:val="20"/>
    </w:rPr>
  </w:style>
  <w:style w:type="paragraph" w:customStyle="1" w:styleId="285">
    <w:name w:val="正文文本缩进_0"/>
    <w:basedOn w:val="67"/>
    <w:next w:val="20"/>
    <w:autoRedefine/>
    <w:unhideWhenUsed/>
    <w:qFormat/>
    <w:uiPriority w:val="99"/>
    <w:pPr>
      <w:spacing w:after="120"/>
      <w:ind w:left="420" w:leftChars="200"/>
    </w:pPr>
  </w:style>
  <w:style w:type="paragraph" w:customStyle="1" w:styleId="286">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87">
    <w:name w:val="_Style 279"/>
    <w:autoRedefine/>
    <w:qFormat/>
    <w:uiPriority w:val="0"/>
    <w:rPr>
      <w:rFonts w:ascii="Times New Roman" w:hAnsi="Times New Roman" w:eastAsia="宋体" w:cs="Times New Roman"/>
      <w:kern w:val="2"/>
      <w:sz w:val="21"/>
      <w:szCs w:val="24"/>
      <w:lang w:val="en-US" w:eastAsia="zh-CN" w:bidi="ar-SA"/>
    </w:rPr>
  </w:style>
  <w:style w:type="paragraph" w:customStyle="1" w:styleId="288">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8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90">
    <w:name w:val="font0"/>
    <w:basedOn w:val="1"/>
    <w:autoRedefine/>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91">
    <w:name w:val="Char Char Char Char Char Char Char Char Char"/>
    <w:basedOn w:val="1"/>
    <w:autoRedefine/>
    <w:qFormat/>
    <w:uiPriority w:val="0"/>
    <w:pPr>
      <w:widowControl/>
      <w:spacing w:after="160" w:line="240" w:lineRule="exact"/>
      <w:jc w:val="left"/>
    </w:pPr>
    <w:rPr>
      <w:szCs w:val="20"/>
    </w:rPr>
  </w:style>
  <w:style w:type="paragraph" w:customStyle="1" w:styleId="292">
    <w:name w:val="一级标"/>
    <w:basedOn w:val="1"/>
    <w:autoRedefine/>
    <w:qFormat/>
    <w:uiPriority w:val="0"/>
    <w:pPr>
      <w:spacing w:line="300" w:lineRule="auto"/>
      <w:outlineLvl w:val="0"/>
    </w:pPr>
    <w:rPr>
      <w:sz w:val="24"/>
      <w:szCs w:val="20"/>
    </w:rPr>
  </w:style>
  <w:style w:type="paragraph" w:customStyle="1" w:styleId="293">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94">
    <w:name w:val="样式6"/>
    <w:basedOn w:val="7"/>
    <w:autoRedefine/>
    <w:qFormat/>
    <w:uiPriority w:val="0"/>
    <w:pPr>
      <w:tabs>
        <w:tab w:val="left" w:pos="425"/>
      </w:tabs>
      <w:adjustRightInd w:val="0"/>
      <w:spacing w:before="0" w:after="0" w:line="360" w:lineRule="auto"/>
      <w:ind w:left="425" w:hanging="425"/>
    </w:pPr>
    <w:rPr>
      <w:rFonts w:ascii="宋体" w:eastAsia="宋体"/>
      <w:b w:val="0"/>
    </w:rPr>
  </w:style>
  <w:style w:type="paragraph" w:customStyle="1" w:styleId="295">
    <w:name w:val="xl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96">
    <w:name w:val="1 Char Char Char"/>
    <w:basedOn w:val="1"/>
    <w:next w:val="4"/>
    <w:autoRedefine/>
    <w:qFormat/>
    <w:uiPriority w:val="0"/>
    <w:pPr>
      <w:spacing w:line="500" w:lineRule="exact"/>
      <w:ind w:firstLine="200"/>
      <w:jc w:val="center"/>
    </w:pPr>
    <w:rPr>
      <w:rFonts w:ascii="仿宋_GB2312" w:hAnsi="Arial" w:eastAsia="仿宋_GB2312" w:cs="Arial"/>
      <w:bCs/>
      <w:sz w:val="32"/>
      <w:szCs w:val="32"/>
    </w:rPr>
  </w:style>
  <w:style w:type="paragraph" w:customStyle="1" w:styleId="297">
    <w:name w:val="p0"/>
    <w:basedOn w:val="1"/>
    <w:autoRedefine/>
    <w:qFormat/>
    <w:uiPriority w:val="0"/>
    <w:pPr>
      <w:widowControl/>
    </w:pPr>
    <w:rPr>
      <w:kern w:val="0"/>
      <w:szCs w:val="21"/>
    </w:rPr>
  </w:style>
  <w:style w:type="paragraph" w:customStyle="1" w:styleId="298">
    <w:name w:val="p16"/>
    <w:basedOn w:val="1"/>
    <w:autoRedefine/>
    <w:qFormat/>
    <w:uiPriority w:val="0"/>
    <w:pPr>
      <w:widowControl/>
      <w:ind w:left="210"/>
      <w:jc w:val="left"/>
    </w:pPr>
    <w:rPr>
      <w:smallCaps/>
      <w:kern w:val="0"/>
      <w:sz w:val="20"/>
      <w:szCs w:val="20"/>
    </w:rPr>
  </w:style>
  <w:style w:type="paragraph" w:customStyle="1" w:styleId="299">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300">
    <w:name w:val="样式 标题 3 + 仿宋_GB2312 小四 段前: 0 磅 段后: 0 磅"/>
    <w:basedOn w:val="4"/>
    <w:autoRedefine/>
    <w:qFormat/>
    <w:uiPriority w:val="0"/>
    <w:pPr>
      <w:keepNext/>
      <w:keepLines/>
      <w:spacing w:beforeLines="50" w:line="415" w:lineRule="auto"/>
      <w:jc w:val="center"/>
    </w:pPr>
    <w:rPr>
      <w:rFonts w:ascii="仿宋_GB2312" w:eastAsia="仿宋_GB2312" w:cs="宋体"/>
      <w:kern w:val="0"/>
      <w:sz w:val="24"/>
      <w:szCs w:val="20"/>
    </w:rPr>
  </w:style>
  <w:style w:type="paragraph" w:customStyle="1" w:styleId="301">
    <w:name w:val="补充"/>
    <w:basedOn w:val="8"/>
    <w:autoRedefine/>
    <w:qFormat/>
    <w:uiPriority w:val="0"/>
    <w:pPr>
      <w:spacing w:line="360" w:lineRule="auto"/>
      <w:ind w:firstLine="0"/>
    </w:pPr>
    <w:rPr>
      <w:b/>
      <w:szCs w:val="24"/>
    </w:rPr>
  </w:style>
  <w:style w:type="paragraph" w:customStyle="1" w:styleId="302">
    <w:name w:val="xl6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303">
    <w:name w:val="Char"/>
    <w:basedOn w:val="1"/>
    <w:autoRedefine/>
    <w:qFormat/>
    <w:uiPriority w:val="0"/>
    <w:pPr>
      <w:widowControl/>
      <w:spacing w:after="160" w:line="240" w:lineRule="exact"/>
      <w:jc w:val="left"/>
    </w:pPr>
    <w:rPr>
      <w:rFonts w:ascii="Tahoma" w:hAnsi="Tahoma"/>
      <w:kern w:val="0"/>
      <w:sz w:val="24"/>
      <w:lang w:eastAsia="en-US"/>
    </w:rPr>
  </w:style>
  <w:style w:type="paragraph" w:customStyle="1" w:styleId="304">
    <w:name w:val="Char Char Char1 Char"/>
    <w:basedOn w:val="1"/>
    <w:autoRedefine/>
    <w:qFormat/>
    <w:uiPriority w:val="0"/>
    <w:rPr>
      <w:szCs w:val="20"/>
    </w:rPr>
  </w:style>
  <w:style w:type="paragraph" w:styleId="305">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6">
    <w:name w:val="xl62"/>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307">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308">
    <w:name w:val="font7"/>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309">
    <w:name w:val="样式5"/>
    <w:basedOn w:val="6"/>
    <w:autoRedefine/>
    <w:qFormat/>
    <w:uiPriority w:val="0"/>
    <w:pPr>
      <w:keepNext w:val="0"/>
      <w:keepLines w:val="0"/>
      <w:tabs>
        <w:tab w:val="left" w:pos="425"/>
        <w:tab w:val="left" w:pos="648"/>
      </w:tabs>
      <w:adjustRightInd w:val="0"/>
      <w:snapToGrid w:val="0"/>
      <w:spacing w:before="0" w:after="0" w:line="360" w:lineRule="auto"/>
      <w:ind w:left="425" w:hanging="137"/>
    </w:pPr>
    <w:rPr>
      <w:rFonts w:ascii="宋体"/>
      <w:bCs w:val="0"/>
      <w:sz w:val="24"/>
      <w:szCs w:val="20"/>
    </w:rPr>
  </w:style>
  <w:style w:type="paragraph" w:customStyle="1" w:styleId="310">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12"/>
      <w:szCs w:val="20"/>
    </w:rPr>
  </w:style>
  <w:style w:type="paragraph" w:customStyle="1" w:styleId="311">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312">
    <w:name w:val="样式7"/>
    <w:basedOn w:val="29"/>
    <w:autoRedefine/>
    <w:qFormat/>
    <w:uiPriority w:val="0"/>
    <w:pPr>
      <w:pBdr>
        <w:bottom w:val="single" w:color="auto" w:sz="4" w:space="1"/>
      </w:pBdr>
      <w:tabs>
        <w:tab w:val="clear" w:pos="4153"/>
        <w:tab w:val="clear" w:pos="8306"/>
      </w:tabs>
      <w:snapToGrid/>
      <w:ind w:right="360"/>
      <w:jc w:val="both"/>
    </w:pPr>
    <w:rPr>
      <w:szCs w:val="20"/>
    </w:rPr>
  </w:style>
  <w:style w:type="paragraph" w:customStyle="1" w:styleId="313">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314">
    <w:name w:val="正文缩进3"/>
    <w:basedOn w:val="1"/>
    <w:autoRedefine/>
    <w:qFormat/>
    <w:uiPriority w:val="0"/>
    <w:pPr>
      <w:ind w:firstLine="420"/>
    </w:pPr>
    <w:rPr>
      <w:szCs w:val="20"/>
    </w:rPr>
  </w:style>
  <w:style w:type="paragraph" w:customStyle="1" w:styleId="315">
    <w:name w:val="xl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316">
    <w:name w:val="xl4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7">
    <w:name w:val="样式2"/>
    <w:basedOn w:val="36"/>
    <w:autoRedefine/>
    <w:qFormat/>
    <w:uiPriority w:val="0"/>
    <w:pPr>
      <w:ind w:firstLine="2720"/>
    </w:pPr>
    <w:rPr>
      <w:bCs/>
    </w:rPr>
  </w:style>
  <w:style w:type="paragraph" w:customStyle="1" w:styleId="318">
    <w:name w:val="xl3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19">
    <w:name w:val="首行缩进:"/>
    <w:basedOn w:val="1"/>
    <w:autoRedefine/>
    <w:qFormat/>
    <w:uiPriority w:val="0"/>
    <w:pPr>
      <w:ind w:firstLine="480"/>
    </w:pPr>
    <w:rPr>
      <w:szCs w:val="20"/>
    </w:rPr>
  </w:style>
  <w:style w:type="paragraph" w:customStyle="1" w:styleId="320">
    <w:name w:val="xl4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21">
    <w:name w:val="xl27"/>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22">
    <w:name w:val="样式 段落样式 + 首行缩进:  2 字符"/>
    <w:basedOn w:val="1"/>
    <w:autoRedefine/>
    <w:qFormat/>
    <w:uiPriority w:val="0"/>
    <w:pPr>
      <w:widowControl/>
      <w:spacing w:line="400" w:lineRule="exact"/>
      <w:ind w:firstLine="472" w:firstLineChars="200"/>
    </w:pPr>
    <w:rPr>
      <w:rFonts w:ascii="宋体" w:hAnsi="宋体" w:cs="宋体"/>
      <w:kern w:val="0"/>
      <w:sz w:val="24"/>
      <w:szCs w:val="20"/>
    </w:rPr>
  </w:style>
  <w:style w:type="paragraph" w:customStyle="1" w:styleId="323">
    <w:name w:val="xl52"/>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24">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table" w:customStyle="1" w:styleId="325">
    <w:name w:val="网格型1"/>
    <w:basedOn w:val="4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列表段落1"/>
    <w:basedOn w:val="1"/>
    <w:autoRedefine/>
    <w:unhideWhenUsed/>
    <w:qFormat/>
    <w:uiPriority w:val="34"/>
    <w:pPr>
      <w:autoSpaceDE w:val="0"/>
      <w:autoSpaceDN w:val="0"/>
      <w:adjustRightInd w:val="0"/>
      <w:jc w:val="left"/>
    </w:pPr>
    <w:rPr>
      <w:szCs w:val="20"/>
    </w:rPr>
  </w:style>
  <w:style w:type="character" w:customStyle="1" w:styleId="327">
    <w:name w:val="layui-layer-tabnow"/>
    <w:basedOn w:val="51"/>
    <w:autoRedefine/>
    <w:qFormat/>
    <w:uiPriority w:val="0"/>
    <w:rPr>
      <w:bdr w:val="single" w:color="CCCCCC" w:sz="6" w:space="0"/>
      <w:shd w:val="clear" w:color="auto" w:fill="FFFFFF"/>
    </w:rPr>
  </w:style>
  <w:style w:type="character" w:customStyle="1" w:styleId="328">
    <w:name w:val="first-child"/>
    <w:basedOn w:val="51"/>
    <w:autoRedefine/>
    <w:qFormat/>
    <w:uiPriority w:val="0"/>
  </w:style>
  <w:style w:type="paragraph" w:customStyle="1" w:styleId="329">
    <w:name w:val="正文（数字编号）"/>
    <w:basedOn w:val="1"/>
    <w:autoRedefine/>
    <w:qFormat/>
    <w:uiPriority w:val="0"/>
    <w:pPr>
      <w:adjustRightInd w:val="0"/>
      <w:snapToGrid w:val="0"/>
      <w:spacing w:beforeLines="50" w:afterLines="50" w:line="400" w:lineRule="exact"/>
      <w:ind w:left="840"/>
    </w:pPr>
    <w:rPr>
      <w:kern w:val="0"/>
      <w:sz w:val="24"/>
    </w:rPr>
  </w:style>
  <w:style w:type="paragraph" w:customStyle="1" w:styleId="330">
    <w:name w:val="List Paragraph1"/>
    <w:basedOn w:val="1"/>
    <w:autoRedefine/>
    <w:qFormat/>
    <w:uiPriority w:val="34"/>
    <w:pPr>
      <w:ind w:firstLine="420" w:firstLineChars="200"/>
    </w:pPr>
  </w:style>
  <w:style w:type="character" w:customStyle="1" w:styleId="331">
    <w:name w:val="10"/>
    <w:basedOn w:val="51"/>
    <w:autoRedefine/>
    <w:qFormat/>
    <w:uiPriority w:val="0"/>
    <w:rPr>
      <w:rFonts w:hint="default" w:ascii="Times New Roman" w:hAnsi="Times New Roman" w:eastAsia="Times New Roman" w:cs="Times New Roman"/>
      <w:lang w:eastAsia="en-US" w:bidi="en-US"/>
    </w:rPr>
  </w:style>
  <w:style w:type="character" w:customStyle="1" w:styleId="332">
    <w:name w:val="10_0"/>
    <w:basedOn w:val="51"/>
    <w:autoRedefine/>
    <w:qFormat/>
    <w:uiPriority w:val="0"/>
    <w:rPr>
      <w:rFonts w:hint="default" w:ascii="Times New Roman" w:hAnsi="Times New Roman" w:eastAsia="Times New Roman" w:cs="Times New Roman"/>
      <w:lang w:eastAsia="en-US" w:bidi="en-US"/>
    </w:rPr>
  </w:style>
  <w:style w:type="paragraph" w:customStyle="1" w:styleId="333">
    <w:name w:val="正文_4_0"/>
    <w:basedOn w:val="28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4">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35">
    <w:name w:val="hc-textbox-input-inner_value2"/>
    <w:basedOn w:val="51"/>
    <w:autoRedefine/>
    <w:qFormat/>
    <w:uiPriority w:val="0"/>
  </w:style>
  <w:style w:type="paragraph" w:customStyle="1" w:styleId="336">
    <w:name w:val="修订2"/>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33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8">
    <w:name w:val="正文_2_0"/>
    <w:next w:val="339"/>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9">
    <w:name w:val="目录 1_1"/>
    <w:basedOn w:val="338"/>
    <w:next w:val="338"/>
    <w:autoRedefine/>
    <w:qFormat/>
    <w:uiPriority w:val="39"/>
    <w:pPr>
      <w:spacing w:before="120" w:after="120"/>
      <w:jc w:val="left"/>
    </w:pPr>
    <w:rPr>
      <w:rFonts w:ascii="Times New Roman" w:hAnsi="Times New Roman"/>
      <w:b/>
      <w:bCs/>
      <w:caps/>
      <w:sz w:val="20"/>
      <w:szCs w:val="20"/>
    </w:rPr>
  </w:style>
  <w:style w:type="paragraph" w:customStyle="1" w:styleId="340">
    <w:name w:val="Normal_0"/>
    <w:autoRedefine/>
    <w:qFormat/>
    <w:uiPriority w:val="0"/>
    <w:rPr>
      <w:rFonts w:ascii="Times New Roman" w:hAnsi="Times New Roman" w:eastAsia="Times New Roman" w:cs="Times New Roman"/>
      <w:sz w:val="24"/>
      <w:szCs w:val="24"/>
      <w:lang w:bidi="ar-SA"/>
    </w:rPr>
  </w:style>
  <w:style w:type="paragraph" w:customStyle="1" w:styleId="341">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42">
    <w:name w:val="Normal_2"/>
    <w:qFormat/>
    <w:uiPriority w:val="0"/>
    <w:rPr>
      <w:rFonts w:ascii="Times New Roman" w:hAnsi="Times New Roman" w:eastAsia="Times New Roman" w:cs="Times New Roman"/>
      <w:sz w:val="24"/>
      <w:szCs w:val="24"/>
      <w:lang w:val="en-US" w:eastAsia="zh-CN" w:bidi="ar-SA"/>
    </w:rPr>
  </w:style>
  <w:style w:type="paragraph" w:customStyle="1" w:styleId="343">
    <w:name w:val="样式 行距: 1.5 倍行距 首行缩进:  2 字符"/>
    <w:basedOn w:val="1"/>
    <w:qFormat/>
    <w:uiPriority w:val="0"/>
    <w:pPr>
      <w:adjustRightInd w:val="0"/>
      <w:snapToGrid w:val="0"/>
      <w:spacing w:line="460" w:lineRule="exact"/>
    </w:pPr>
    <w:rPr>
      <w:rFonts w:ascii="Times New Roman" w:hAnsi="Times New Roman"/>
      <w:sz w:val="24"/>
      <w:szCs w:val="24"/>
    </w:rPr>
  </w:style>
  <w:style w:type="table" w:customStyle="1" w:styleId="34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38</Pages>
  <Words>23200</Words>
  <Characters>25478</Characters>
  <Lines>734</Lines>
  <Paragraphs>206</Paragraphs>
  <TotalTime>8</TotalTime>
  <ScaleCrop>false</ScaleCrop>
  <LinksUpToDate>false</LinksUpToDate>
  <CharactersWithSpaces>26007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2024-03-11T08:03:00Z</dcterms:created>
  <dc:creator>微软用户</dc:creator>
  <cp:lastModifiedBy>唐欢</cp:lastModifiedBy>
  <cp:lastPrinted>2025-05-28T00:50:00Z</cp:lastPrinted>
  <dcterms:modified xsi:type="dcterms:W3CDTF">2025-07-30T10:33:16Z</dcterms:modified>
  <dc:title>宁波市轨道交通1号线一期工程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A8A83D9B79734C1E81215E88AB6EEF85_13</vt:lpwstr>
  </property>
  <property fmtid="{D5CDD505-2E9C-101B-9397-08002B2CF9AE}" pid="4" name="KSOTemplateDocerSaveRecord">
    <vt:lpwstr>eyJoZGlkIjoiOTZiNzIwOTI4Y2I5YjE5YjA5Zjg2ZmYxMjA4MjZkYTAiLCJ1c2VySWQiOiI2NjgyNzIwNzcifQ==</vt:lpwstr>
  </property>
</Properties>
</file>