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B36FA">
      <w:pPr>
        <w:pStyle w:val="17"/>
        <w:bidi w:val="0"/>
        <w:rPr>
          <w:color w:val="auto"/>
          <w:highlight w:val="none"/>
        </w:rPr>
      </w:pPr>
    </w:p>
    <w:p w14:paraId="47DB7DD3">
      <w:pPr>
        <w:ind w:firstLine="720"/>
        <w:jc w:val="center"/>
        <w:rPr>
          <w:rFonts w:ascii="宋体" w:hAnsi="宋体" w:eastAsia="宋体"/>
          <w:color w:val="auto"/>
          <w:sz w:val="36"/>
          <w:szCs w:val="36"/>
          <w:highlight w:val="none"/>
          <w:u w:val="single"/>
        </w:rPr>
      </w:pPr>
    </w:p>
    <w:p w14:paraId="0757B217">
      <w:pPr>
        <w:jc w:val="center"/>
        <w:rPr>
          <w:rFonts w:hint="eastAsia" w:ascii="宋体" w:hAnsi="宋体" w:eastAsia="宋体"/>
          <w:color w:val="auto"/>
          <w:sz w:val="36"/>
          <w:szCs w:val="36"/>
          <w:highlight w:val="none"/>
          <w:u w:val="single"/>
          <w:lang w:eastAsia="zh-CN"/>
        </w:rPr>
      </w:pPr>
      <w:r>
        <w:rPr>
          <w:rFonts w:hint="eastAsia" w:ascii="宋体" w:hAnsi="宋体" w:eastAsia="宋体"/>
          <w:color w:val="auto"/>
          <w:sz w:val="36"/>
          <w:szCs w:val="36"/>
          <w:highlight w:val="none"/>
          <w:u w:val="single"/>
          <w:lang w:eastAsia="zh-CN"/>
        </w:rPr>
        <w:t>南宁市心圩车辆段配套租赁用房（一期）项目1栋、2栋、6栋、7栋住宅装修工程水电安装施工专业分包</w:t>
      </w:r>
      <w:r>
        <w:rPr>
          <w:rFonts w:hint="eastAsia" w:ascii="宋体" w:hAnsi="宋体" w:eastAsia="宋体"/>
          <w:color w:val="auto"/>
          <w:sz w:val="36"/>
          <w:szCs w:val="36"/>
          <w:highlight w:val="none"/>
          <w:u w:val="single"/>
          <w:lang w:val="en-US" w:eastAsia="zh-CN"/>
        </w:rPr>
        <w:t xml:space="preserve"> </w:t>
      </w:r>
    </w:p>
    <w:p w14:paraId="6DF20EB8">
      <w:pPr>
        <w:ind w:firstLine="720"/>
        <w:jc w:val="center"/>
        <w:rPr>
          <w:rFonts w:ascii="宋体" w:hAnsi="宋体" w:eastAsia="宋体"/>
          <w:color w:val="auto"/>
          <w:sz w:val="36"/>
          <w:szCs w:val="36"/>
          <w:highlight w:val="none"/>
        </w:rPr>
      </w:pPr>
    </w:p>
    <w:p w14:paraId="2C1C476B">
      <w:pPr>
        <w:ind w:firstLine="720"/>
        <w:jc w:val="center"/>
        <w:rPr>
          <w:rFonts w:ascii="宋体" w:hAnsi="宋体" w:eastAsia="宋体"/>
          <w:color w:val="auto"/>
          <w:sz w:val="36"/>
          <w:szCs w:val="36"/>
          <w:highlight w:val="none"/>
        </w:rPr>
      </w:pPr>
    </w:p>
    <w:p w14:paraId="0C12902C">
      <w:pPr>
        <w:ind w:firstLine="720"/>
        <w:jc w:val="center"/>
        <w:rPr>
          <w:rFonts w:ascii="宋体" w:hAnsi="宋体" w:eastAsia="宋体"/>
          <w:color w:val="auto"/>
          <w:sz w:val="36"/>
          <w:szCs w:val="36"/>
          <w:highlight w:val="none"/>
        </w:rPr>
      </w:pPr>
    </w:p>
    <w:p w14:paraId="47246C54">
      <w:pPr>
        <w:ind w:firstLine="720"/>
        <w:jc w:val="center"/>
        <w:rPr>
          <w:rFonts w:ascii="宋体" w:hAnsi="宋体" w:eastAsia="宋体"/>
          <w:color w:val="auto"/>
          <w:sz w:val="36"/>
          <w:szCs w:val="36"/>
          <w:highlight w:val="none"/>
        </w:rPr>
      </w:pPr>
    </w:p>
    <w:p w14:paraId="642C8FC1">
      <w:pPr>
        <w:ind w:firstLine="720"/>
        <w:jc w:val="center"/>
        <w:rPr>
          <w:rFonts w:ascii="宋体" w:hAnsi="宋体" w:eastAsia="宋体"/>
          <w:color w:val="auto"/>
          <w:sz w:val="36"/>
          <w:szCs w:val="36"/>
          <w:highlight w:val="none"/>
        </w:rPr>
      </w:pPr>
    </w:p>
    <w:p w14:paraId="7C67C1BA">
      <w:pPr>
        <w:ind w:firstLine="720"/>
        <w:jc w:val="center"/>
        <w:rPr>
          <w:rFonts w:ascii="宋体" w:hAnsi="宋体" w:eastAsia="宋体"/>
          <w:color w:val="auto"/>
          <w:sz w:val="36"/>
          <w:szCs w:val="36"/>
          <w:highlight w:val="none"/>
        </w:rPr>
      </w:pPr>
    </w:p>
    <w:p w14:paraId="4A3621DA">
      <w:pPr>
        <w:jc w:val="center"/>
        <w:rPr>
          <w:rFonts w:hint="default" w:ascii="宋体" w:hAnsi="宋体" w:eastAsia="宋体"/>
          <w:b/>
          <w:bCs/>
          <w:color w:val="auto"/>
          <w:sz w:val="72"/>
          <w:szCs w:val="72"/>
          <w:highlight w:val="none"/>
          <w:lang w:val="en-US" w:eastAsia="zh-CN"/>
        </w:rPr>
      </w:pPr>
      <w:r>
        <w:rPr>
          <w:rFonts w:hint="eastAsia" w:ascii="宋体" w:hAnsi="宋体" w:eastAsia="宋体"/>
          <w:b/>
          <w:bCs/>
          <w:color w:val="auto"/>
          <w:sz w:val="72"/>
          <w:szCs w:val="72"/>
          <w:highlight w:val="none"/>
          <w:lang w:val="en-US" w:eastAsia="zh-CN"/>
        </w:rPr>
        <w:t>公开比选文件</w:t>
      </w:r>
    </w:p>
    <w:p w14:paraId="7437D037">
      <w:pPr>
        <w:ind w:firstLine="720"/>
        <w:jc w:val="center"/>
        <w:rPr>
          <w:rFonts w:ascii="宋体" w:hAnsi="宋体" w:eastAsia="宋体"/>
          <w:color w:val="auto"/>
          <w:sz w:val="36"/>
          <w:szCs w:val="36"/>
          <w:highlight w:val="none"/>
        </w:rPr>
      </w:pPr>
    </w:p>
    <w:p w14:paraId="51426276">
      <w:pPr>
        <w:ind w:firstLine="720"/>
        <w:jc w:val="center"/>
        <w:rPr>
          <w:rFonts w:ascii="宋体" w:hAnsi="宋体" w:eastAsia="宋体"/>
          <w:color w:val="auto"/>
          <w:sz w:val="36"/>
          <w:szCs w:val="36"/>
          <w:highlight w:val="none"/>
        </w:rPr>
      </w:pPr>
    </w:p>
    <w:p w14:paraId="5DDCC7EB">
      <w:pPr>
        <w:ind w:firstLine="720"/>
        <w:jc w:val="center"/>
        <w:rPr>
          <w:rFonts w:ascii="宋体" w:hAnsi="宋体" w:eastAsia="宋体"/>
          <w:color w:val="auto"/>
          <w:sz w:val="36"/>
          <w:szCs w:val="36"/>
          <w:highlight w:val="none"/>
        </w:rPr>
      </w:pPr>
    </w:p>
    <w:p w14:paraId="07BEA323">
      <w:pPr>
        <w:ind w:firstLine="720"/>
        <w:jc w:val="center"/>
        <w:rPr>
          <w:rFonts w:ascii="宋体" w:hAnsi="宋体" w:eastAsia="宋体"/>
          <w:color w:val="auto"/>
          <w:sz w:val="36"/>
          <w:szCs w:val="36"/>
          <w:highlight w:val="none"/>
        </w:rPr>
      </w:pPr>
    </w:p>
    <w:p w14:paraId="70C289ED">
      <w:pPr>
        <w:ind w:firstLine="720"/>
        <w:jc w:val="center"/>
        <w:rPr>
          <w:rFonts w:ascii="宋体" w:hAnsi="宋体" w:eastAsia="宋体"/>
          <w:color w:val="auto"/>
          <w:sz w:val="36"/>
          <w:szCs w:val="36"/>
          <w:highlight w:val="none"/>
        </w:rPr>
      </w:pPr>
    </w:p>
    <w:p w14:paraId="1E820AA5">
      <w:pPr>
        <w:ind w:firstLine="720"/>
        <w:jc w:val="center"/>
        <w:rPr>
          <w:rFonts w:ascii="宋体" w:hAnsi="宋体" w:eastAsia="宋体"/>
          <w:color w:val="auto"/>
          <w:sz w:val="36"/>
          <w:szCs w:val="36"/>
          <w:highlight w:val="none"/>
        </w:rPr>
      </w:pPr>
    </w:p>
    <w:p w14:paraId="565176D4">
      <w:pPr>
        <w:ind w:firstLine="720"/>
        <w:jc w:val="center"/>
        <w:rPr>
          <w:rFonts w:ascii="宋体" w:hAnsi="宋体" w:eastAsia="宋体"/>
          <w:color w:val="auto"/>
          <w:sz w:val="36"/>
          <w:szCs w:val="36"/>
          <w:highlight w:val="none"/>
        </w:rPr>
      </w:pPr>
    </w:p>
    <w:p w14:paraId="6F26A5F8">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20A658CE">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7</w:t>
      </w:r>
      <w:r>
        <w:rPr>
          <w:rFonts w:hint="eastAsia" w:ascii="宋体" w:hAnsi="宋体" w:eastAsia="宋体"/>
          <w:color w:val="auto"/>
          <w:sz w:val="36"/>
          <w:szCs w:val="36"/>
          <w:highlight w:val="none"/>
        </w:rPr>
        <w:t>月</w:t>
      </w:r>
    </w:p>
    <w:p w14:paraId="690078A7">
      <w:pPr>
        <w:ind w:firstLine="720"/>
        <w:jc w:val="center"/>
        <w:rPr>
          <w:rFonts w:ascii="宋体" w:hAnsi="宋体" w:eastAsia="宋体"/>
          <w:color w:val="auto"/>
          <w:sz w:val="36"/>
          <w:szCs w:val="36"/>
          <w:highlight w:val="none"/>
        </w:rPr>
      </w:pPr>
    </w:p>
    <w:p w14:paraId="0D00A959">
      <w:pPr>
        <w:ind w:firstLine="720"/>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31FAAB0C">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1FBF2973">
      <w:pPr>
        <w:ind w:firstLine="720"/>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val="en-US" w:eastAsia="zh-CN"/>
        </w:rPr>
        <w:t>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4C7C546D">
      <w:pPr>
        <w:ind w:firstLine="720"/>
        <w:jc w:val="center"/>
        <w:rPr>
          <w:rFonts w:ascii="宋体" w:hAnsi="宋体" w:eastAsia="宋体"/>
          <w:color w:val="auto"/>
          <w:sz w:val="36"/>
          <w:szCs w:val="36"/>
          <w:highlight w:val="none"/>
        </w:rPr>
      </w:pPr>
    </w:p>
    <w:p w14:paraId="7B1C712E">
      <w:pPr>
        <w:ind w:firstLine="720"/>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南宁市心圩车辆段配套租赁用房（一期）项目1栋、2栋、6栋、7栋住宅装修工程水电安装施工专业分包比选公告</w:t>
      </w:r>
    </w:p>
    <w:p w14:paraId="187A62D2">
      <w:pPr>
        <w:pStyle w:val="27"/>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27"/>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27"/>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南宁市心圩车辆段配套租赁用房（一期）项目1栋、2栋、6栋、7栋住宅装修工程水电安装施工专业分包。</w:t>
      </w:r>
    </w:p>
    <w:p w14:paraId="70D60000">
      <w:pPr>
        <w:pStyle w:val="27"/>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lang w:val="en-US" w:eastAsia="zh-CN"/>
        </w:rPr>
        <w:t>大写：伍佰陆拾肆万零捌佰柒拾贰元肆角肆分，小写：5640872.44元，税率为9%</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CC64892">
      <w:pPr>
        <w:pStyle w:val="27"/>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宋体" w:hAnsi="宋体" w:eastAsia="宋体"/>
          <w:color w:val="auto"/>
          <w:sz w:val="24"/>
          <w:szCs w:val="24"/>
          <w:highlight w:val="none"/>
          <w:lang w:val="en-US" w:eastAsia="zh-CN"/>
        </w:rPr>
        <w:t>100</w:t>
      </w:r>
      <w:r>
        <w:rPr>
          <w:rFonts w:hint="eastAsia" w:ascii="宋体" w:hAnsi="宋体" w:eastAsia="宋体"/>
          <w:color w:val="auto"/>
          <w:sz w:val="24"/>
          <w:szCs w:val="24"/>
          <w:highlight w:val="none"/>
        </w:rPr>
        <w:t>日历天(计划开工日期:2025年7月</w:t>
      </w:r>
      <w:r>
        <w:rPr>
          <w:rFonts w:hint="eastAsia" w:ascii="宋体" w:hAnsi="宋体" w:eastAsia="宋体"/>
          <w:color w:val="auto"/>
          <w:sz w:val="24"/>
          <w:szCs w:val="24"/>
          <w:highlight w:val="none"/>
          <w:lang w:val="en-US" w:eastAsia="zh-CN"/>
        </w:rPr>
        <w:t>10</w:t>
      </w:r>
      <w:r>
        <w:rPr>
          <w:rFonts w:hint="eastAsia" w:ascii="宋体" w:hAnsi="宋体" w:eastAsia="宋体"/>
          <w:color w:val="auto"/>
          <w:sz w:val="24"/>
          <w:szCs w:val="24"/>
          <w:highlight w:val="none"/>
        </w:rPr>
        <w:t>日，计划竣工日期:2025年10月</w:t>
      </w:r>
      <w:r>
        <w:rPr>
          <w:rFonts w:hint="eastAsia" w:ascii="宋体" w:hAnsi="宋体" w:eastAsia="宋体"/>
          <w:color w:val="auto"/>
          <w:sz w:val="24"/>
          <w:szCs w:val="24"/>
          <w:highlight w:val="none"/>
          <w:lang w:val="en-US" w:eastAsia="zh-CN"/>
        </w:rPr>
        <w:t>18</w:t>
      </w:r>
      <w:r>
        <w:rPr>
          <w:rFonts w:hint="eastAsia" w:ascii="宋体" w:hAnsi="宋体" w:eastAsia="宋体"/>
          <w:color w:val="auto"/>
          <w:sz w:val="24"/>
          <w:szCs w:val="24"/>
          <w:highlight w:val="none"/>
        </w:rPr>
        <w:t>日，开工日期以比选人实际发出的开工令时间为准)</w:t>
      </w:r>
      <w:r>
        <w:rPr>
          <w:rFonts w:hint="eastAsia" w:ascii="宋体" w:hAnsi="宋体" w:eastAsia="宋体"/>
          <w:color w:val="auto"/>
          <w:sz w:val="24"/>
          <w:szCs w:val="24"/>
          <w:highlight w:val="none"/>
          <w:lang w:val="en-US" w:eastAsia="zh-CN"/>
        </w:rPr>
        <w:t>；比选申请人的施工工期不能影响施工总进度工期；严格按比选人节点完成合同内容；如超期的，超期赔偿由比选申请人承担。</w:t>
      </w:r>
    </w:p>
    <w:p w14:paraId="2E2E2B2E">
      <w:pPr>
        <w:pStyle w:val="27"/>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27"/>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（3）项目地点：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p>
    <w:p w14:paraId="492B5EEA">
      <w:pPr>
        <w:pStyle w:val="27"/>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（4）比选具体内容及范围：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27"/>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（5）其他情况：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27"/>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7</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27"/>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27"/>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27"/>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游然</w:t>
      </w:r>
    </w:p>
    <w:p w14:paraId="15379FB4">
      <w:pPr>
        <w:pStyle w:val="27"/>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74FB830D">
      <w:pPr>
        <w:pStyle w:val="27"/>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2118670933@qq.com</w:t>
      </w:r>
    </w:p>
    <w:p w14:paraId="4B719ECA">
      <w:pPr>
        <w:pStyle w:val="27"/>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27"/>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27"/>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2025年7月1日</w:t>
      </w:r>
    </w:p>
    <w:p w14:paraId="163F0BAD">
      <w:pPr>
        <w:pStyle w:val="27"/>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bookmarkStart w:id="839" w:name="_GoBack"/>
      <w:bookmarkEnd w:id="839"/>
    </w:p>
    <w:p w14:paraId="667B1AF2">
      <w:pPr>
        <w:ind w:firstLine="723"/>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1827704">
      <w:pPr>
        <w:ind w:firstLine="723"/>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9"/>
        <w:tblW w:w="11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1225"/>
        <w:gridCol w:w="8976"/>
      </w:tblGrid>
      <w:tr w14:paraId="602E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C78FEB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687" w:type="dxa"/>
            <w:vAlign w:val="center"/>
          </w:tcPr>
          <w:p w14:paraId="7BB177B6">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284" w:type="dxa"/>
            <w:vAlign w:val="center"/>
          </w:tcPr>
          <w:p w14:paraId="0F8187C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6F1B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65DCC2D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687" w:type="dxa"/>
            <w:vAlign w:val="center"/>
          </w:tcPr>
          <w:p w14:paraId="12A44F6A">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284" w:type="dxa"/>
            <w:vAlign w:val="center"/>
          </w:tcPr>
          <w:p w14:paraId="671C507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C3A27CA">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（1）为中华人民共和国境内依法设立的法人或其他组织</w:t>
            </w:r>
            <w:r>
              <w:rPr>
                <w:rFonts w:hint="eastAsia" w:ascii="宋体" w:hAnsi="宋体" w:eastAsia="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具备建筑工程施工总承包或建筑机电安装工程工程专业承包及有效安全生产许可证</w:t>
            </w:r>
            <w:r>
              <w:rPr>
                <w:rFonts w:ascii="宋体" w:hAnsi="宋体" w:eastAsia="宋体"/>
                <w:color w:val="auto"/>
                <w:sz w:val="24"/>
                <w:szCs w:val="24"/>
                <w:highlight w:val="none"/>
              </w:rPr>
              <w:t xml:space="preserve">。 </w:t>
            </w:r>
          </w:p>
          <w:p w14:paraId="401DA413">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 xml:space="preserve">（2）拟配置项目管理机构要求： </w:t>
            </w:r>
          </w:p>
          <w:p w14:paraId="660A60FA">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    ①拟配置项目负责人：</w:t>
            </w:r>
            <w:r>
              <w:rPr>
                <w:rFonts w:hint="eastAsia" w:ascii="宋体" w:hAnsi="宋体" w:eastAsia="宋体"/>
                <w:color w:val="auto"/>
                <w:sz w:val="24"/>
                <w:szCs w:val="24"/>
                <w:highlight w:val="none"/>
                <w:lang w:val="en-US" w:eastAsia="zh-CN"/>
              </w:rPr>
              <w:t>1人，具有建筑或装饰装修工程专业一级或二级建造师资格资格证及B证。</w:t>
            </w:r>
            <w:r>
              <w:rPr>
                <w:rFonts w:ascii="宋体" w:hAnsi="宋体" w:eastAsia="宋体"/>
                <w:color w:val="auto"/>
                <w:sz w:val="24"/>
                <w:szCs w:val="24"/>
                <w:highlight w:val="none"/>
              </w:rPr>
              <w:t xml:space="preserve"> </w:t>
            </w:r>
          </w:p>
          <w:p w14:paraId="23040BC4">
            <w:pPr>
              <w:spacing w:line="480" w:lineRule="exact"/>
              <w:ind w:firstLine="960"/>
              <w:jc w:val="left"/>
              <w:rPr>
                <w:rFonts w:hint="eastAsia" w:ascii="宋体" w:hAnsi="宋体" w:eastAsia="宋体"/>
                <w:color w:val="auto"/>
                <w:sz w:val="24"/>
                <w:szCs w:val="24"/>
                <w:highlight w:val="none"/>
                <w:lang w:eastAsia="zh-CN"/>
              </w:rPr>
            </w:pPr>
            <w:r>
              <w:rPr>
                <w:rFonts w:ascii="宋体" w:hAnsi="宋体" w:eastAsia="宋体"/>
                <w:color w:val="auto"/>
                <w:sz w:val="24"/>
                <w:szCs w:val="24"/>
                <w:highlight w:val="none"/>
              </w:rPr>
              <w:t>②拟配置项目管理人员：</w:t>
            </w:r>
            <w:r>
              <w:rPr>
                <w:rFonts w:hint="eastAsia" w:ascii="宋体" w:hAnsi="宋体" w:eastAsia="宋体"/>
                <w:color w:val="auto"/>
                <w:sz w:val="24"/>
                <w:szCs w:val="24"/>
                <w:highlight w:val="none"/>
                <w:lang w:val="en-US" w:eastAsia="zh-CN"/>
              </w:rPr>
              <w:t>施工员2人，具有土建或电气施工员证；专职安全员1人，具有安全员证及C证（广西以外若无岗位证书的必须提供C证）</w:t>
            </w:r>
            <w:r>
              <w:rPr>
                <w:rFonts w:hint="eastAsia" w:ascii="宋体" w:hAnsi="宋体" w:eastAsia="宋体"/>
                <w:color w:val="auto"/>
                <w:sz w:val="24"/>
                <w:szCs w:val="24"/>
                <w:highlight w:val="none"/>
                <w:lang w:eastAsia="zh-CN"/>
              </w:rPr>
              <w:t>。</w:t>
            </w:r>
          </w:p>
          <w:p w14:paraId="366DC029">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ascii="宋体" w:hAnsi="宋体" w:eastAsia="宋体"/>
                <w:color w:val="auto"/>
                <w:sz w:val="24"/>
                <w:szCs w:val="24"/>
                <w:highlight w:val="none"/>
              </w:rPr>
              <w:t xml:space="preserve">）无 重大 税收违法失信主体截图（信用中国网址： https://www.creditchina.gov.cn/xinyongfuwu/zhongdashuishouweifaanjian/ ） </w:t>
            </w:r>
          </w:p>
          <w:p w14:paraId="457168D2">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ascii="宋体" w:hAnsi="宋体" w:eastAsia="宋体"/>
                <w:color w:val="auto"/>
                <w:sz w:val="24"/>
                <w:szCs w:val="24"/>
                <w:highlight w:val="none"/>
              </w:rPr>
              <w:t xml:space="preserve">）无严重失信主体名单截图（信用中国网址： https://www.creditchina.gov.cn/xinyongfuwu/shixinheimingdan/ ） </w:t>
            </w:r>
          </w:p>
          <w:p w14:paraId="0C2D484F">
            <w:pPr>
              <w:spacing w:line="480" w:lineRule="exact"/>
              <w:jc w:val="left"/>
              <w:rPr>
                <w:rFonts w:hint="eastAsia" w:ascii="宋体" w:hAnsi="宋体" w:eastAsia="宋体"/>
                <w:color w:val="auto"/>
                <w:sz w:val="24"/>
                <w:szCs w:val="24"/>
                <w:highlight w:val="none"/>
                <w:lang w:eastAsia="zh-CN"/>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）财务报表或银行资信证明（2022年1月1日至比选申请截止日期任意一年第三方出具的财务报表净利润为正值，或由基本户开户银行开具的无超期、未标注欠息、诉讼等不良记录、账户未休眠的资信证明）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olor w:val="auto"/>
                <w:sz w:val="24"/>
                <w:szCs w:val="24"/>
                <w:highlight w:val="none"/>
                <w:lang w:eastAsia="zh-CN"/>
              </w:rPr>
              <w:t>。</w:t>
            </w:r>
          </w:p>
          <w:p w14:paraId="75FBF89B">
            <w:pPr>
              <w:numPr>
                <w:ilvl w:val="0"/>
                <w:numId w:val="0"/>
              </w:num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stheme="minorBidi"/>
                <w:color w:val="auto"/>
                <w:kern w:val="2"/>
                <w:sz w:val="24"/>
                <w:szCs w:val="24"/>
                <w:lang w:val="en-US" w:eastAsia="zh-CN" w:bidi="ar-SA"/>
              </w:rPr>
              <w:t>（6）</w:t>
            </w:r>
            <w:r>
              <w:rPr>
                <w:rFonts w:hint="eastAsia" w:ascii="宋体" w:hAnsi="宋体" w:eastAsia="宋体"/>
                <w:color w:val="auto"/>
                <w:sz w:val="24"/>
                <w:szCs w:val="24"/>
                <w:highlight w:val="none"/>
              </w:rPr>
              <w:t>业绩证明：</w:t>
            </w:r>
            <w:r>
              <w:rPr>
                <w:rFonts w:hint="eastAsia" w:ascii="宋体" w:hAnsi="宋体" w:eastAsia="宋体"/>
                <w:color w:val="auto"/>
                <w:sz w:val="24"/>
                <w:szCs w:val="24"/>
                <w:highlight w:val="none"/>
                <w:u w:val="none"/>
              </w:rPr>
              <w:t>提供</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个自</w:t>
            </w:r>
            <w:r>
              <w:rPr>
                <w:rFonts w:hint="eastAsia" w:ascii="宋体" w:hAnsi="宋体" w:eastAsia="宋体"/>
                <w:color w:val="auto"/>
                <w:sz w:val="24"/>
                <w:szCs w:val="24"/>
                <w:highlight w:val="none"/>
                <w:u w:val="none"/>
                <w:lang w:val="en-US" w:eastAsia="zh-CN"/>
              </w:rPr>
              <w:t>2022</w:t>
            </w:r>
            <w:r>
              <w:rPr>
                <w:rFonts w:hint="eastAsia" w:ascii="宋体" w:hAnsi="宋体" w:eastAsia="宋体"/>
                <w:color w:val="auto"/>
                <w:sz w:val="24"/>
                <w:szCs w:val="24"/>
                <w:highlight w:val="none"/>
                <w:u w:val="none"/>
              </w:rPr>
              <w:t>年</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月至比选申请截止日期至内完成过或承接过</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个单项合同金额达</w:t>
            </w:r>
            <w:r>
              <w:rPr>
                <w:rFonts w:hint="eastAsia" w:ascii="宋体" w:hAnsi="宋体" w:eastAsia="宋体"/>
                <w:color w:val="auto"/>
                <w:sz w:val="24"/>
                <w:szCs w:val="24"/>
                <w:highlight w:val="none"/>
                <w:u w:val="none"/>
                <w:lang w:val="en-US" w:eastAsia="zh-CN"/>
              </w:rPr>
              <w:t>285</w:t>
            </w:r>
            <w:r>
              <w:rPr>
                <w:rFonts w:hint="eastAsia" w:ascii="宋体" w:hAnsi="宋体" w:eastAsia="宋体"/>
                <w:color w:val="auto"/>
                <w:sz w:val="24"/>
                <w:szCs w:val="24"/>
                <w:highlight w:val="none"/>
                <w:u w:val="none"/>
              </w:rPr>
              <w:t>万元及以上的</w:t>
            </w:r>
            <w:r>
              <w:rPr>
                <w:rFonts w:hint="eastAsia" w:ascii="宋体" w:hAnsi="宋体" w:eastAsia="宋体"/>
                <w:color w:val="auto"/>
                <w:sz w:val="24"/>
                <w:szCs w:val="24"/>
                <w:highlight w:val="none"/>
                <w:u w:val="none"/>
                <w:lang w:val="en-US" w:eastAsia="zh-CN"/>
              </w:rPr>
              <w:t>建筑工程水电施工类的</w:t>
            </w:r>
            <w:r>
              <w:rPr>
                <w:rFonts w:hint="eastAsia" w:ascii="宋体" w:hAnsi="宋体" w:eastAsia="宋体"/>
                <w:color w:val="auto"/>
                <w:sz w:val="24"/>
                <w:szCs w:val="24"/>
                <w:highlight w:val="none"/>
                <w:u w:val="none"/>
              </w:rPr>
              <w:t>业绩合同。</w:t>
            </w:r>
          </w:p>
          <w:p w14:paraId="5A50A456">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4A0FE99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632C216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319AB873">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1A1731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00493D68">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 xml:space="preserve">其他要求：      </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 xml:space="preserve">       。</w:t>
            </w:r>
          </w:p>
        </w:tc>
      </w:tr>
      <w:tr w14:paraId="7721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93349D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687" w:type="dxa"/>
            <w:vAlign w:val="center"/>
          </w:tcPr>
          <w:p w14:paraId="4244C486">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284" w:type="dxa"/>
            <w:vAlign w:val="center"/>
          </w:tcPr>
          <w:p w14:paraId="60E04D99">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07E8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7DA8DEE">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687" w:type="dxa"/>
            <w:vAlign w:val="center"/>
          </w:tcPr>
          <w:p w14:paraId="62D779D7">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284" w:type="dxa"/>
            <w:vAlign w:val="center"/>
          </w:tcPr>
          <w:p w14:paraId="6B76021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2A9A61C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5FC8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26AA398A">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687" w:type="dxa"/>
            <w:vAlign w:val="center"/>
          </w:tcPr>
          <w:p w14:paraId="450C20CE">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284" w:type="dxa"/>
            <w:vAlign w:val="center"/>
          </w:tcPr>
          <w:p w14:paraId="356CF48F">
            <w:pPr>
              <w:spacing w:line="4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4502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A836582">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687" w:type="dxa"/>
            <w:vAlign w:val="center"/>
          </w:tcPr>
          <w:p w14:paraId="360D86EB">
            <w:pPr>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284" w:type="dxa"/>
            <w:vAlign w:val="center"/>
          </w:tcPr>
          <w:p w14:paraId="13FE737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资格审查文件、报价文件、技术文件</w:t>
            </w:r>
            <w:r>
              <w:rPr>
                <w:rFonts w:hint="eastAsia" w:ascii="宋体" w:hAnsi="宋体" w:eastAsia="宋体"/>
                <w:color w:val="auto"/>
                <w:sz w:val="24"/>
                <w:szCs w:val="24"/>
                <w:highlight w:val="none"/>
              </w:rPr>
              <w:t>（具体详见比选申请文件格式的内容）</w:t>
            </w:r>
          </w:p>
          <w:p w14:paraId="5EE9AED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比选申请人根据评分办法中的要求提供资料，以及提供认为需要的其他资料。</w:t>
            </w:r>
          </w:p>
          <w:p w14:paraId="0869E303">
            <w:pPr>
              <w:spacing w:line="480" w:lineRule="exact"/>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w:t>
            </w:r>
            <w:r>
              <w:rPr>
                <w:rFonts w:ascii="宋体" w:hAnsi="宋体" w:eastAsia="宋体"/>
                <w:color w:val="auto"/>
                <w:sz w:val="24"/>
                <w:szCs w:val="24"/>
                <w:highlight w:val="none"/>
              </w:rPr>
              <w:t>。</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7B4F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A29AF1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687" w:type="dxa"/>
            <w:vAlign w:val="center"/>
          </w:tcPr>
          <w:p w14:paraId="65BE2FD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284" w:type="dxa"/>
            <w:vAlign w:val="center"/>
          </w:tcPr>
          <w:p w14:paraId="5E26960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综合评分法（评审价以不含税总报价为基准），具体详见评分办法章节。</w:t>
            </w:r>
          </w:p>
        </w:tc>
      </w:tr>
      <w:tr w14:paraId="1F0D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16D6B1E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687" w:type="dxa"/>
            <w:vAlign w:val="center"/>
          </w:tcPr>
          <w:p w14:paraId="42E4EF2D">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284" w:type="dxa"/>
            <w:vAlign w:val="center"/>
          </w:tcPr>
          <w:p w14:paraId="0BA52C5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1BBFA7E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0F79D79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0034042F">
            <w:pPr>
              <w:spacing w:line="480" w:lineRule="exact"/>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r>
              <w:rPr>
                <w:rFonts w:hint="eastAsia" w:ascii="宋体" w:hAnsi="宋体" w:cs="宋体"/>
                <w:color w:val="auto"/>
                <w:highlight w:val="none"/>
              </w:rPr>
              <w:t xml:space="preserve"> </w:t>
            </w:r>
          </w:p>
        </w:tc>
      </w:tr>
      <w:tr w14:paraId="77DF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41BCB9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687" w:type="dxa"/>
            <w:vAlign w:val="center"/>
          </w:tcPr>
          <w:p w14:paraId="778D27B3">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284" w:type="dxa"/>
            <w:vAlign w:val="center"/>
          </w:tcPr>
          <w:p w14:paraId="79D0706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27D4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5ED9704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687" w:type="dxa"/>
            <w:vAlign w:val="center"/>
          </w:tcPr>
          <w:p w14:paraId="172306D2">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284" w:type="dxa"/>
            <w:vAlign w:val="center"/>
          </w:tcPr>
          <w:p w14:paraId="1CFD394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00C7D15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3BB6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332CC45E">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687" w:type="dxa"/>
            <w:vAlign w:val="center"/>
          </w:tcPr>
          <w:p w14:paraId="6E1D01CB">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284" w:type="dxa"/>
            <w:vAlign w:val="center"/>
          </w:tcPr>
          <w:p w14:paraId="6415D29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7A3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E7047FC">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687" w:type="dxa"/>
            <w:vAlign w:val="center"/>
          </w:tcPr>
          <w:p w14:paraId="4D9B2761">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284" w:type="dxa"/>
            <w:vAlign w:val="center"/>
          </w:tcPr>
          <w:p w14:paraId="4E7F4BFE">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03E081C3">
            <w:pPr>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242F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6534097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687" w:type="dxa"/>
            <w:vAlign w:val="center"/>
          </w:tcPr>
          <w:p w14:paraId="60BE7040">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284" w:type="dxa"/>
            <w:vAlign w:val="center"/>
          </w:tcPr>
          <w:p w14:paraId="349FA8D6">
            <w:pPr>
              <w:spacing w:line="480" w:lineRule="exact"/>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23F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069" w:type="dxa"/>
            <w:vAlign w:val="center"/>
          </w:tcPr>
          <w:p w14:paraId="53175E7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687" w:type="dxa"/>
            <w:vAlign w:val="center"/>
          </w:tcPr>
          <w:p w14:paraId="23ED3091">
            <w:pPr>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284" w:type="dxa"/>
            <w:vAlign w:val="center"/>
          </w:tcPr>
          <w:p w14:paraId="3BACF10D">
            <w:pPr>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p w14:paraId="3328901A">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中标人在收到中选通知书后的</w:t>
            </w:r>
            <w:r>
              <w:rPr>
                <w:rFonts w:hint="eastAsia" w:ascii="宋体" w:hAnsi="宋体" w:eastAsia="宋体"/>
                <w:b/>
                <w:bCs/>
                <w:color w:val="auto"/>
                <w:sz w:val="24"/>
                <w:szCs w:val="24"/>
                <w:highlight w:val="none"/>
                <w:u w:val="single"/>
                <w:lang w:val="en-US" w:eastAsia="zh-CN"/>
              </w:rPr>
              <w:t>/</w:t>
            </w:r>
            <w:r>
              <w:rPr>
                <w:rFonts w:hint="eastAsia" w:ascii="宋体" w:hAnsi="宋体" w:eastAsia="宋体"/>
                <w:b/>
                <w:bCs/>
                <w:color w:val="auto"/>
                <w:sz w:val="24"/>
                <w:szCs w:val="24"/>
                <w:highlight w:val="none"/>
                <w:u w:val="single"/>
              </w:rPr>
              <w:t>个日历天内</w:t>
            </w:r>
            <w:r>
              <w:rPr>
                <w:rFonts w:hint="eastAsia" w:ascii="宋体" w:hAnsi="宋体" w:eastAsia="宋体"/>
                <w:color w:val="auto"/>
                <w:sz w:val="24"/>
                <w:szCs w:val="24"/>
                <w:highlight w:val="none"/>
              </w:rPr>
              <w:t>且在签订合同前向比选人提交合同总价款即中选人含税总报价的</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w:t>
            </w:r>
            <w:r>
              <w:rPr>
                <w:rFonts w:hint="eastAsia" w:ascii="宋体" w:hAnsi="宋体" w:eastAsia="宋体"/>
                <w:b/>
                <w:bCs/>
                <w:color w:val="auto"/>
                <w:sz w:val="24"/>
                <w:szCs w:val="24"/>
                <w:highlight w:val="none"/>
                <w:u w:val="single"/>
              </w:rPr>
              <w:t xml:space="preserve"> </w:t>
            </w:r>
            <w:r>
              <w:rPr>
                <w:rFonts w:hint="eastAsia" w:ascii="宋体" w:hAnsi="宋体" w:eastAsia="宋体"/>
                <w:color w:val="auto"/>
                <w:sz w:val="24"/>
                <w:szCs w:val="24"/>
                <w:highlight w:val="none"/>
              </w:rPr>
              <w:t>作为履约保证金，否则比选人可以取消其中选资格。</w:t>
            </w:r>
          </w:p>
          <w:p w14:paraId="44199645">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履约担保的形式：银行转帐。</w:t>
            </w:r>
          </w:p>
          <w:p w14:paraId="2D31B60B">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比选人户名：</w:t>
            </w:r>
            <w:r>
              <w:rPr>
                <w:rFonts w:hint="eastAsia" w:ascii="宋体" w:hAnsi="宋体" w:eastAsia="宋体"/>
                <w:color w:val="auto"/>
                <w:sz w:val="24"/>
                <w:szCs w:val="24"/>
                <w:highlight w:val="none"/>
                <w:u w:val="single"/>
              </w:rPr>
              <w:t>南宁轨道地产建筑工程有限责任公司</w:t>
            </w:r>
          </w:p>
          <w:p w14:paraId="1D621544">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比选人帐户：</w:t>
            </w:r>
            <w:r>
              <w:rPr>
                <w:rFonts w:hint="eastAsia" w:ascii="宋体" w:hAnsi="宋体" w:eastAsia="宋体"/>
                <w:color w:val="auto"/>
                <w:sz w:val="24"/>
                <w:szCs w:val="24"/>
                <w:highlight w:val="none"/>
                <w:u w:val="single"/>
              </w:rPr>
              <w:t>45001604264050702251</w:t>
            </w:r>
          </w:p>
          <w:p w14:paraId="4597B12E">
            <w:pPr>
              <w:rPr>
                <w:rFonts w:ascii="宋体" w:hAnsi="宋体" w:eastAsia="宋体"/>
                <w:color w:val="auto"/>
                <w:sz w:val="24"/>
                <w:szCs w:val="24"/>
                <w:highlight w:val="none"/>
              </w:rPr>
            </w:pPr>
            <w:r>
              <w:rPr>
                <w:rFonts w:hint="eastAsia" w:ascii="宋体" w:hAnsi="宋体" w:eastAsia="宋体"/>
                <w:color w:val="auto"/>
                <w:sz w:val="24"/>
                <w:szCs w:val="24"/>
                <w:highlight w:val="none"/>
              </w:rPr>
              <w:t>比选人开户行：中国建设银行股份有限公司南宁金湖北路支行。</w:t>
            </w:r>
          </w:p>
          <w:p w14:paraId="20A7C4FC">
            <w:pPr>
              <w:tabs>
                <w:tab w:val="left" w:pos="1134"/>
                <w:tab w:val="left" w:pos="8364"/>
              </w:tabs>
              <w:rPr>
                <w:color w:val="auto"/>
                <w:highlight w:val="none"/>
              </w:rPr>
            </w:pPr>
            <w:r>
              <w:rPr>
                <w:rFonts w:hint="eastAsia" w:ascii="宋体" w:hAnsi="宋体" w:eastAsia="宋体"/>
                <w:color w:val="auto"/>
                <w:sz w:val="24"/>
                <w:szCs w:val="24"/>
                <w:highlight w:val="none"/>
              </w:rPr>
              <w:t>在合同执行过程中，履约担保金额应保持足额有效，不足时应当按照比选人的要求及时补足担保金额。</w:t>
            </w:r>
          </w:p>
        </w:tc>
      </w:tr>
      <w:tr w14:paraId="78F5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4CE069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687" w:type="dxa"/>
            <w:vAlign w:val="center"/>
          </w:tcPr>
          <w:p w14:paraId="5BB829E6">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284" w:type="dxa"/>
            <w:vAlign w:val="center"/>
          </w:tcPr>
          <w:p w14:paraId="1889072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42C7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69F6C8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687" w:type="dxa"/>
            <w:vAlign w:val="center"/>
          </w:tcPr>
          <w:p w14:paraId="6D05413C">
            <w:pPr>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284" w:type="dxa"/>
            <w:vAlign w:val="center"/>
          </w:tcPr>
          <w:p w14:paraId="1471236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17BA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7B78C9C">
            <w:pPr>
              <w:spacing w:line="480" w:lineRule="exact"/>
              <w:jc w:val="center"/>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16</w:t>
            </w:r>
          </w:p>
        </w:tc>
        <w:tc>
          <w:tcPr>
            <w:tcW w:w="1687" w:type="dxa"/>
            <w:vAlign w:val="center"/>
          </w:tcPr>
          <w:p w14:paraId="036CDD27">
            <w:pPr>
              <w:rPr>
                <w:rFonts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现场交底</w:t>
            </w:r>
          </w:p>
        </w:tc>
        <w:tc>
          <w:tcPr>
            <w:tcW w:w="8284" w:type="dxa"/>
            <w:vAlign w:val="center"/>
          </w:tcPr>
          <w:p w14:paraId="6CB32455">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双方签字确认的《现场交底确认单》（格式详见比选申请文件第一部分第5点）作为投标文件的其中一部分，提交文件时一并提供，否则按废标处理。</w:t>
            </w:r>
          </w:p>
          <w:p w14:paraId="263F076B">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6DB047DA">
            <w:pPr>
              <w:spacing w:line="480" w:lineRule="exact"/>
              <w:jc w:val="left"/>
              <w:rPr>
                <w:rFonts w:ascii="宋体" w:hAnsi="宋体" w:eastAsia="宋体" w:cstheme="minorBidi"/>
                <w:color w:val="auto"/>
                <w:kern w:val="2"/>
                <w:sz w:val="24"/>
                <w:szCs w:val="24"/>
                <w:highlight w:val="none"/>
                <w:u w:val="single"/>
                <w:lang w:val="en-US" w:eastAsia="zh-CN" w:bidi="ar-SA"/>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陆俊宜</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18776929548</w:t>
            </w:r>
            <w:r>
              <w:rPr>
                <w:rFonts w:hint="eastAsia" w:ascii="宋体" w:hAnsi="宋体" w:eastAsia="宋体"/>
                <w:color w:val="auto"/>
                <w:sz w:val="24"/>
                <w:szCs w:val="24"/>
                <w:highlight w:val="none"/>
                <w:u w:val="single"/>
              </w:rPr>
              <w:t>）。</w:t>
            </w:r>
          </w:p>
        </w:tc>
      </w:tr>
      <w:tr w14:paraId="1402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6DEB98C">
            <w:pPr>
              <w:spacing w:line="480" w:lineRule="exact"/>
              <w:jc w:val="center"/>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lang w:val="en-US" w:eastAsia="zh-CN"/>
              </w:rPr>
              <w:t>17</w:t>
            </w:r>
          </w:p>
        </w:tc>
        <w:tc>
          <w:tcPr>
            <w:tcW w:w="1687" w:type="dxa"/>
            <w:vAlign w:val="center"/>
          </w:tcPr>
          <w:p w14:paraId="4F032E1B">
            <w:pPr>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分包</w:t>
            </w:r>
          </w:p>
        </w:tc>
        <w:tc>
          <w:tcPr>
            <w:tcW w:w="8284" w:type="dxa"/>
            <w:vAlign w:val="center"/>
          </w:tcPr>
          <w:p w14:paraId="7AC65C1B">
            <w:pPr>
              <w:spacing w:line="480" w:lineRule="exact"/>
              <w:jc w:val="lef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不允许承包人再分包，禁止转包</w:t>
            </w:r>
          </w:p>
        </w:tc>
      </w:tr>
      <w:tr w14:paraId="5C72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92DE0D3">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18</w:t>
            </w:r>
          </w:p>
        </w:tc>
        <w:tc>
          <w:tcPr>
            <w:tcW w:w="1687" w:type="dxa"/>
            <w:vAlign w:val="center"/>
          </w:tcPr>
          <w:p w14:paraId="0FED44E1">
            <w:pPr>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284" w:type="dxa"/>
            <w:vAlign w:val="center"/>
          </w:tcPr>
          <w:p w14:paraId="6B82B52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2B42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2459739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19</w:t>
            </w:r>
          </w:p>
        </w:tc>
        <w:tc>
          <w:tcPr>
            <w:tcW w:w="1687" w:type="dxa"/>
            <w:vAlign w:val="center"/>
          </w:tcPr>
          <w:p w14:paraId="031E5680">
            <w:pPr>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284" w:type="dxa"/>
            <w:vAlign w:val="center"/>
          </w:tcPr>
          <w:p w14:paraId="3ECE17B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F5A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1069" w:type="dxa"/>
            <w:vAlign w:val="center"/>
          </w:tcPr>
          <w:p w14:paraId="73D5C7E6">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20</w:t>
            </w:r>
          </w:p>
        </w:tc>
        <w:tc>
          <w:tcPr>
            <w:tcW w:w="1687" w:type="dxa"/>
            <w:vAlign w:val="center"/>
          </w:tcPr>
          <w:p w14:paraId="30E43F3C">
            <w:pPr>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284" w:type="dxa"/>
            <w:vAlign w:val="center"/>
          </w:tcPr>
          <w:p w14:paraId="590FE0A8">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 xml:space="preserve">人数： </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 xml:space="preserve"> 。</w:t>
            </w:r>
          </w:p>
          <w:p w14:paraId="4B72AA0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p w14:paraId="7571ED64">
            <w:pPr>
              <w:rPr>
                <w:rFonts w:ascii="宋体" w:hAnsi="宋体" w:eastAsia="宋体"/>
                <w:color w:val="auto"/>
                <w:sz w:val="24"/>
                <w:szCs w:val="24"/>
                <w:highlight w:val="none"/>
              </w:rPr>
            </w:pPr>
          </w:p>
        </w:tc>
      </w:tr>
      <w:tr w14:paraId="3D12F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5D3CEF49">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21</w:t>
            </w:r>
          </w:p>
        </w:tc>
        <w:tc>
          <w:tcPr>
            <w:tcW w:w="1687" w:type="dxa"/>
            <w:vAlign w:val="center"/>
          </w:tcPr>
          <w:p w14:paraId="2A8590C4">
            <w:pPr>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284" w:type="dxa"/>
            <w:vAlign w:val="center"/>
          </w:tcPr>
          <w:p w14:paraId="1B7E38DB">
            <w:pPr>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第一、第二、第三</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36EA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069" w:type="dxa"/>
            <w:vAlign w:val="center"/>
          </w:tcPr>
          <w:p w14:paraId="1A6156EF">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22</w:t>
            </w:r>
          </w:p>
        </w:tc>
        <w:tc>
          <w:tcPr>
            <w:tcW w:w="1687" w:type="dxa"/>
            <w:vAlign w:val="center"/>
          </w:tcPr>
          <w:p w14:paraId="708537A5">
            <w:pPr>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284" w:type="dxa"/>
            <w:vAlign w:val="center"/>
          </w:tcPr>
          <w:p w14:paraId="53BFD6C7">
            <w:pPr>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1166EB0">
            <w:pPr>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130E8AC0">
            <w:pPr>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825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069" w:type="dxa"/>
            <w:vAlign w:val="center"/>
          </w:tcPr>
          <w:p w14:paraId="7207CD7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23</w:t>
            </w:r>
          </w:p>
        </w:tc>
        <w:tc>
          <w:tcPr>
            <w:tcW w:w="1687" w:type="dxa"/>
            <w:vAlign w:val="center"/>
          </w:tcPr>
          <w:p w14:paraId="5D9F0D34">
            <w:pPr>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284" w:type="dxa"/>
            <w:vAlign w:val="center"/>
          </w:tcPr>
          <w:p w14:paraId="47C864FB">
            <w:pPr>
              <w:ind w:firstLine="482"/>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6F9DF927">
            <w:pPr>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338F462">
            <w:pPr>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73787E7">
            <w:pPr>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CD7B03E">
            <w:pPr>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1F6BBC09">
            <w:pPr>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1C25BE13">
            <w:pPr>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9C96981">
            <w:pPr>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1C6C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CE7F13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24</w:t>
            </w:r>
          </w:p>
        </w:tc>
        <w:tc>
          <w:tcPr>
            <w:tcW w:w="1687" w:type="dxa"/>
            <w:vAlign w:val="center"/>
          </w:tcPr>
          <w:p w14:paraId="3C68FBE4">
            <w:pPr>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284" w:type="dxa"/>
            <w:vAlign w:val="center"/>
          </w:tcPr>
          <w:p w14:paraId="25BF72E9">
            <w:pPr>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3C8421F8">
            <w:pPr>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54421FB">
            <w:pPr>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0F3F8314">
            <w:pPr>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6BDCF35F">
            <w:pPr>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05DF8705">
            <w:pPr>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480E803">
            <w:pPr>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62354DA">
            <w:pPr>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A7E39D4">
            <w:pPr>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7217D69">
            <w:pPr>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DA28D59">
            <w:pPr>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1A3CD8D1">
            <w:pPr>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4E6ABD57">
            <w:pPr>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81962BB">
            <w:pPr>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ascii="宋体" w:hAnsi="宋体" w:eastAsia="宋体"/>
          <w:color w:val="auto"/>
          <w:sz w:val="24"/>
          <w:szCs w:val="24"/>
          <w:highlight w:val="none"/>
        </w:rPr>
        <w:br w:type="page"/>
      </w:r>
      <w:r>
        <w:rPr>
          <w:rFonts w:hint="eastAsia" w:ascii="宋体" w:hAnsi="宋体" w:eastAsia="宋体"/>
          <w:b/>
          <w:bCs/>
          <w:color w:val="auto"/>
          <w:sz w:val="24"/>
          <w:szCs w:val="24"/>
          <w:highlight w:val="none"/>
        </w:rPr>
        <w:t>二、须知说明</w:t>
      </w:r>
    </w:p>
    <w:p w14:paraId="13F9C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90098421"/>
      <w:bookmarkStart w:id="1" w:name="_Toc375039066"/>
      <w:bookmarkStart w:id="2" w:name="_Toc385427795"/>
      <w:bookmarkStart w:id="3" w:name="_Toc383891170"/>
      <w:bookmarkStart w:id="4" w:name="_Toc492478720"/>
      <w:bookmarkStart w:id="5" w:name="_Toc22845"/>
      <w:bookmarkStart w:id="6" w:name="_Toc307"/>
      <w:bookmarkStart w:id="7" w:name="_Toc25750593"/>
      <w:bookmarkStart w:id="8" w:name="_Toc8288"/>
      <w:bookmarkStart w:id="9" w:name="_Toc9929"/>
      <w:bookmarkStart w:id="10" w:name="_Toc10653"/>
      <w:bookmarkStart w:id="11" w:name="_Toc17568"/>
      <w:bookmarkStart w:id="12" w:name="_Toc12940"/>
      <w:bookmarkStart w:id="13" w:name="_Toc7797"/>
      <w:bookmarkStart w:id="14" w:name="_Toc7306"/>
      <w:bookmarkStart w:id="15" w:name="_Toc12983507"/>
      <w:bookmarkStart w:id="16" w:name="_Toc22115"/>
      <w:bookmarkStart w:id="17" w:name="_Toc114134610"/>
      <w:bookmarkStart w:id="18" w:name="_Toc30498"/>
      <w:bookmarkStart w:id="19" w:name="_Toc25786"/>
      <w:bookmarkStart w:id="20" w:name="_Toc31477"/>
      <w:bookmarkStart w:id="21" w:name="_Toc17075"/>
      <w:bookmarkStart w:id="22" w:name="_Toc29401"/>
      <w:bookmarkStart w:id="23" w:name="_Toc29859"/>
      <w:bookmarkStart w:id="24" w:name="_Toc24844"/>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12456"/>
      <w:bookmarkStart w:id="26" w:name="_Toc25750600"/>
      <w:bookmarkStart w:id="27" w:name="_Toc383891177"/>
      <w:bookmarkStart w:id="28" w:name="_Toc492478727"/>
      <w:bookmarkStart w:id="29" w:name="_Toc2819"/>
      <w:bookmarkStart w:id="30" w:name="_Toc390098428"/>
      <w:bookmarkStart w:id="31" w:name="_Toc23794"/>
      <w:bookmarkStart w:id="32" w:name="_Toc29862"/>
      <w:bookmarkStart w:id="33" w:name="_Toc11259"/>
      <w:bookmarkStart w:id="34" w:name="_Toc16435"/>
      <w:bookmarkStart w:id="35" w:name="_Toc385427802"/>
      <w:bookmarkStart w:id="36" w:name="_Toc114134617"/>
      <w:bookmarkStart w:id="37" w:name="_Toc4384"/>
      <w:bookmarkStart w:id="38" w:name="_Toc26680"/>
      <w:bookmarkStart w:id="39" w:name="_Toc13418"/>
      <w:bookmarkStart w:id="40" w:name="_Toc18350"/>
      <w:bookmarkStart w:id="41" w:name="_Toc12074"/>
      <w:bookmarkStart w:id="42" w:name="_Toc21673"/>
      <w:bookmarkStart w:id="43" w:name="_Toc9592"/>
      <w:bookmarkStart w:id="44" w:name="_Toc26150"/>
      <w:bookmarkStart w:id="45" w:name="_Toc375039073"/>
      <w:bookmarkStart w:id="46" w:name="_Toc20025"/>
      <w:bookmarkStart w:id="47" w:name="_Toc1733"/>
      <w:bookmarkStart w:id="48" w:name="_Toc12983514"/>
      <w:bookmarkStart w:id="49" w:name="_Toc16186"/>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19885"/>
      <w:bookmarkStart w:id="51" w:name="_Toc28065"/>
      <w:bookmarkStart w:id="52" w:name="_Toc12983515"/>
      <w:bookmarkStart w:id="53" w:name="_Toc385427803"/>
      <w:bookmarkStart w:id="54" w:name="_Toc25750601"/>
      <w:bookmarkStart w:id="55" w:name="_Toc15570"/>
      <w:bookmarkStart w:id="56" w:name="_Toc114134618"/>
      <w:bookmarkStart w:id="57" w:name="_Toc375039074"/>
      <w:bookmarkStart w:id="58" w:name="_Toc390098429"/>
      <w:bookmarkStart w:id="59" w:name="_Toc11040"/>
      <w:bookmarkStart w:id="60" w:name="_Toc3492"/>
      <w:bookmarkStart w:id="61" w:name="_Toc6261"/>
      <w:bookmarkStart w:id="62" w:name="_Toc11161"/>
      <w:bookmarkStart w:id="63" w:name="_Toc22026"/>
      <w:bookmarkStart w:id="64" w:name="_Toc383891178"/>
      <w:bookmarkStart w:id="65" w:name="_Toc9887"/>
      <w:bookmarkStart w:id="66" w:name="_Toc24935"/>
      <w:bookmarkStart w:id="67" w:name="_Toc12207"/>
      <w:bookmarkStart w:id="68" w:name="_Toc492478728"/>
      <w:bookmarkStart w:id="69" w:name="_Toc28296"/>
      <w:bookmarkStart w:id="70" w:name="_Toc25770"/>
      <w:bookmarkStart w:id="71" w:name="_Toc26753"/>
      <w:bookmarkStart w:id="72" w:name="_Toc24857"/>
      <w:bookmarkStart w:id="73" w:name="_Toc1047"/>
      <w:bookmarkStart w:id="74" w:name="_Toc16237"/>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14323"/>
      <w:bookmarkStart w:id="76" w:name="_Toc3877"/>
      <w:bookmarkStart w:id="77" w:name="_Toc385427804"/>
      <w:bookmarkStart w:id="78" w:name="_Toc3464"/>
      <w:bookmarkStart w:id="79" w:name="_Toc53"/>
      <w:bookmarkStart w:id="80" w:name="_Toc24760"/>
      <w:bookmarkStart w:id="81" w:name="_Toc492478729"/>
      <w:bookmarkStart w:id="82" w:name="_Toc114134619"/>
      <w:bookmarkStart w:id="83" w:name="_Toc3411"/>
      <w:bookmarkStart w:id="84" w:name="_Toc23229"/>
      <w:bookmarkStart w:id="85" w:name="_Toc15809"/>
      <w:bookmarkStart w:id="86" w:name="_Toc25750602"/>
      <w:bookmarkStart w:id="87" w:name="_Toc390098430"/>
      <w:bookmarkStart w:id="88" w:name="_Toc18149"/>
      <w:bookmarkStart w:id="89" w:name="_Toc375039075"/>
      <w:bookmarkStart w:id="90" w:name="_Toc29881"/>
      <w:bookmarkStart w:id="91" w:name="_Toc30991"/>
      <w:bookmarkStart w:id="92" w:name="_Toc23364"/>
      <w:bookmarkStart w:id="93" w:name="_Toc22476"/>
      <w:bookmarkStart w:id="94" w:name="_Toc383891179"/>
      <w:bookmarkStart w:id="95" w:name="_Toc30356"/>
      <w:bookmarkStart w:id="96" w:name="_Toc12983516"/>
      <w:bookmarkStart w:id="97" w:name="_Toc16307"/>
      <w:bookmarkStart w:id="98" w:name="_Toc28164"/>
      <w:bookmarkStart w:id="99" w:name="_Toc19681"/>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20490"/>
      <w:bookmarkStart w:id="101" w:name="_Toc492478730"/>
      <w:bookmarkStart w:id="102" w:name="_Toc375039076"/>
      <w:bookmarkStart w:id="103" w:name="_Toc20248"/>
      <w:bookmarkStart w:id="104" w:name="_Toc14308"/>
      <w:bookmarkStart w:id="105" w:name="_Toc11211"/>
      <w:bookmarkStart w:id="106" w:name="_Toc2395"/>
      <w:bookmarkStart w:id="107" w:name="_Toc16783"/>
      <w:bookmarkStart w:id="108" w:name="_Toc21144"/>
      <w:bookmarkStart w:id="109" w:name="_Toc114134620"/>
      <w:bookmarkStart w:id="110" w:name="_Toc15448"/>
      <w:bookmarkStart w:id="111" w:name="_Toc12983517"/>
      <w:bookmarkStart w:id="112" w:name="_Toc23002"/>
      <w:bookmarkStart w:id="113" w:name="_Toc383891180"/>
      <w:bookmarkStart w:id="114" w:name="_Toc27194"/>
      <w:bookmarkStart w:id="115" w:name="_Toc675"/>
      <w:bookmarkStart w:id="116" w:name="_Toc385427805"/>
      <w:bookmarkStart w:id="117" w:name="_Toc8151"/>
      <w:bookmarkStart w:id="118" w:name="_Toc15919"/>
      <w:bookmarkStart w:id="119" w:name="_Toc25750603"/>
      <w:bookmarkStart w:id="120" w:name="_Toc27019"/>
      <w:bookmarkStart w:id="121" w:name="_Toc14630"/>
      <w:bookmarkStart w:id="122" w:name="_Toc7608"/>
      <w:bookmarkStart w:id="123" w:name="_Toc390098431"/>
      <w:bookmarkStart w:id="124" w:name="_Toc3670"/>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7857"/>
      <w:bookmarkStart w:id="126" w:name="_Toc20685"/>
      <w:bookmarkStart w:id="127" w:name="_Toc14123"/>
      <w:bookmarkStart w:id="128" w:name="_Toc114134621"/>
      <w:bookmarkStart w:id="129" w:name="_Toc375039077"/>
      <w:bookmarkStart w:id="130" w:name="_Toc3813"/>
      <w:bookmarkStart w:id="131" w:name="_Toc22295"/>
      <w:bookmarkStart w:id="132" w:name="_Toc9416"/>
      <w:bookmarkStart w:id="133" w:name="_Toc17526"/>
      <w:bookmarkStart w:id="134" w:name="_Toc385427806"/>
      <w:bookmarkStart w:id="135" w:name="_Toc3799"/>
      <w:bookmarkStart w:id="136" w:name="_Toc16653"/>
      <w:bookmarkStart w:id="137" w:name="_Toc6671"/>
      <w:bookmarkStart w:id="138" w:name="_Toc31743"/>
      <w:bookmarkStart w:id="139" w:name="_Toc21084"/>
      <w:bookmarkStart w:id="140" w:name="_Toc17379"/>
      <w:bookmarkStart w:id="141" w:name="_Toc24264"/>
      <w:bookmarkStart w:id="142" w:name="_Toc26974"/>
      <w:bookmarkStart w:id="143" w:name="_Toc383891181"/>
      <w:bookmarkStart w:id="144" w:name="_Toc26482"/>
      <w:bookmarkStart w:id="145" w:name="_Toc390098432"/>
      <w:bookmarkStart w:id="146" w:name="_Toc12983518"/>
      <w:bookmarkStart w:id="147" w:name="_Toc17338"/>
      <w:bookmarkStart w:id="148" w:name="_Toc25750604"/>
      <w:bookmarkStart w:id="149" w:name="_Toc492478731"/>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20156"/>
      <w:bookmarkStart w:id="151" w:name="_Toc21430"/>
      <w:bookmarkStart w:id="152" w:name="_Toc25459"/>
      <w:bookmarkStart w:id="153" w:name="_Toc375039078"/>
      <w:bookmarkStart w:id="154" w:name="_Toc28880"/>
      <w:bookmarkStart w:id="155" w:name="_Toc12762"/>
      <w:bookmarkStart w:id="156" w:name="_Toc15940"/>
      <w:bookmarkStart w:id="157" w:name="_Toc25750605"/>
      <w:bookmarkStart w:id="158" w:name="_Toc383891182"/>
      <w:bookmarkStart w:id="159" w:name="_Toc21706"/>
      <w:bookmarkStart w:id="160" w:name="_Toc26064"/>
      <w:bookmarkStart w:id="161" w:name="_Toc12983519"/>
      <w:bookmarkStart w:id="162" w:name="_Toc12947"/>
      <w:bookmarkStart w:id="163" w:name="_Toc28476"/>
      <w:bookmarkStart w:id="164" w:name="_Toc390098433"/>
      <w:bookmarkStart w:id="165" w:name="_Toc21448"/>
      <w:bookmarkStart w:id="166" w:name="_Toc114134622"/>
      <w:bookmarkStart w:id="167" w:name="_Toc385427807"/>
      <w:bookmarkStart w:id="168" w:name="_Toc10220"/>
      <w:bookmarkStart w:id="169" w:name="_Toc1664"/>
      <w:bookmarkStart w:id="170" w:name="_Toc492478732"/>
      <w:bookmarkStart w:id="171" w:name="_Toc2710"/>
      <w:bookmarkStart w:id="172" w:name="_Toc5836"/>
      <w:bookmarkStart w:id="173" w:name="_Toc7428"/>
      <w:bookmarkStart w:id="174" w:name="_Toc18875"/>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845"/>
      <w:bookmarkStart w:id="176" w:name="_Toc25750607"/>
      <w:bookmarkStart w:id="177" w:name="_Toc20643"/>
      <w:bookmarkStart w:id="178" w:name="_Toc375039082"/>
      <w:bookmarkStart w:id="179" w:name="_Toc20070"/>
      <w:bookmarkStart w:id="180" w:name="_Toc23114"/>
      <w:bookmarkStart w:id="181" w:name="_Toc24656"/>
      <w:bookmarkStart w:id="182" w:name="_Toc383891186"/>
      <w:bookmarkStart w:id="183" w:name="_Toc114134624"/>
      <w:bookmarkStart w:id="184" w:name="_Toc691"/>
      <w:bookmarkStart w:id="185" w:name="_Toc10918"/>
      <w:bookmarkStart w:id="186" w:name="_Toc28555"/>
      <w:bookmarkStart w:id="187" w:name="_Toc9117"/>
      <w:bookmarkStart w:id="188" w:name="_Toc385427811"/>
      <w:bookmarkStart w:id="189" w:name="_Toc20493"/>
      <w:bookmarkStart w:id="190" w:name="_Toc30499"/>
      <w:bookmarkStart w:id="191" w:name="_Toc492478736"/>
      <w:bookmarkStart w:id="192" w:name="_Toc4433"/>
      <w:bookmarkStart w:id="193" w:name="_Toc2268"/>
      <w:bookmarkStart w:id="194" w:name="_Toc5690"/>
      <w:bookmarkStart w:id="195" w:name="_Toc390098437"/>
      <w:bookmarkStart w:id="196" w:name="_Toc7808"/>
      <w:bookmarkStart w:id="197" w:name="_Toc28997"/>
      <w:bookmarkStart w:id="198" w:name="_Toc1604"/>
      <w:bookmarkStart w:id="199" w:name="_Toc12983521"/>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385427812"/>
      <w:bookmarkStart w:id="201" w:name="_Toc4216"/>
      <w:bookmarkStart w:id="202" w:name="_Toc12435"/>
      <w:bookmarkStart w:id="203" w:name="_Toc32525"/>
      <w:bookmarkStart w:id="204" w:name="_Toc19044"/>
      <w:bookmarkStart w:id="205" w:name="_Toc12983522"/>
      <w:bookmarkStart w:id="206" w:name="_Toc390098438"/>
      <w:bookmarkStart w:id="207" w:name="_Toc25684"/>
      <w:bookmarkStart w:id="208" w:name="_Toc29108"/>
      <w:bookmarkStart w:id="209" w:name="_Toc27730"/>
      <w:bookmarkStart w:id="210" w:name="_Toc19603"/>
      <w:bookmarkStart w:id="211" w:name="_Toc24922"/>
      <w:bookmarkStart w:id="212" w:name="_Toc301"/>
      <w:bookmarkStart w:id="213" w:name="_Toc25468"/>
      <w:bookmarkStart w:id="214" w:name="_Toc8100"/>
      <w:bookmarkStart w:id="215" w:name="_Toc6065"/>
      <w:bookmarkStart w:id="216" w:name="_Toc375039083"/>
      <w:bookmarkStart w:id="217" w:name="_Toc14672"/>
      <w:bookmarkStart w:id="218" w:name="_Toc32020"/>
      <w:bookmarkStart w:id="219" w:name="_Toc3414"/>
      <w:bookmarkStart w:id="220" w:name="_Toc12506"/>
      <w:bookmarkStart w:id="221" w:name="_Toc383891187"/>
      <w:bookmarkStart w:id="222" w:name="_Toc492478737"/>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90098439"/>
      <w:bookmarkStart w:id="224" w:name="_Toc383891188"/>
      <w:bookmarkStart w:id="225" w:name="_Toc385427813"/>
      <w:bookmarkStart w:id="226" w:name="_Toc375039084"/>
      <w:bookmarkStart w:id="227" w:name="_Toc759"/>
      <w:bookmarkStart w:id="228" w:name="_Toc2113"/>
      <w:bookmarkStart w:id="229" w:name="_Toc30452"/>
      <w:bookmarkStart w:id="230" w:name="_Toc12983523"/>
      <w:bookmarkStart w:id="231" w:name="_Toc15116"/>
      <w:bookmarkStart w:id="232" w:name="_Toc1952"/>
      <w:bookmarkStart w:id="233" w:name="_Toc6101"/>
      <w:bookmarkStart w:id="234" w:name="_Toc16409"/>
      <w:bookmarkStart w:id="235" w:name="_Toc30187"/>
      <w:bookmarkStart w:id="236" w:name="_Toc32054"/>
      <w:bookmarkStart w:id="237" w:name="_Toc26776"/>
      <w:bookmarkStart w:id="238" w:name="_Toc26551"/>
      <w:bookmarkStart w:id="239" w:name="_Toc492478738"/>
      <w:bookmarkStart w:id="240" w:name="_Toc30962"/>
      <w:bookmarkStart w:id="241" w:name="_Toc23177"/>
      <w:bookmarkStart w:id="242" w:name="_Toc10234"/>
      <w:bookmarkStart w:id="243" w:name="_Toc114134625"/>
      <w:bookmarkStart w:id="244" w:name="_Toc2975"/>
      <w:bookmarkStart w:id="245" w:name="_Toc18322"/>
      <w:bookmarkStart w:id="246" w:name="_Toc1315"/>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3829"/>
      <w:bookmarkStart w:id="248" w:name="_Toc19495"/>
      <w:bookmarkStart w:id="249" w:name="_Toc15735"/>
      <w:bookmarkStart w:id="250" w:name="_Toc15650"/>
      <w:bookmarkStart w:id="251" w:name="_Toc114134626"/>
      <w:bookmarkStart w:id="252" w:name="_Toc15071"/>
      <w:bookmarkStart w:id="253" w:name="_Toc492478739"/>
      <w:bookmarkStart w:id="254" w:name="_Toc26249"/>
      <w:bookmarkStart w:id="255" w:name="_Toc15663"/>
      <w:bookmarkStart w:id="256" w:name="_Toc30196"/>
      <w:bookmarkStart w:id="257" w:name="_Toc385427814"/>
      <w:bookmarkStart w:id="258" w:name="_Toc383891189"/>
      <w:bookmarkStart w:id="259" w:name="_Toc375039085"/>
      <w:bookmarkStart w:id="260" w:name="_Toc13875"/>
      <w:bookmarkStart w:id="261" w:name="_Toc12329"/>
      <w:bookmarkStart w:id="262" w:name="_Toc390098440"/>
      <w:bookmarkStart w:id="263" w:name="_Toc25750609"/>
      <w:bookmarkStart w:id="264" w:name="_Toc12983524"/>
      <w:bookmarkStart w:id="265" w:name="_Toc24648"/>
      <w:bookmarkStart w:id="266" w:name="_Toc17200"/>
      <w:bookmarkStart w:id="267" w:name="_Toc18616"/>
      <w:bookmarkStart w:id="268" w:name="_Toc13621"/>
      <w:bookmarkStart w:id="269" w:name="_Toc12117"/>
      <w:bookmarkStart w:id="270" w:name="_Toc5922"/>
      <w:bookmarkStart w:id="271" w:name="_Toc9307"/>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3891190"/>
      <w:bookmarkStart w:id="273" w:name="_Toc390098441"/>
      <w:bookmarkStart w:id="274" w:name="_Toc385427815"/>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25750610"/>
      <w:bookmarkStart w:id="277" w:name="_Toc13883"/>
      <w:bookmarkStart w:id="278" w:name="_Toc22445"/>
      <w:bookmarkStart w:id="279" w:name="_Toc642"/>
      <w:bookmarkStart w:id="280" w:name="_Toc2337"/>
      <w:bookmarkStart w:id="281" w:name="_Toc11039"/>
      <w:bookmarkStart w:id="282" w:name="_Toc492478740"/>
      <w:bookmarkStart w:id="283" w:name="_Toc6482"/>
      <w:bookmarkStart w:id="284" w:name="_Toc114134627"/>
      <w:bookmarkStart w:id="285" w:name="_Toc32760"/>
      <w:bookmarkStart w:id="286" w:name="_Toc4735"/>
      <w:bookmarkStart w:id="287" w:name="_Toc23859"/>
      <w:bookmarkStart w:id="288" w:name="_Toc16755"/>
      <w:bookmarkStart w:id="289" w:name="_Toc12983525"/>
      <w:bookmarkStart w:id="290" w:name="_Toc28071"/>
      <w:bookmarkStart w:id="291" w:name="_Toc16266"/>
      <w:bookmarkStart w:id="292" w:name="_Toc22180"/>
      <w:bookmarkStart w:id="293" w:name="_Toc11255"/>
      <w:bookmarkStart w:id="294" w:name="_Toc11096"/>
      <w:bookmarkStart w:id="295" w:name="_Toc16818"/>
      <w:bookmarkStart w:id="296" w:name="_Toc6339"/>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21960"/>
      <w:bookmarkStart w:id="298" w:name="_Toc29473"/>
      <w:bookmarkStart w:id="299" w:name="_Toc375039087"/>
      <w:bookmarkStart w:id="300" w:name="_Toc29066"/>
      <w:bookmarkStart w:id="301" w:name="_Toc2226"/>
      <w:bookmarkStart w:id="302" w:name="_Toc114134628"/>
      <w:bookmarkStart w:id="303" w:name="_Toc3597"/>
      <w:bookmarkStart w:id="304" w:name="_Toc324"/>
      <w:bookmarkStart w:id="305" w:name="_Toc383891191"/>
      <w:bookmarkStart w:id="306" w:name="_Toc14239"/>
      <w:bookmarkStart w:id="307" w:name="_Toc13581"/>
      <w:bookmarkStart w:id="308" w:name="_Toc22945"/>
      <w:bookmarkStart w:id="309" w:name="_Toc32621"/>
      <w:bookmarkStart w:id="310" w:name="_Toc492478741"/>
      <w:bookmarkStart w:id="311" w:name="_Toc23404"/>
      <w:bookmarkStart w:id="312" w:name="_Toc390098442"/>
      <w:bookmarkStart w:id="313" w:name="_Toc32252"/>
      <w:bookmarkStart w:id="314" w:name="_Toc25750611"/>
      <w:bookmarkStart w:id="315" w:name="_Toc11373"/>
      <w:bookmarkStart w:id="316" w:name="_Toc10818"/>
      <w:bookmarkStart w:id="317" w:name="_Toc9522"/>
      <w:bookmarkStart w:id="318" w:name="_Toc15252"/>
      <w:bookmarkStart w:id="319" w:name="_Toc385427816"/>
      <w:bookmarkStart w:id="320" w:name="_Toc26431"/>
      <w:bookmarkStart w:id="321" w:name="_Toc12983526"/>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14522"/>
      <w:bookmarkStart w:id="323" w:name="_Toc375039088"/>
      <w:bookmarkStart w:id="324" w:name="_Toc26282"/>
      <w:bookmarkStart w:id="325" w:name="_Toc28452"/>
      <w:bookmarkStart w:id="326" w:name="_Toc243"/>
      <w:bookmarkStart w:id="327" w:name="_Toc17797"/>
      <w:bookmarkStart w:id="328" w:name="_Toc385427817"/>
      <w:bookmarkStart w:id="329" w:name="_Toc8636"/>
      <w:bookmarkStart w:id="330" w:name="_Toc25427"/>
      <w:bookmarkStart w:id="331" w:name="_Toc24030"/>
      <w:bookmarkStart w:id="332" w:name="_Toc23449"/>
      <w:bookmarkStart w:id="333" w:name="_Toc31033"/>
      <w:bookmarkStart w:id="334" w:name="_Toc4605"/>
      <w:bookmarkStart w:id="335" w:name="_Toc21796"/>
      <w:bookmarkStart w:id="336" w:name="_Toc9706"/>
      <w:bookmarkStart w:id="337" w:name="_Toc29208"/>
      <w:bookmarkStart w:id="338" w:name="_Toc390098443"/>
      <w:bookmarkStart w:id="339" w:name="_Toc27195"/>
      <w:bookmarkStart w:id="340" w:name="_Toc14411"/>
      <w:bookmarkStart w:id="341" w:name="_Toc114134629"/>
      <w:bookmarkStart w:id="342" w:name="_Toc492478742"/>
      <w:bookmarkStart w:id="343" w:name="_Toc25750612"/>
      <w:bookmarkStart w:id="344" w:name="_Toc12682"/>
      <w:bookmarkStart w:id="345" w:name="_Toc383891192"/>
      <w:bookmarkStart w:id="346" w:name="_Toc1298352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25433"/>
      <w:bookmarkStart w:id="348" w:name="_Toc2306"/>
      <w:bookmarkStart w:id="349" w:name="_Toc31978"/>
      <w:bookmarkStart w:id="350" w:name="_Toc12983528"/>
      <w:bookmarkStart w:id="351" w:name="_Toc5592"/>
      <w:bookmarkStart w:id="352" w:name="_Toc3006"/>
      <w:bookmarkStart w:id="353" w:name="_Toc4291"/>
      <w:bookmarkStart w:id="354" w:name="_Toc375039089"/>
      <w:bookmarkStart w:id="355" w:name="_Toc383891193"/>
      <w:bookmarkStart w:id="356" w:name="_Toc29264"/>
      <w:bookmarkStart w:id="357" w:name="_Toc9728"/>
      <w:bookmarkStart w:id="358" w:name="_Toc10325"/>
      <w:bookmarkStart w:id="359" w:name="_Toc492478743"/>
      <w:bookmarkStart w:id="360" w:name="_Toc16856"/>
      <w:bookmarkStart w:id="361" w:name="_Toc390098444"/>
      <w:bookmarkStart w:id="362" w:name="_Toc22587"/>
      <w:bookmarkStart w:id="363" w:name="_Toc12182"/>
      <w:bookmarkStart w:id="364" w:name="_Toc28694"/>
      <w:bookmarkStart w:id="365" w:name="_Toc24485"/>
      <w:bookmarkStart w:id="366" w:name="_Toc18076"/>
      <w:bookmarkStart w:id="367" w:name="_Toc9549"/>
      <w:bookmarkStart w:id="368" w:name="_Toc385427818"/>
      <w:bookmarkStart w:id="369" w:name="_Toc11529"/>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9309"/>
      <w:bookmarkStart w:id="372" w:name="_Toc25116"/>
      <w:bookmarkStart w:id="373" w:name="_Toc9264"/>
      <w:bookmarkStart w:id="374" w:name="_Toc385427819"/>
      <w:bookmarkStart w:id="375" w:name="_Toc492478744"/>
      <w:bookmarkStart w:id="376" w:name="_Toc375039090"/>
      <w:bookmarkStart w:id="377" w:name="_Toc4674"/>
      <w:bookmarkStart w:id="378" w:name="_Toc6839"/>
      <w:bookmarkStart w:id="379" w:name="_Toc4825"/>
      <w:bookmarkStart w:id="380" w:name="_Toc4365"/>
      <w:bookmarkStart w:id="381" w:name="_Toc18919"/>
      <w:bookmarkStart w:id="382" w:name="_Toc10292"/>
      <w:bookmarkStart w:id="383" w:name="_Toc10883"/>
      <w:bookmarkStart w:id="384" w:name="_Toc12983529"/>
      <w:bookmarkStart w:id="385" w:name="_Toc5182"/>
      <w:bookmarkStart w:id="386" w:name="_Toc6974"/>
      <w:bookmarkStart w:id="387" w:name="_Toc895"/>
      <w:bookmarkStart w:id="388" w:name="_Toc24196"/>
      <w:bookmarkStart w:id="389" w:name="_Toc6377"/>
      <w:bookmarkStart w:id="390" w:name="_Toc4638"/>
      <w:bookmarkStart w:id="391" w:name="_Toc390098445"/>
      <w:bookmarkStart w:id="392" w:name="_Toc383891194"/>
      <w:bookmarkStart w:id="393" w:name="_Toc23705"/>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90098446"/>
      <w:bookmarkStart w:id="397" w:name="_Toc385427820"/>
      <w:bookmarkStart w:id="398" w:name="_Toc383891195"/>
      <w:bookmarkStart w:id="399" w:name="_Toc375039091"/>
      <w:bookmarkStart w:id="400" w:name="_Toc114134632"/>
      <w:bookmarkStart w:id="401" w:name="_Toc16601"/>
      <w:bookmarkStart w:id="402" w:name="_Toc11263"/>
      <w:bookmarkStart w:id="403" w:name="_Toc9391"/>
      <w:bookmarkStart w:id="404" w:name="_Toc21819"/>
      <w:bookmarkStart w:id="405" w:name="_Toc25270"/>
      <w:bookmarkStart w:id="406" w:name="_Toc25750615"/>
      <w:bookmarkStart w:id="407" w:name="_Toc492478745"/>
      <w:bookmarkStart w:id="408" w:name="_Toc23699"/>
      <w:bookmarkStart w:id="409" w:name="_Toc24630"/>
      <w:bookmarkStart w:id="410" w:name="_Toc13202"/>
      <w:bookmarkStart w:id="411" w:name="_Toc12983530"/>
      <w:bookmarkStart w:id="412" w:name="_Toc5267"/>
      <w:bookmarkStart w:id="413" w:name="_Toc27636"/>
      <w:bookmarkStart w:id="414" w:name="_Toc1920"/>
      <w:bookmarkStart w:id="415" w:name="_Toc16068"/>
      <w:bookmarkStart w:id="416" w:name="_Toc15466"/>
      <w:bookmarkStart w:id="417" w:name="_Toc17785"/>
      <w:bookmarkStart w:id="418" w:name="_Toc24687"/>
      <w:bookmarkStart w:id="419" w:name="_Toc30671"/>
      <w:bookmarkStart w:id="420" w:name="_Toc11013"/>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2983531"/>
      <w:bookmarkStart w:id="423" w:name="_Toc14719"/>
      <w:bookmarkStart w:id="424" w:name="_Toc114134633"/>
      <w:bookmarkStart w:id="425" w:name="_Toc27570"/>
      <w:bookmarkStart w:id="426" w:name="_Toc18803"/>
      <w:bookmarkStart w:id="427" w:name="_Toc492478746"/>
      <w:bookmarkStart w:id="428" w:name="_Toc1456"/>
      <w:bookmarkStart w:id="429" w:name="_Toc25750616"/>
      <w:bookmarkStart w:id="430" w:name="_Toc29929"/>
      <w:bookmarkStart w:id="431" w:name="_Toc375039093"/>
      <w:bookmarkStart w:id="432" w:name="_Toc13421"/>
      <w:bookmarkStart w:id="433" w:name="_Toc25047"/>
      <w:bookmarkStart w:id="434" w:name="_Toc17980"/>
      <w:bookmarkStart w:id="435" w:name="_Toc8295"/>
      <w:bookmarkStart w:id="436" w:name="_Toc15"/>
      <w:bookmarkStart w:id="437" w:name="_Toc390098447"/>
      <w:bookmarkStart w:id="438" w:name="_Toc26137"/>
      <w:bookmarkStart w:id="439" w:name="_Toc5386"/>
      <w:bookmarkStart w:id="440" w:name="_Toc833"/>
      <w:bookmarkStart w:id="441" w:name="_Toc16072"/>
      <w:bookmarkStart w:id="442" w:name="_Toc11716"/>
      <w:bookmarkStart w:id="443" w:name="_Toc18063"/>
      <w:bookmarkStart w:id="444" w:name="_Toc383891196"/>
      <w:bookmarkStart w:id="445" w:name="_Toc385427821"/>
      <w:bookmarkStart w:id="446" w:name="_Toc24755"/>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12909"/>
      <w:bookmarkStart w:id="448" w:name="_Toc16963"/>
      <w:bookmarkStart w:id="449" w:name="_Toc114134634"/>
      <w:bookmarkStart w:id="450" w:name="_Toc7858"/>
      <w:bookmarkStart w:id="451" w:name="_Toc25750617"/>
      <w:bookmarkStart w:id="452" w:name="_Toc12960"/>
      <w:bookmarkStart w:id="453" w:name="_Toc15988"/>
      <w:bookmarkStart w:id="454" w:name="_Toc12555"/>
      <w:bookmarkStart w:id="455" w:name="_Toc19810"/>
      <w:bookmarkStart w:id="456" w:name="_Toc492478747"/>
      <w:bookmarkStart w:id="457" w:name="_Toc390098448"/>
      <w:bookmarkStart w:id="458" w:name="_Toc20523"/>
      <w:bookmarkStart w:id="459" w:name="_Toc383891197"/>
      <w:bookmarkStart w:id="460" w:name="_Toc385427822"/>
      <w:bookmarkStart w:id="461" w:name="_Toc12671"/>
      <w:bookmarkStart w:id="462" w:name="_Toc21167"/>
      <w:bookmarkStart w:id="463" w:name="_Toc30207"/>
      <w:bookmarkStart w:id="464" w:name="_Toc12983532"/>
      <w:bookmarkStart w:id="465" w:name="_Toc9941"/>
      <w:bookmarkStart w:id="466" w:name="_Toc29504"/>
      <w:bookmarkStart w:id="467" w:name="_Toc18515"/>
      <w:bookmarkStart w:id="468" w:name="_Toc654"/>
      <w:bookmarkStart w:id="469" w:name="_Toc9602"/>
      <w:bookmarkStart w:id="470" w:name="_Toc25734"/>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14860"/>
      <w:bookmarkStart w:id="475" w:name="_Toc28898"/>
      <w:bookmarkStart w:id="476" w:name="_Toc24327"/>
      <w:bookmarkStart w:id="477" w:name="_Toc6624"/>
      <w:bookmarkStart w:id="478" w:name="_Toc28843"/>
      <w:bookmarkStart w:id="479" w:name="_Toc13743"/>
      <w:bookmarkStart w:id="480" w:name="_Toc492478748"/>
      <w:bookmarkStart w:id="481" w:name="_Toc1983"/>
      <w:bookmarkStart w:id="482" w:name="_Toc28701"/>
      <w:bookmarkStart w:id="483" w:name="_Toc390098449"/>
      <w:bookmarkStart w:id="484" w:name="_Toc8827"/>
      <w:bookmarkStart w:id="485" w:name="_Toc22510"/>
      <w:bookmarkStart w:id="486" w:name="_Toc30429"/>
      <w:bookmarkStart w:id="487" w:name="_Toc5983"/>
      <w:bookmarkStart w:id="488" w:name="_Toc383891198"/>
      <w:bookmarkStart w:id="489" w:name="_Toc114134635"/>
      <w:bookmarkStart w:id="490" w:name="_Toc385427823"/>
      <w:bookmarkStart w:id="491" w:name="_Toc13768"/>
      <w:bookmarkStart w:id="492" w:name="_Toc11077"/>
      <w:bookmarkStart w:id="493" w:name="_Toc25750618"/>
      <w:bookmarkStart w:id="494" w:name="_Toc12983533"/>
      <w:bookmarkStart w:id="495" w:name="_Toc23267"/>
      <w:bookmarkStart w:id="496" w:name="_Toc14799"/>
      <w:bookmarkStart w:id="497" w:name="_Toc27670"/>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492478749"/>
      <w:bookmarkStart w:id="499" w:name="_Toc6908"/>
      <w:bookmarkStart w:id="500" w:name="_Toc26070"/>
      <w:bookmarkStart w:id="501" w:name="_Toc5607"/>
      <w:bookmarkStart w:id="502" w:name="_Toc30017"/>
      <w:bookmarkStart w:id="503" w:name="_Toc25750619"/>
      <w:bookmarkStart w:id="504" w:name="_Toc5437"/>
      <w:bookmarkStart w:id="505" w:name="_Toc26318"/>
      <w:bookmarkStart w:id="506" w:name="_Toc12795"/>
      <w:bookmarkStart w:id="507" w:name="_Toc5926"/>
      <w:bookmarkStart w:id="508" w:name="_Toc390098450"/>
      <w:bookmarkStart w:id="509" w:name="_Toc16884"/>
      <w:bookmarkStart w:id="510" w:name="_Toc20519"/>
      <w:bookmarkStart w:id="511" w:name="_Toc383891199"/>
      <w:bookmarkStart w:id="512" w:name="_Toc1915"/>
      <w:bookmarkStart w:id="513" w:name="_Toc9040"/>
      <w:bookmarkStart w:id="514" w:name="_Toc12983534"/>
      <w:bookmarkStart w:id="515" w:name="_Toc22681"/>
      <w:bookmarkStart w:id="516" w:name="_Toc28992"/>
      <w:bookmarkStart w:id="517" w:name="_Toc385427824"/>
      <w:bookmarkStart w:id="518" w:name="_Toc18093"/>
      <w:bookmarkStart w:id="519" w:name="_Toc114134636"/>
      <w:bookmarkStart w:id="520" w:name="_Toc29146"/>
      <w:bookmarkStart w:id="521" w:name="_Toc4397"/>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19477"/>
      <w:bookmarkStart w:id="523" w:name="_Toc20912"/>
      <w:bookmarkStart w:id="524" w:name="_Toc25750620"/>
      <w:bookmarkStart w:id="525" w:name="_Toc21468"/>
      <w:bookmarkStart w:id="526" w:name="_Toc20874"/>
      <w:bookmarkStart w:id="527" w:name="_Toc22063"/>
      <w:bookmarkStart w:id="528" w:name="_Toc23808"/>
      <w:bookmarkStart w:id="529" w:name="_Toc29398"/>
      <w:bookmarkStart w:id="530" w:name="_Toc12167"/>
      <w:bookmarkStart w:id="531" w:name="_Toc385427825"/>
      <w:bookmarkStart w:id="532" w:name="_Toc23999"/>
      <w:bookmarkStart w:id="533" w:name="_Toc15051"/>
      <w:bookmarkStart w:id="534" w:name="_Toc31646"/>
      <w:bookmarkStart w:id="535" w:name="_Toc23956"/>
      <w:bookmarkStart w:id="536" w:name="_Toc26239"/>
      <w:bookmarkStart w:id="537" w:name="_Toc390098451"/>
      <w:bookmarkStart w:id="538" w:name="_Toc12983535"/>
      <w:bookmarkStart w:id="539" w:name="_Toc1027"/>
      <w:bookmarkStart w:id="540" w:name="_Toc17236"/>
      <w:bookmarkStart w:id="541" w:name="_Toc114134637"/>
      <w:bookmarkStart w:id="542" w:name="_Toc20810"/>
      <w:bookmarkStart w:id="543" w:name="_Toc383891200"/>
      <w:bookmarkStart w:id="544" w:name="_Toc492478750"/>
      <w:bookmarkStart w:id="545" w:name="_Toc2214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9276"/>
      <w:bookmarkStart w:id="547" w:name="_Toc22994"/>
      <w:bookmarkStart w:id="548" w:name="_Toc3258"/>
      <w:bookmarkStart w:id="549" w:name="_Toc25750621"/>
      <w:bookmarkStart w:id="550" w:name="_Toc385427826"/>
      <w:bookmarkStart w:id="551" w:name="_Toc390098452"/>
      <w:bookmarkStart w:id="552" w:name="_Toc24176"/>
      <w:bookmarkStart w:id="553" w:name="_Toc5319"/>
      <w:bookmarkStart w:id="554" w:name="_Toc9737"/>
      <w:bookmarkStart w:id="555" w:name="_Toc4958"/>
      <w:bookmarkStart w:id="556" w:name="_Toc20854"/>
      <w:bookmarkStart w:id="557" w:name="_Toc1004"/>
      <w:bookmarkStart w:id="558" w:name="_Toc27112"/>
      <w:bookmarkStart w:id="559" w:name="_Toc20444"/>
      <w:bookmarkStart w:id="560" w:name="_Toc114134638"/>
      <w:bookmarkStart w:id="561" w:name="_Toc9812"/>
      <w:bookmarkStart w:id="562" w:name="_Toc8959"/>
      <w:bookmarkStart w:id="563" w:name="_Toc19936"/>
      <w:bookmarkStart w:id="564" w:name="_Toc383891201"/>
      <w:bookmarkStart w:id="565" w:name="_Toc16418"/>
      <w:bookmarkStart w:id="566" w:name="_Toc23907"/>
      <w:bookmarkStart w:id="567" w:name="_Toc492478751"/>
      <w:bookmarkStart w:id="568" w:name="_Toc12983536"/>
      <w:bookmarkStart w:id="569" w:name="_Toc20881"/>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7460"/>
      <w:bookmarkStart w:id="571" w:name="_Toc385427827"/>
      <w:bookmarkStart w:id="572" w:name="_Toc27803"/>
      <w:bookmarkStart w:id="573" w:name="_Toc114134639"/>
      <w:bookmarkStart w:id="574" w:name="_Toc8074"/>
      <w:bookmarkStart w:id="575" w:name="_Toc1450"/>
      <w:bookmarkStart w:id="576" w:name="_Toc383891202"/>
      <w:bookmarkStart w:id="577" w:name="_Toc32344"/>
      <w:bookmarkStart w:id="578" w:name="_Toc31774"/>
      <w:bookmarkStart w:id="579" w:name="_Toc492478752"/>
      <w:bookmarkStart w:id="580" w:name="_Toc15146"/>
      <w:bookmarkStart w:id="581" w:name="_Toc19322"/>
      <w:bookmarkStart w:id="582" w:name="_Toc8845"/>
      <w:bookmarkStart w:id="583" w:name="_Toc507"/>
      <w:bookmarkStart w:id="584" w:name="_Toc3358"/>
      <w:bookmarkStart w:id="585" w:name="_Toc28489"/>
      <w:bookmarkStart w:id="586" w:name="_Toc390098453"/>
      <w:bookmarkStart w:id="587" w:name="_Toc14300"/>
      <w:bookmarkStart w:id="588" w:name="_Toc25750622"/>
      <w:bookmarkStart w:id="589" w:name="_Toc11010"/>
      <w:bookmarkStart w:id="590" w:name="_Toc22500"/>
      <w:bookmarkStart w:id="591" w:name="_Toc27289"/>
      <w:bookmarkStart w:id="592" w:name="_Toc12983537"/>
      <w:bookmarkStart w:id="593" w:name="_Toc11657"/>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5932"/>
      <w:bookmarkStart w:id="595" w:name="_Toc21142"/>
      <w:bookmarkStart w:id="596" w:name="_Toc27664"/>
      <w:bookmarkStart w:id="597" w:name="_Toc385427828"/>
      <w:bookmarkStart w:id="598" w:name="_Toc16732"/>
      <w:bookmarkStart w:id="599" w:name="_Toc17823"/>
      <w:bookmarkStart w:id="600" w:name="_Toc375039095"/>
      <w:bookmarkStart w:id="601" w:name="_Toc26470"/>
      <w:bookmarkStart w:id="602" w:name="_Toc18192"/>
      <w:bookmarkStart w:id="603" w:name="_Toc383891203"/>
      <w:bookmarkStart w:id="604" w:name="_Toc19634"/>
      <w:bookmarkStart w:id="605" w:name="_Toc5172"/>
      <w:bookmarkStart w:id="606" w:name="_Toc5257"/>
      <w:bookmarkStart w:id="607" w:name="_Toc21947"/>
      <w:bookmarkStart w:id="608" w:name="_Toc1215"/>
      <w:bookmarkStart w:id="609" w:name="_Toc3761"/>
      <w:bookmarkStart w:id="610" w:name="_Toc37"/>
      <w:bookmarkStart w:id="611" w:name="_Toc390098454"/>
      <w:bookmarkStart w:id="612" w:name="_Toc492478753"/>
      <w:bookmarkStart w:id="613" w:name="_Toc12983538"/>
      <w:bookmarkStart w:id="614" w:name="_Toc13986"/>
      <w:bookmarkStart w:id="615" w:name="_Toc22182"/>
      <w:bookmarkStart w:id="616" w:name="_Toc14042"/>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4235"/>
      <w:bookmarkStart w:id="620" w:name="_Toc383891204"/>
      <w:bookmarkStart w:id="621" w:name="_Toc26954"/>
      <w:bookmarkStart w:id="622" w:name="_Toc20979"/>
      <w:bookmarkStart w:id="623" w:name="_Toc6886"/>
      <w:bookmarkStart w:id="624" w:name="_Toc14454"/>
      <w:bookmarkStart w:id="625" w:name="_Toc375039096"/>
      <w:bookmarkStart w:id="626" w:name="_Toc26919"/>
      <w:bookmarkStart w:id="627" w:name="_Toc31757"/>
      <w:bookmarkStart w:id="628" w:name="_Toc11126"/>
      <w:bookmarkStart w:id="629" w:name="_Toc385427829"/>
      <w:bookmarkStart w:id="630" w:name="_Toc5959"/>
      <w:bookmarkStart w:id="631" w:name="_Toc1116"/>
      <w:bookmarkStart w:id="632" w:name="_Toc2422"/>
      <w:bookmarkStart w:id="633" w:name="_Toc17042"/>
      <w:bookmarkStart w:id="634" w:name="_Toc3769"/>
      <w:bookmarkStart w:id="635" w:name="_Toc12031"/>
      <w:bookmarkStart w:id="636" w:name="_Toc10962"/>
      <w:bookmarkStart w:id="637" w:name="_Toc390098455"/>
      <w:bookmarkStart w:id="638" w:name="_Toc492478754"/>
      <w:bookmarkStart w:id="639" w:name="_Toc12983539"/>
      <w:bookmarkStart w:id="640" w:name="_Toc1945"/>
      <w:bookmarkStart w:id="641" w:name="_Toc25257"/>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12421"/>
      <w:bookmarkStart w:id="645" w:name="_Toc30278"/>
      <w:bookmarkStart w:id="646" w:name="_Toc4743"/>
      <w:bookmarkStart w:id="647" w:name="_Toc18800"/>
      <w:bookmarkStart w:id="648" w:name="_Toc24580"/>
      <w:bookmarkStart w:id="649" w:name="_Toc375039097"/>
      <w:bookmarkStart w:id="650" w:name="_Toc27839"/>
      <w:bookmarkStart w:id="651" w:name="_Toc26653"/>
      <w:bookmarkStart w:id="652" w:name="_Toc390098456"/>
      <w:bookmarkStart w:id="653" w:name="_Toc24681"/>
      <w:bookmarkStart w:id="654" w:name="_Toc114134642"/>
      <w:bookmarkStart w:id="655" w:name="_Toc492478755"/>
      <w:bookmarkStart w:id="656" w:name="_Toc12983540"/>
      <w:bookmarkStart w:id="657" w:name="_Toc19952"/>
      <w:bookmarkStart w:id="658" w:name="_Toc21516"/>
      <w:bookmarkStart w:id="659" w:name="_Toc31958"/>
      <w:bookmarkStart w:id="660" w:name="_Toc8834"/>
      <w:bookmarkStart w:id="661" w:name="_Toc385427830"/>
      <w:bookmarkStart w:id="662" w:name="_Toc9113"/>
      <w:bookmarkStart w:id="663" w:name="_Toc25431"/>
      <w:bookmarkStart w:id="664" w:name="_Toc383891205"/>
      <w:bookmarkStart w:id="665" w:name="_Toc22975"/>
      <w:bookmarkStart w:id="666" w:name="_Toc2326"/>
      <w:bookmarkStart w:id="667" w:name="_Toc600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26143"/>
      <w:bookmarkStart w:id="669" w:name="_Toc12983541"/>
      <w:bookmarkStart w:id="670" w:name="_Toc22688"/>
      <w:bookmarkStart w:id="671" w:name="_Toc21975"/>
      <w:bookmarkStart w:id="672" w:name="_Toc13914"/>
      <w:bookmarkStart w:id="673" w:name="_Toc26525"/>
      <w:bookmarkStart w:id="674" w:name="_Toc383891206"/>
      <w:bookmarkStart w:id="675" w:name="_Toc492478756"/>
      <w:bookmarkStart w:id="676" w:name="_Toc28661"/>
      <w:bookmarkStart w:id="677" w:name="_Toc22323"/>
      <w:bookmarkStart w:id="678" w:name="_Toc10522"/>
      <w:bookmarkStart w:id="679" w:name="_Toc114134643"/>
      <w:bookmarkStart w:id="680" w:name="_Toc18878"/>
      <w:bookmarkStart w:id="681" w:name="_Toc1269"/>
      <w:bookmarkStart w:id="682" w:name="_Toc21728"/>
      <w:bookmarkStart w:id="683" w:name="_Toc30743"/>
      <w:bookmarkStart w:id="684" w:name="_Toc30026"/>
      <w:bookmarkStart w:id="685" w:name="_Toc390098457"/>
      <w:bookmarkStart w:id="686" w:name="_Toc8938"/>
      <w:bookmarkStart w:id="687" w:name="_Toc375039098"/>
      <w:bookmarkStart w:id="688" w:name="_Toc25750626"/>
      <w:bookmarkStart w:id="689" w:name="_Toc11795"/>
      <w:bookmarkStart w:id="690" w:name="_Toc20642"/>
      <w:bookmarkStart w:id="691" w:name="_Toc31011"/>
      <w:bookmarkStart w:id="692" w:name="_Toc385427831"/>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24183"/>
      <w:bookmarkStart w:id="694" w:name="_Toc14301"/>
      <w:bookmarkStart w:id="695" w:name="_Toc17153"/>
      <w:bookmarkStart w:id="696" w:name="_Toc492478757"/>
      <w:bookmarkStart w:id="697" w:name="_Toc14325"/>
      <w:bookmarkStart w:id="698" w:name="_Toc14832"/>
      <w:bookmarkStart w:id="699" w:name="_Toc16111"/>
      <w:bookmarkStart w:id="700" w:name="_Toc12983542"/>
      <w:bookmarkStart w:id="701" w:name="_Toc19774"/>
      <w:bookmarkStart w:id="702" w:name="_Toc18977"/>
      <w:bookmarkStart w:id="703" w:name="_Toc11913"/>
      <w:bookmarkStart w:id="704" w:name="_Toc390098458"/>
      <w:bookmarkStart w:id="705" w:name="_Toc25797"/>
      <w:bookmarkStart w:id="706" w:name="_Toc114134644"/>
      <w:bookmarkStart w:id="707" w:name="_Toc1873"/>
      <w:bookmarkStart w:id="708" w:name="_Toc25750627"/>
      <w:bookmarkStart w:id="709" w:name="_Toc23649"/>
      <w:bookmarkStart w:id="710" w:name="_Toc17818"/>
      <w:bookmarkStart w:id="711" w:name="_Toc377"/>
      <w:bookmarkStart w:id="712" w:name="_Toc385427832"/>
      <w:bookmarkStart w:id="713" w:name="_Toc13417"/>
      <w:bookmarkStart w:id="714" w:name="_Toc375039099"/>
      <w:bookmarkStart w:id="715" w:name="_Toc19128"/>
      <w:bookmarkStart w:id="716" w:name="_Toc31336"/>
      <w:bookmarkStart w:id="717" w:name="_Toc383891207"/>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32424"/>
      <w:bookmarkStart w:id="719" w:name="_Toc27683"/>
      <w:bookmarkStart w:id="720" w:name="_Toc921"/>
      <w:bookmarkStart w:id="721" w:name="_Toc114134645"/>
      <w:bookmarkStart w:id="722" w:name="_Toc10348"/>
      <w:bookmarkStart w:id="723" w:name="_Toc13605"/>
      <w:bookmarkStart w:id="724" w:name="_Toc673"/>
      <w:bookmarkStart w:id="725" w:name="_Toc385427833"/>
      <w:bookmarkStart w:id="726" w:name="_Toc12983543"/>
      <w:bookmarkStart w:id="727" w:name="_Toc390098459"/>
      <w:bookmarkStart w:id="728" w:name="_Toc20680"/>
      <w:bookmarkStart w:id="729" w:name="_Toc9636"/>
      <w:bookmarkStart w:id="730" w:name="_Toc492478758"/>
      <w:bookmarkStart w:id="731" w:name="_Toc5061"/>
      <w:bookmarkStart w:id="732" w:name="_Toc17953"/>
      <w:bookmarkStart w:id="733" w:name="_Toc13596"/>
      <w:bookmarkStart w:id="734" w:name="_Toc375039100"/>
      <w:bookmarkStart w:id="735" w:name="_Toc22657"/>
      <w:bookmarkStart w:id="736" w:name="_Toc383891208"/>
      <w:bookmarkStart w:id="737" w:name="_Toc2061"/>
      <w:bookmarkStart w:id="738" w:name="_Toc25750628"/>
      <w:bookmarkStart w:id="739" w:name="_Toc19556"/>
      <w:bookmarkStart w:id="740" w:name="_Toc21798"/>
      <w:bookmarkStart w:id="741" w:name="_Toc12065"/>
      <w:bookmarkStart w:id="742" w:name="_Toc19943"/>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4240"/>
      <w:bookmarkStart w:id="744" w:name="_Toc18694"/>
      <w:bookmarkStart w:id="745" w:name="_Toc5617"/>
      <w:bookmarkStart w:id="746" w:name="_Toc114134646"/>
      <w:bookmarkStart w:id="747" w:name="_Toc24885"/>
      <w:bookmarkStart w:id="748" w:name="_Toc1862"/>
      <w:bookmarkStart w:id="749" w:name="_Toc28815"/>
      <w:bookmarkStart w:id="750" w:name="_Toc492478759"/>
      <w:bookmarkStart w:id="751" w:name="_Toc15048"/>
      <w:bookmarkStart w:id="752" w:name="_Toc21217"/>
      <w:bookmarkStart w:id="753" w:name="_Toc383891209"/>
      <w:bookmarkStart w:id="754" w:name="_Toc385427834"/>
      <w:bookmarkStart w:id="755" w:name="_Toc5767"/>
      <w:bookmarkStart w:id="756" w:name="_Toc390098460"/>
      <w:bookmarkStart w:id="757" w:name="_Toc12983544"/>
      <w:bookmarkStart w:id="758" w:name="_Toc1780"/>
      <w:bookmarkStart w:id="759" w:name="_Toc8628"/>
      <w:bookmarkStart w:id="760" w:name="_Toc29993"/>
      <w:bookmarkStart w:id="761" w:name="_Toc21570"/>
      <w:bookmarkStart w:id="762" w:name="_Toc22442"/>
      <w:bookmarkStart w:id="763" w:name="_Toc4190"/>
      <w:bookmarkStart w:id="764" w:name="_Toc375039101"/>
      <w:bookmarkStart w:id="765" w:name="_Toc25750629"/>
      <w:bookmarkStart w:id="766" w:name="_Toc25208"/>
      <w:bookmarkStart w:id="767" w:name="_Toc30862"/>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23817"/>
      <w:bookmarkStart w:id="769" w:name="_Toc25750630"/>
      <w:bookmarkStart w:id="770" w:name="_Toc29857"/>
      <w:bookmarkStart w:id="771" w:name="_Toc11412"/>
      <w:bookmarkStart w:id="772" w:name="_Toc9433"/>
      <w:bookmarkStart w:id="773" w:name="_Toc390098461"/>
      <w:bookmarkStart w:id="774" w:name="_Toc16371"/>
      <w:bookmarkStart w:id="775" w:name="_Toc383891210"/>
      <w:bookmarkStart w:id="776" w:name="_Toc8104"/>
      <w:bookmarkStart w:id="777" w:name="_Toc492478760"/>
      <w:bookmarkStart w:id="778" w:name="_Toc375039102"/>
      <w:bookmarkStart w:id="779" w:name="_Toc5576"/>
      <w:bookmarkStart w:id="780" w:name="_Toc25632"/>
      <w:bookmarkStart w:id="781" w:name="_Toc114134647"/>
      <w:bookmarkStart w:id="782" w:name="_Toc9981"/>
      <w:bookmarkStart w:id="783" w:name="_Toc6599"/>
      <w:bookmarkStart w:id="784" w:name="_Toc17281"/>
      <w:bookmarkStart w:id="785" w:name="_Toc12983545"/>
      <w:bookmarkStart w:id="786" w:name="_Toc31814"/>
      <w:bookmarkStart w:id="787" w:name="_Toc11079"/>
      <w:bookmarkStart w:id="788" w:name="_Toc24750"/>
      <w:bookmarkStart w:id="789" w:name="_Toc385427835"/>
      <w:bookmarkStart w:id="790" w:name="_Toc16589"/>
      <w:bookmarkStart w:id="791" w:name="_Toc20178"/>
      <w:bookmarkStart w:id="792" w:name="_Toc25483"/>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6E33B8C9">
      <w:pPr>
        <w:widowControl/>
        <w:jc w:val="left"/>
        <w:rPr>
          <w:rFonts w:ascii="宋体" w:hAnsi="宋体" w:eastAsia="宋体"/>
          <w:color w:val="auto"/>
          <w:sz w:val="24"/>
          <w:szCs w:val="24"/>
          <w:highlight w:val="none"/>
        </w:rPr>
      </w:pPr>
    </w:p>
    <w:p w14:paraId="6539632F">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24538EB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61E3C08E">
      <w:pPr>
        <w:pStyle w:val="36"/>
        <w:pageBreakBefore w:val="0"/>
        <w:kinsoku/>
        <w:wordWrap w:val="0"/>
        <w:overflowPunct/>
        <w:topLinePunct w:val="0"/>
        <w:autoSpaceDE/>
        <w:autoSpaceDN/>
        <w:bidi w:val="0"/>
        <w:spacing w:before="0" w:beforeAutospacing="0" w:after="0" w:afterAutospacing="0" w:line="540" w:lineRule="exact"/>
        <w:ind w:left="2520" w:leftChars="0" w:hanging="2520" w:hangingChars="900"/>
        <w:jc w:val="right"/>
        <w:rPr>
          <w:rFonts w:hint="eastAsia" w:ascii="方正仿宋_GB2312" w:hAnsi="方正仿宋_GB2312" w:eastAsia="方正仿宋_GB2312" w:cs="方正仿宋_GB2312"/>
          <w:bCs/>
          <w:color w:val="auto"/>
          <w:sz w:val="24"/>
          <w:szCs w:val="24"/>
          <w:highlight w:val="none"/>
        </w:rPr>
      </w:pPr>
      <w:bookmarkStart w:id="793" w:name="_Toc289178108"/>
      <w:bookmarkStart w:id="794" w:name="_Toc388538442"/>
      <w:r>
        <w:rPr>
          <w:rFonts w:hint="eastAsia" w:ascii="仿宋_GB2312" w:hAnsi="仿宋_GB2312" w:eastAsia="仿宋_GB2312" w:cs="仿宋_GB2312"/>
          <w:color w:val="auto"/>
          <w:sz w:val="28"/>
          <w:szCs w:val="28"/>
        </w:rPr>
        <w:t xml:space="preserve">    </w:t>
      </w:r>
      <w:r>
        <w:rPr>
          <w:rFonts w:hint="eastAsia" w:ascii="方正仿宋_GB2312" w:hAnsi="方正仿宋_GB2312" w:eastAsia="方正仿宋_GB2312" w:cs="方正仿宋_GB2312"/>
          <w:bCs/>
          <w:color w:val="auto"/>
          <w:sz w:val="24"/>
          <w:szCs w:val="24"/>
          <w:highlight w:val="none"/>
        </w:rPr>
        <w:t>合同编号：</w:t>
      </w:r>
      <w:r>
        <w:rPr>
          <w:rFonts w:hint="eastAsia" w:ascii="方正仿宋_GB2312" w:hAnsi="方正仿宋_GB2312" w:eastAsia="方正仿宋_GB2312" w:cs="方正仿宋_GB2312"/>
          <w:bCs/>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 xml:space="preserve">  </w:t>
      </w:r>
    </w:p>
    <w:p w14:paraId="541E14FC">
      <w:pPr>
        <w:pStyle w:val="36"/>
        <w:pageBreakBefore w:val="0"/>
        <w:kinsoku/>
        <w:overflowPunct/>
        <w:topLinePunct w:val="0"/>
        <w:autoSpaceDE/>
        <w:autoSpaceDN/>
        <w:bidi w:val="0"/>
        <w:spacing w:before="0" w:beforeAutospacing="0" w:after="0" w:afterAutospacing="0" w:line="540" w:lineRule="exact"/>
        <w:ind w:left="2160" w:leftChars="0" w:hanging="2160" w:hangingChars="900"/>
        <w:jc w:val="right"/>
        <w:rPr>
          <w:rFonts w:hint="eastAsia" w:ascii="方正仿宋_GB2312" w:hAnsi="方正仿宋_GB2312" w:eastAsia="方正仿宋_GB2312" w:cs="方正仿宋_GB2312"/>
          <w:bCs/>
          <w:color w:val="auto"/>
          <w:sz w:val="24"/>
          <w:szCs w:val="24"/>
          <w:highlight w:val="none"/>
        </w:rPr>
      </w:pPr>
    </w:p>
    <w:p w14:paraId="08E5E76F">
      <w:pPr>
        <w:pStyle w:val="36"/>
        <w:pageBreakBefore w:val="0"/>
        <w:kinsoku/>
        <w:overflowPunct/>
        <w:topLinePunct w:val="0"/>
        <w:autoSpaceDE/>
        <w:autoSpaceDN/>
        <w:bidi w:val="0"/>
        <w:spacing w:before="0" w:beforeAutospacing="0" w:after="0" w:afterAutospacing="0" w:line="540" w:lineRule="exact"/>
        <w:ind w:left="0" w:leftChars="0"/>
        <w:jc w:val="center"/>
        <w:rPr>
          <w:rFonts w:hint="eastAsia" w:ascii="方正仿宋_GB2312" w:hAnsi="方正仿宋_GB2312" w:eastAsia="方正仿宋_GB2312" w:cs="方正仿宋_GB2312"/>
          <w:b/>
          <w:color w:val="auto"/>
          <w:sz w:val="32"/>
          <w:szCs w:val="32"/>
          <w:highlight w:val="none"/>
        </w:rPr>
      </w:pPr>
      <w:r>
        <w:rPr>
          <w:rFonts w:hint="eastAsia" w:ascii="方正仿宋_GB2312" w:hAnsi="方正仿宋_GB2312" w:eastAsia="方正仿宋_GB2312" w:cs="方正仿宋_GB2312"/>
          <w:b/>
          <w:color w:val="auto"/>
          <w:sz w:val="32"/>
          <w:szCs w:val="32"/>
          <w:highlight w:val="none"/>
          <w:u w:val="single"/>
        </w:rPr>
        <w:t xml:space="preserve">       专业分包合同</w:t>
      </w:r>
    </w:p>
    <w:p w14:paraId="71EF2592">
      <w:pPr>
        <w:pStyle w:val="36"/>
        <w:pageBreakBefore w:val="0"/>
        <w:kinsoku/>
        <w:overflowPunct/>
        <w:topLinePunct w:val="0"/>
        <w:autoSpaceDE/>
        <w:autoSpaceDN/>
        <w:bidi w:val="0"/>
        <w:spacing w:before="0" w:beforeAutospacing="0" w:after="0" w:afterAutospacing="0" w:line="540" w:lineRule="exact"/>
        <w:ind w:left="482" w:leftChars="0" w:hanging="482" w:hangingChars="200"/>
        <w:jc w:val="both"/>
        <w:rPr>
          <w:rFonts w:hint="eastAsia" w:ascii="方正仿宋_GB2312" w:hAnsi="方正仿宋_GB2312" w:eastAsia="方正仿宋_GB2312" w:cs="方正仿宋_GB2312"/>
          <w:b/>
          <w:color w:val="auto"/>
          <w:sz w:val="24"/>
          <w:szCs w:val="24"/>
          <w:highlight w:val="none"/>
        </w:rPr>
      </w:pPr>
    </w:p>
    <w:p w14:paraId="2BB448DD">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u w:val="single"/>
        </w:rPr>
      </w:pPr>
      <w:r>
        <w:rPr>
          <w:rFonts w:hint="eastAsia" w:ascii="方正仿宋_GB2312" w:hAnsi="方正仿宋_GB2312" w:eastAsia="方正仿宋_GB2312" w:cs="方正仿宋_GB2312"/>
          <w:b/>
          <w:color w:val="auto"/>
          <w:sz w:val="24"/>
          <w:szCs w:val="24"/>
          <w:highlight w:val="none"/>
        </w:rPr>
        <w:t>甲方：</w:t>
      </w:r>
      <w:r>
        <w:rPr>
          <w:rFonts w:hint="eastAsia" w:ascii="方正仿宋_GB2312" w:hAnsi="方正仿宋_GB2312" w:eastAsia="方正仿宋_GB2312" w:cs="方正仿宋_GB2312"/>
          <w:b/>
          <w:bCs/>
          <w:color w:val="auto"/>
          <w:sz w:val="24"/>
          <w:szCs w:val="24"/>
          <w:highlight w:val="none"/>
          <w:u w:val="single"/>
        </w:rPr>
        <w:t>南宁轨道地产建筑工程有限责任公司</w:t>
      </w:r>
    </w:p>
    <w:p w14:paraId="353948A4">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乙方：</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rPr>
        <w:t xml:space="preserve">  </w:t>
      </w:r>
    </w:p>
    <w:p w14:paraId="5B37D4FA">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根据《中华人民共和国民法典》及相关法律法规的规定，乙方承接甲方</w:t>
      </w:r>
      <w:r>
        <w:rPr>
          <w:rFonts w:hint="eastAsia" w:ascii="方正仿宋_GB2312" w:hAnsi="方正仿宋_GB2312" w:eastAsia="方正仿宋_GB2312" w:cs="方正仿宋_GB2312"/>
          <w:bCs/>
          <w:color w:val="auto"/>
          <w:sz w:val="24"/>
          <w:szCs w:val="24"/>
          <w:highlight w:val="none"/>
          <w:u w:val="single"/>
        </w:rPr>
        <w:t xml:space="preserve">     工程</w:t>
      </w:r>
      <w:r>
        <w:rPr>
          <w:rFonts w:hint="eastAsia" w:ascii="方正仿宋_GB2312" w:hAnsi="方正仿宋_GB2312" w:eastAsia="方正仿宋_GB2312" w:cs="方正仿宋_GB2312"/>
          <w:color w:val="auto"/>
          <w:sz w:val="24"/>
          <w:szCs w:val="24"/>
          <w:highlight w:val="none"/>
        </w:rPr>
        <w:t>施工事宜，经双方友好协商，签订本合同。</w:t>
      </w:r>
    </w:p>
    <w:p w14:paraId="200590A0">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一、工程概况</w:t>
      </w:r>
    </w:p>
    <w:p w14:paraId="7DD271D9">
      <w:pPr>
        <w:pStyle w:val="2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项目名称：</w:t>
      </w:r>
      <w:r>
        <w:rPr>
          <w:rFonts w:hint="eastAsia" w:ascii="方正仿宋_GB2312" w:hAnsi="方正仿宋_GB2312" w:eastAsia="方正仿宋_GB2312" w:cs="方正仿宋_GB2312"/>
          <w:bCs/>
          <w:color w:val="auto"/>
          <w:sz w:val="24"/>
          <w:szCs w:val="24"/>
          <w:highlight w:val="none"/>
          <w:u w:val="single"/>
        </w:rPr>
        <w:t xml:space="preserve">    工程</w:t>
      </w:r>
    </w:p>
    <w:p w14:paraId="48C9563A">
      <w:pPr>
        <w:pStyle w:val="2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项目地点：</w:t>
      </w:r>
      <w:r>
        <w:rPr>
          <w:rFonts w:hint="eastAsia" w:ascii="方正仿宋_GB2312" w:hAnsi="方正仿宋_GB2312" w:eastAsia="方正仿宋_GB2312" w:cs="方正仿宋_GB2312"/>
          <w:color w:val="auto"/>
          <w:sz w:val="24"/>
          <w:szCs w:val="24"/>
          <w:highlight w:val="none"/>
          <w:u w:val="single"/>
        </w:rPr>
        <w:t xml:space="preserve">        </w:t>
      </w:r>
    </w:p>
    <w:p w14:paraId="1FFCAB1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工程范围：根据施工图纸和甲方要求负责本工程所需</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材料供应和施工、验收及维护等；</w:t>
      </w:r>
    </w:p>
    <w:p w14:paraId="0D9F618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承包方式：</w:t>
      </w:r>
      <w:r>
        <w:rPr>
          <w:rFonts w:hint="eastAsia" w:ascii="方正仿宋_GB2312" w:hAnsi="方正仿宋_GB2312" w:eastAsia="方正仿宋_GB2312" w:cs="方正仿宋_GB2312"/>
          <w:color w:val="auto"/>
          <w:sz w:val="24"/>
          <w:szCs w:val="24"/>
          <w:highlight w:val="none"/>
          <w:u w:val="single"/>
        </w:rPr>
        <w:t xml:space="preserve">      包工包料     </w:t>
      </w:r>
      <w:r>
        <w:rPr>
          <w:rFonts w:hint="eastAsia" w:ascii="方正仿宋_GB2312" w:hAnsi="方正仿宋_GB2312" w:eastAsia="方正仿宋_GB2312" w:cs="方正仿宋_GB2312"/>
          <w:color w:val="auto"/>
          <w:sz w:val="24"/>
          <w:szCs w:val="24"/>
          <w:highlight w:val="none"/>
        </w:rPr>
        <w:t>；</w:t>
      </w:r>
    </w:p>
    <w:p w14:paraId="04337E87">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质量等级：按照国家有关规范进行验收，乙方承诺工程项目均达到国家 验收标准等级。</w:t>
      </w:r>
    </w:p>
    <w:p w14:paraId="25AB1615">
      <w:pPr>
        <w:pageBreakBefore w:val="0"/>
        <w:kinsoku/>
        <w:overflowPunct/>
        <w:topLinePunct w:val="0"/>
        <w:autoSpaceDE/>
        <w:autoSpaceDN/>
        <w:bidi w:val="0"/>
        <w:spacing w:beforeAutospacing="0" w:afterAutospacing="0" w:line="540" w:lineRule="exact"/>
        <w:ind w:left="1206" w:leftChars="230" w:hanging="723" w:hangingChars="3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二</w:t>
      </w:r>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工程期限</w:t>
      </w:r>
    </w:p>
    <w:p w14:paraId="238D679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合同工期总日历天数</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u w:val="single"/>
          <w:lang w:val="en-US" w:eastAsia="zh-CN"/>
        </w:rPr>
        <w:t>100</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天</w:t>
      </w:r>
      <w:r>
        <w:rPr>
          <w:rFonts w:hint="eastAsia" w:ascii="方正仿宋_GB2312" w:hAnsi="方正仿宋_GB2312" w:eastAsia="方正仿宋_GB2312" w:cs="方正仿宋_GB2312"/>
          <w:bCs/>
          <w:color w:val="auto"/>
          <w:sz w:val="24"/>
          <w:szCs w:val="24"/>
          <w:highlight w:val="none"/>
        </w:rPr>
        <w:t>。</w:t>
      </w:r>
    </w:p>
    <w:p w14:paraId="634B7B3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备注：</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本合同工期均含节假日及验收时间。</w:t>
      </w:r>
    </w:p>
    <w:p w14:paraId="7B30D2E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具体开工时间以移交的工作面并接到甲方开工通知为准，工期自甲方开工通知确定的日期起计算，乙方应根据双方共同确认的工程进度计划进行施工。</w:t>
      </w:r>
    </w:p>
    <w:p w14:paraId="4A828249">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如遇下列情况，经甲方及监理盖章确认后，工期相应顺延：</w:t>
      </w:r>
    </w:p>
    <w:p w14:paraId="3B79A362">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工程量变化较大和设计变更较大而影响施工进度；</w:t>
      </w:r>
    </w:p>
    <w:p w14:paraId="36CEEF47">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非因乙方原因，施工中停电造成一周内连续停工累计超过8小时，影响正常施工的；</w:t>
      </w:r>
    </w:p>
    <w:p w14:paraId="4B72E30E">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不可抗力因素；</w:t>
      </w:r>
    </w:p>
    <w:p w14:paraId="3703596C">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乙方在以上情况发生后5天内，就延误的内容向甲方代表提出报告，逾期不办理视为放弃。非上述原因，工程不能按合同工期竣工，乙方承担违约责任。</w:t>
      </w:r>
    </w:p>
    <w:p w14:paraId="43431D66">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乙方在收到甲方进场通知后（包括但不限于书面、电话、通讯软件、口头等通知），乙方必须无条件配合甲方要求，最迟6小时内完成进场施工并达到甲方相关条件要求，进场后，乙方不得以任何理由拒绝甲方的施工指令，包括但不限于分批分次施工及移交、雨天</w:t>
      </w:r>
      <w:r>
        <w:rPr>
          <w:rFonts w:hint="eastAsia" w:ascii="方正仿宋_GB2312" w:hAnsi="方正仿宋_GB2312" w:eastAsia="方正仿宋_GB2312" w:cs="方正仿宋_GB2312"/>
          <w:color w:val="auto"/>
          <w:sz w:val="24"/>
          <w:szCs w:val="24"/>
          <w:highlight w:val="none"/>
          <w:lang w:val="en-US" w:eastAsia="zh-CN"/>
        </w:rPr>
        <w:t>施工</w:t>
      </w:r>
      <w:r>
        <w:rPr>
          <w:rFonts w:hint="eastAsia" w:ascii="方正仿宋_GB2312" w:hAnsi="方正仿宋_GB2312" w:eastAsia="方正仿宋_GB2312" w:cs="方正仿宋_GB2312"/>
          <w:color w:val="auto"/>
          <w:sz w:val="24"/>
          <w:szCs w:val="24"/>
          <w:highlight w:val="none"/>
        </w:rPr>
        <w:t xml:space="preserve">等，因此产生的一切费用包含在乙方合同价内，在投标阶段已综合考虑。 </w:t>
      </w:r>
    </w:p>
    <w:p w14:paraId="28373A6F">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三、合同价款</w:t>
      </w:r>
    </w:p>
    <w:p w14:paraId="1DD1DDAC">
      <w:pPr>
        <w:pStyle w:val="36"/>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本合同暂定金额（含税）为（大写）人民币：</w:t>
      </w:r>
      <w:r>
        <w:rPr>
          <w:rFonts w:hint="eastAsia" w:ascii="方正仿宋_GB2312" w:hAnsi="方正仿宋_GB2312" w:eastAsia="方正仿宋_GB2312" w:cs="方正仿宋_GB2312"/>
          <w:color w:val="auto"/>
          <w:sz w:val="24"/>
          <w:szCs w:val="24"/>
          <w:highlight w:val="none"/>
          <w:u w:val="single"/>
        </w:rPr>
        <w:t xml:space="preserve">    即￥</w:t>
      </w:r>
      <w:r>
        <w:rPr>
          <w:rFonts w:hint="eastAsia" w:ascii="方正仿宋_GB2312" w:hAnsi="方正仿宋_GB2312" w:eastAsia="方正仿宋_GB2312" w:cs="方正仿宋_GB2312"/>
          <w:b/>
          <w:bCs/>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bCs/>
          <w:color w:val="auto"/>
          <w:sz w:val="24"/>
          <w:szCs w:val="24"/>
          <w:highlight w:val="none"/>
        </w:rPr>
        <w:t>除税总价为：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，增值税为：</w:t>
      </w:r>
      <w:r>
        <w:rPr>
          <w:rFonts w:hint="eastAsia" w:ascii="方正仿宋_GB2312" w:hAnsi="方正仿宋_GB2312" w:eastAsia="方正仿宋_GB2312" w:cs="方正仿宋_GB2312"/>
          <w:color w:val="auto"/>
          <w:sz w:val="24"/>
          <w:szCs w:val="24"/>
          <w:highlight w:val="none"/>
          <w:u w:val="single"/>
        </w:rPr>
        <w:t>￥   ）</w:t>
      </w:r>
      <w:r>
        <w:rPr>
          <w:rFonts w:hint="eastAsia" w:ascii="方正仿宋_GB2312" w:hAnsi="方正仿宋_GB2312" w:eastAsia="方正仿宋_GB2312" w:cs="方正仿宋_GB2312"/>
          <w:bCs/>
          <w:color w:val="auto"/>
          <w:sz w:val="24"/>
          <w:szCs w:val="24"/>
          <w:highlight w:val="none"/>
        </w:rPr>
        <w:t>。合同总价为含税价，税率为</w:t>
      </w:r>
      <w:r>
        <w:rPr>
          <w:rFonts w:hint="eastAsia" w:ascii="方正仿宋_GB2312" w:hAnsi="方正仿宋_GB2312" w:eastAsia="方正仿宋_GB2312" w:cs="方正仿宋_GB2312"/>
          <w:bCs/>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%，增值税和税率随着国家或地区政策的调整而调整。</w:t>
      </w:r>
    </w:p>
    <w:p w14:paraId="3D9FB82B">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u w:val="single"/>
        </w:rPr>
      </w:pPr>
      <w:r>
        <w:rPr>
          <w:rFonts w:hint="eastAsia" w:ascii="方正仿宋_GB2312" w:hAnsi="方正仿宋_GB2312" w:eastAsia="方正仿宋_GB2312" w:cs="方正仿宋_GB2312"/>
          <w:bCs/>
          <w:color w:val="auto"/>
          <w:sz w:val="24"/>
          <w:szCs w:val="24"/>
          <w:highlight w:val="none"/>
        </w:rPr>
        <w:t>2</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合同价款的计价方法：</w:t>
      </w:r>
      <w:r>
        <w:rPr>
          <w:rFonts w:hint="eastAsia" w:ascii="方正仿宋_GB2312" w:hAnsi="方正仿宋_GB2312" w:eastAsia="方正仿宋_GB2312" w:cs="方正仿宋_GB2312"/>
          <w:bCs/>
          <w:color w:val="auto"/>
          <w:sz w:val="24"/>
          <w:szCs w:val="24"/>
          <w:highlight w:val="none"/>
          <w:u w:val="single"/>
        </w:rPr>
        <w:t xml:space="preserve">  综合单价包干 </w:t>
      </w:r>
      <w:r>
        <w:rPr>
          <w:rFonts w:hint="eastAsia" w:ascii="方正仿宋_GB2312" w:hAnsi="方正仿宋_GB2312" w:eastAsia="方正仿宋_GB2312" w:cs="方正仿宋_GB2312"/>
          <w:bCs/>
          <w:color w:val="auto"/>
          <w:sz w:val="24"/>
          <w:szCs w:val="24"/>
          <w:highlight w:val="none"/>
        </w:rPr>
        <w:t>；分包内容、数量、单价：</w:t>
      </w:r>
      <w:r>
        <w:rPr>
          <w:rFonts w:hint="eastAsia" w:ascii="方正仿宋_GB2312" w:hAnsi="方正仿宋_GB2312" w:eastAsia="方正仿宋_GB2312" w:cs="方正仿宋_GB2312"/>
          <w:bCs/>
          <w:color w:val="auto"/>
          <w:sz w:val="24"/>
          <w:szCs w:val="24"/>
          <w:highlight w:val="none"/>
          <w:u w:val="single"/>
        </w:rPr>
        <w:t>详见合同附件一</w:t>
      </w:r>
      <w:r>
        <w:rPr>
          <w:rFonts w:hint="eastAsia" w:ascii="方正仿宋_GB2312" w:hAnsi="方正仿宋_GB2312" w:eastAsia="方正仿宋_GB2312" w:cs="方正仿宋_GB2312"/>
          <w:bCs/>
          <w:color w:val="auto"/>
          <w:sz w:val="24"/>
          <w:szCs w:val="24"/>
          <w:highlight w:val="none"/>
        </w:rPr>
        <w:t>，综合单价包含</w:t>
      </w:r>
      <w:r>
        <w:rPr>
          <w:rFonts w:hint="eastAsia" w:ascii="方正仿宋_GB2312" w:hAnsi="方正仿宋_GB2312" w:eastAsia="方正仿宋_GB2312" w:cs="方正仿宋_GB2312"/>
          <w:color w:val="auto"/>
          <w:sz w:val="24"/>
          <w:szCs w:val="24"/>
          <w:highlight w:val="none"/>
          <w:u w:val="single"/>
        </w:rPr>
        <w:t xml:space="preserve">  材料费、运费、卸车费、施工安装费、垃圾清运费、税金等（包括且不限于质量、工期、安全文明、服务、验收、维修等所有与本工程相关的一切工作内容），详见清单和图纸</w:t>
      </w:r>
      <w:r>
        <w:rPr>
          <w:rFonts w:hint="eastAsia" w:ascii="方正仿宋_GB2312" w:hAnsi="方正仿宋_GB2312" w:eastAsia="方正仿宋_GB2312" w:cs="方正仿宋_GB2312"/>
          <w:color w:val="auto"/>
          <w:sz w:val="24"/>
          <w:szCs w:val="24"/>
          <w:highlight w:val="none"/>
          <w:u w:val="single"/>
          <w:lang w:val="en-US" w:eastAsia="zh-CN"/>
        </w:rPr>
        <w:t>","本工程综合单价包括人工费、各类材料费（含辅材）、机械费、材料装卸运输费、材料二次搬运费（搬运距离根据现场综合考虑）、材料加工损耗、材料检测试验配合费、调试费、验收费、克服施工现场条件及难度费用、措施费、施工水电费、管理费、合理利润、规费税金等全部费用"</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0000FF"/>
          <w:sz w:val="24"/>
          <w:szCs w:val="24"/>
          <w:highlight w:val="none"/>
          <w:u w:val="single"/>
        </w:rPr>
        <w:t xml:space="preserve">乙方施工水电分别从甲方指定处接装水表及电表，按甲方的临时用水用电要求严格执行，由 乙方 承担相关材料设备及安装费用。施工水电费、保修期、苗木养护期间产生的水电费由乙方承担。 </w:t>
      </w:r>
    </w:p>
    <w:p w14:paraId="08313554">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因工程变更、新增内容、清单错漏项等导致工程内容、工程量发生变化的，合同价款可按下列方法进行调整（但合同性质为固定总价合同的情况、合同价款为锁定基础价格进行浮动的情况除外）：</w:t>
      </w:r>
    </w:p>
    <w:p w14:paraId="2D663039">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（1）合同中已有适用于变更工程的固定综合单价的，按该固定综合单价及变更工程量计算并调整合同价款；</w:t>
      </w:r>
    </w:p>
    <w:p w14:paraId="2F76EE4E">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（2）合同中只有类似于变更工程的固定综合单价的，可以参照该类似的固定综合单价及变更工程量计算并调整合同价款；</w:t>
      </w:r>
    </w:p>
    <w:p w14:paraId="3DA37E91">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（3）合同中没有适用或类似于变更工程的固定综合单价的，则双方另行协商确定单价。</w:t>
      </w:r>
    </w:p>
    <w:p w14:paraId="39475525">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甲方向乙方提出增加的施工工作内容（包括分包内容和数量），乙方应无条件服从并按甲方的要求配合完成施工。</w:t>
      </w:r>
    </w:p>
    <w:p w14:paraId="6671EE2C">
      <w:pPr>
        <w:pStyle w:val="36"/>
        <w:pageBreakBefore w:val="0"/>
        <w:kinsoku/>
        <w:overflowPunct/>
        <w:topLinePunct w:val="0"/>
        <w:autoSpaceDE/>
        <w:autoSpaceDN/>
        <w:bidi w:val="0"/>
        <w:spacing w:before="0" w:beforeAutospacing="0" w:after="0" w:afterAutospacing="0" w:line="540" w:lineRule="exact"/>
        <w:ind w:left="0" w:leftChars="0" w:firstLine="487" w:firstLineChars="202"/>
        <w:rPr>
          <w:rFonts w:hint="eastAsia" w:ascii="方正仿宋_GB2312" w:hAnsi="方正仿宋_GB2312" w:eastAsia="方正仿宋_GB2312" w:cs="方正仿宋_GB2312"/>
          <w:b/>
          <w:bCs/>
          <w:color w:val="auto"/>
          <w:sz w:val="24"/>
          <w:szCs w:val="24"/>
          <w:highlight w:val="none"/>
          <w:u w:val="single"/>
          <w:lang w:eastAsia="zh-CN"/>
        </w:rPr>
      </w:pPr>
      <w:r>
        <w:rPr>
          <w:rFonts w:hint="eastAsia" w:ascii="方正仿宋_GB2312" w:hAnsi="方正仿宋_GB2312" w:eastAsia="方正仿宋_GB2312" w:cs="方正仿宋_GB2312"/>
          <w:b/>
          <w:bCs/>
          <w:color w:val="auto"/>
          <w:sz w:val="24"/>
          <w:szCs w:val="24"/>
          <w:highlight w:val="none"/>
          <w:u w:val="single"/>
        </w:rPr>
        <w:t>乙方应根据合同中已确定单价的内容提供确保质量要求的服务，并可根据实际发生的数量提出结算和支付申请。如果乙方提出对合同中未确定单价的内容进行结算的，甲方则不予以认可。甲方的任何代表、个人所签认的内容、数量和金额对乙方均无效，且甲方不承担任何经济和法律责任。</w:t>
      </w:r>
    </w:p>
    <w:p w14:paraId="4D9CE3D2">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四、支付条件、支付方式、结算方式、发票开具及收款方账户</w:t>
      </w:r>
    </w:p>
    <w:p w14:paraId="060783FF">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（一）支付条件：</w:t>
      </w:r>
    </w:p>
    <w:p w14:paraId="0B1EC27E">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FF0000"/>
          <w:sz w:val="24"/>
          <w:szCs w:val="24"/>
          <w:highlight w:val="none"/>
        </w:rPr>
        <w:t>1.按工程形象进度</w:t>
      </w:r>
      <w:r>
        <w:rPr>
          <w:rFonts w:hint="eastAsia" w:ascii="方正仿宋_GB2312" w:hAnsi="方正仿宋_GB2312" w:eastAsia="方正仿宋_GB2312" w:cs="方正仿宋_GB2312"/>
          <w:color w:val="FF0000"/>
          <w:sz w:val="24"/>
          <w:szCs w:val="24"/>
          <w:highlight w:val="none"/>
          <w:lang w:val="en-US" w:eastAsia="zh-CN"/>
        </w:rPr>
        <w:t>支付进度款</w:t>
      </w:r>
      <w:r>
        <w:rPr>
          <w:rFonts w:hint="eastAsia" w:ascii="方正仿宋_GB2312" w:hAnsi="方正仿宋_GB2312" w:eastAsia="方正仿宋_GB2312" w:cs="方正仿宋_GB2312"/>
          <w:color w:val="FF0000"/>
          <w:sz w:val="24"/>
          <w:szCs w:val="24"/>
          <w:highlight w:val="none"/>
        </w:rPr>
        <w:t>，合同内工程进度款支付限额为甲方确认的乙方已完成工程量的</w:t>
      </w:r>
      <w:r>
        <w:rPr>
          <w:rFonts w:hint="eastAsia" w:ascii="方正仿宋_GB2312" w:hAnsi="方正仿宋_GB2312" w:eastAsia="方正仿宋_GB2312" w:cs="方正仿宋_GB2312"/>
          <w:color w:val="FF0000"/>
          <w:sz w:val="24"/>
          <w:szCs w:val="24"/>
          <w:highlight w:val="none"/>
          <w:lang w:val="en-US" w:eastAsia="zh-CN"/>
        </w:rPr>
        <w:t>7</w:t>
      </w:r>
      <w:r>
        <w:rPr>
          <w:rFonts w:hint="eastAsia" w:ascii="方正仿宋_GB2312" w:hAnsi="方正仿宋_GB2312" w:eastAsia="方正仿宋_GB2312" w:cs="方正仿宋_GB2312"/>
          <w:color w:val="FF0000"/>
          <w:sz w:val="24"/>
          <w:szCs w:val="24"/>
          <w:highlight w:val="none"/>
        </w:rPr>
        <w:t>0%，详见《工程款支付一览表》。</w:t>
      </w:r>
    </w:p>
    <w:p w14:paraId="15A9DB78">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auto"/>
          <w:sz w:val="24"/>
          <w:szCs w:val="24"/>
          <w:highlight w:val="none"/>
        </w:rPr>
        <w:t>2.全部施工完成后，完成的施工内容需经甲方相关部门验收通过，且双方签字确认验收资料（收方记录、劳务人员应发工资表明细、劳务人员月考勤表</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）后</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0000FF"/>
          <w:sz w:val="24"/>
          <w:szCs w:val="24"/>
          <w:highlight w:val="none"/>
        </w:rPr>
        <w:t>甲方在收到乙方的请款报告后20个工作日内，向乙方支付已完成工程量的</w:t>
      </w:r>
      <w:r>
        <w:rPr>
          <w:rFonts w:hint="eastAsia" w:ascii="方正仿宋_GB2312" w:hAnsi="方正仿宋_GB2312" w:eastAsia="方正仿宋_GB2312" w:cs="方正仿宋_GB2312"/>
          <w:color w:val="0000FF"/>
          <w:sz w:val="24"/>
          <w:szCs w:val="24"/>
          <w:highlight w:val="none"/>
          <w:lang w:val="en-US" w:eastAsia="zh-CN"/>
        </w:rPr>
        <w:t>9</w:t>
      </w:r>
      <w:r>
        <w:rPr>
          <w:rFonts w:hint="eastAsia" w:ascii="方正仿宋_GB2312" w:hAnsi="方正仿宋_GB2312" w:eastAsia="方正仿宋_GB2312" w:cs="方正仿宋_GB2312"/>
          <w:color w:val="0000FF"/>
          <w:sz w:val="24"/>
          <w:szCs w:val="24"/>
          <w:highlight w:val="none"/>
        </w:rPr>
        <w:t>0%；</w:t>
      </w:r>
    </w:p>
    <w:p w14:paraId="7CC8F6A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甲方收到乙方递交的完整结算资料（乙方的竣工图及收方记录、劳务人员工资发放表、劳务人员考勤表、已付清承诺书</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）后28天内进行核实，给予确认或者提出修改意见。甲乙双方确认竣工图、工程量并完成结算审定后28天内向乙方支付至结算额的 97 %；</w:t>
      </w:r>
    </w:p>
    <w:p w14:paraId="4B5885F8">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结算金额的 3 %作为质保金，工程质量保修期届满后，</w:t>
      </w:r>
      <w:r>
        <w:rPr>
          <w:rFonts w:hint="eastAsia" w:ascii="方正仿宋_GB2312" w:hAnsi="方正仿宋_GB2312" w:eastAsia="方正仿宋_GB2312" w:cs="方正仿宋_GB2312"/>
          <w:color w:val="0000FF"/>
          <w:sz w:val="24"/>
          <w:szCs w:val="24"/>
          <w:highlight w:val="none"/>
        </w:rPr>
        <w:t>乙方按要求提出申请，甲、乙双方办理工程质量保证金结算手续后</w:t>
      </w:r>
      <w:r>
        <w:rPr>
          <w:rFonts w:hint="eastAsia" w:ascii="方正仿宋_GB2312" w:hAnsi="方正仿宋_GB2312" w:eastAsia="方正仿宋_GB2312" w:cs="方正仿宋_GB2312"/>
          <w:color w:val="0000FF"/>
          <w:sz w:val="24"/>
          <w:szCs w:val="24"/>
          <w:highlight w:val="none"/>
          <w:lang w:val="en-US" w:eastAsia="zh-CN"/>
        </w:rPr>
        <w:t>20</w:t>
      </w:r>
      <w:r>
        <w:rPr>
          <w:rFonts w:hint="eastAsia" w:ascii="方正仿宋_GB2312" w:hAnsi="方正仿宋_GB2312" w:eastAsia="方正仿宋_GB2312" w:cs="方正仿宋_GB2312"/>
          <w:color w:val="0000FF"/>
          <w:sz w:val="24"/>
          <w:szCs w:val="24"/>
          <w:highlight w:val="none"/>
        </w:rPr>
        <w:t>个工作日内</w:t>
      </w:r>
      <w:r>
        <w:rPr>
          <w:rFonts w:hint="eastAsia" w:ascii="方正仿宋_GB2312" w:hAnsi="方正仿宋_GB2312" w:eastAsia="方正仿宋_GB2312" w:cs="方正仿宋_GB2312"/>
          <w:color w:val="0000FF"/>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甲方将剩余的工程质量保证金（无息）支付给乙方（工程质量保证金金额与甲方向乙方支付的结算金额余款合计开具发票）。</w:t>
      </w:r>
    </w:p>
    <w:p w14:paraId="37A269E2">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在符合合同约定的支付条件，且乙方向甲方提供与本次支付金额相符的增值税专用发票后，由甲方按乙方在本合同中提供的银行账号以转账的方式向乙方支付。乙方须在付款前提供足额的增值税专用发票给甲方，否则甲方有权拒绝付款。</w:t>
      </w:r>
    </w:p>
    <w:p w14:paraId="4CFBBEA7">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其他：</w:t>
      </w:r>
      <w:r>
        <w:rPr>
          <w:rFonts w:hint="eastAsia" w:ascii="方正仿宋_GB2312" w:hAnsi="方正仿宋_GB2312" w:eastAsia="方正仿宋_GB2312" w:cs="方正仿宋_GB2312"/>
          <w:color w:val="auto"/>
          <w:sz w:val="24"/>
          <w:szCs w:val="24"/>
          <w:highlight w:val="none"/>
          <w:u w:val="single"/>
        </w:rPr>
        <w:t xml:space="preserve">       /       。</w:t>
      </w:r>
    </w:p>
    <w:p w14:paraId="4270A0FC">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（二）支付方式：公对公转账。</w:t>
      </w:r>
    </w:p>
    <w:p w14:paraId="0356E2CA">
      <w:pPr>
        <w:pStyle w:val="36"/>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（三）结算方式：结算价=结算单价乘以结算工程量。结算单价按照合同中约定的综合单价，结算工程量以经甲乙双方确认的竣工图或收方记录计算的清单工程量作为结算工程量）</w:t>
      </w:r>
    </w:p>
    <w:p w14:paraId="343BB43D">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（四）发票开具：乙方按以下信息向甲方开具增值税专用发票：</w:t>
      </w:r>
    </w:p>
    <w:p w14:paraId="0BD0CB49">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增值税专用发票购买方信息：</w:t>
      </w:r>
    </w:p>
    <w:p w14:paraId="7618A813">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单位名称：南宁轨道地产建筑工程有限责任公司</w:t>
      </w:r>
    </w:p>
    <w:p w14:paraId="7E9D2FE9">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地址：南宁市青秀区民族大道168号中房翡翠园紫青庭地下二层商铺</w:t>
      </w:r>
    </w:p>
    <w:p w14:paraId="18C4178D">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开户行：中国建设银行股份有限公司南宁金湖北路支行</w:t>
      </w:r>
    </w:p>
    <w:p w14:paraId="0BA691D1">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账号：45001604264050702251</w:t>
      </w:r>
    </w:p>
    <w:p w14:paraId="15AFF0A6">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税号：91450100198466905E</w:t>
      </w:r>
    </w:p>
    <w:p w14:paraId="13761100">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电话：0771-5857742</w:t>
      </w:r>
    </w:p>
    <w:p w14:paraId="54E93EFA">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增值税专用发票备注栏信息：</w:t>
      </w:r>
    </w:p>
    <w:p w14:paraId="4763C9C8">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项目名称：</w:t>
      </w:r>
    </w:p>
    <w:p w14:paraId="71815038">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项目地点：</w:t>
      </w:r>
    </w:p>
    <w:p w14:paraId="3E90007D">
      <w:pPr>
        <w:pageBreakBefore w:val="0"/>
        <w:kinsoku/>
        <w:overflowPunct/>
        <w:topLinePunct w:val="0"/>
        <w:autoSpaceDE/>
        <w:autoSpaceDN/>
        <w:bidi w:val="0"/>
        <w:spacing w:beforeAutospacing="0" w:afterAutospacing="0" w:line="540" w:lineRule="exact"/>
        <w:ind w:left="0" w:leftChars="0" w:firstLine="480" w:firstLineChars="200"/>
        <w:jc w:val="left"/>
        <w:rPr>
          <w:rFonts w:hint="default"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3. 乙方开具的增值税专用发票应保证信息完整、内容规范，备注栏按甲方给定信息备注清楚，否则退回重开；乙方开具增值税发票后，次月必须在税务网进行抄税，未经甲方事先书面同意，乙方不得擅自将已向甲方开具的增值税发票作废。若乙方擅自作废发票，需向甲方承担作废发票金额2%的违约金并承担因擅自作废给甲方造成的所有责任及损失。</w:t>
      </w:r>
    </w:p>
    <w:p w14:paraId="21695573">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（五）乙方收款账号：</w:t>
      </w:r>
    </w:p>
    <w:p w14:paraId="66A25BDD">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户名： </w:t>
      </w:r>
    </w:p>
    <w:p w14:paraId="47BB9513">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开户行： </w:t>
      </w:r>
    </w:p>
    <w:p w14:paraId="5BEF878B">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银行账号： </w:t>
      </w:r>
    </w:p>
    <w:p w14:paraId="0F1D7C81">
      <w:pPr>
        <w:pageBreakBefore w:val="0"/>
        <w:kinsoku/>
        <w:overflowPunct/>
        <w:topLinePunct w:val="0"/>
        <w:autoSpaceDE/>
        <w:autoSpaceDN/>
        <w:bidi w:val="0"/>
        <w:spacing w:beforeAutospacing="0" w:afterAutospacing="0" w:line="540" w:lineRule="exact"/>
        <w:ind w:left="0" w:leftChars="0" w:firstLine="482" w:firstLineChars="200"/>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五、履约保证金</w:t>
      </w:r>
    </w:p>
    <w:p w14:paraId="5EB87EFC">
      <w:pPr>
        <w:pageBreakBefore w:val="0"/>
        <w:kinsoku/>
        <w:overflowPunct/>
        <w:topLinePunct w:val="0"/>
        <w:autoSpaceDE/>
        <w:autoSpaceDN/>
        <w:bidi w:val="0"/>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5.1  </w:t>
      </w:r>
      <w:r>
        <w:rPr>
          <w:rFonts w:hint="eastAsia" w:ascii="方正仿宋_GB2312" w:hAnsi="方正仿宋_GB2312" w:eastAsia="方正仿宋_GB2312" w:cs="方正仿宋_GB2312"/>
          <w:b/>
          <w:color w:val="auto"/>
          <w:sz w:val="24"/>
          <w:szCs w:val="24"/>
          <w:highlight w:val="none"/>
        </w:rPr>
        <w:t>本合同履约保证金按照下列第</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color w:val="auto"/>
          <w:kern w:val="2"/>
          <w:sz w:val="24"/>
          <w:szCs w:val="24"/>
          <w:highlight w:val="none"/>
        </w:rPr>
        <w:t>5.1.1</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rPr>
        <w:t>项的约定执行：</w:t>
      </w:r>
    </w:p>
    <w:p w14:paraId="24960FF6">
      <w:pPr>
        <w:pageBreakBefore w:val="0"/>
        <w:kinsoku/>
        <w:overflowPunct/>
        <w:topLinePunct w:val="0"/>
        <w:autoSpaceDE/>
        <w:autoSpaceDN/>
        <w:bidi w:val="0"/>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5.1.1本合同乙方</w:t>
      </w:r>
      <w:r>
        <w:rPr>
          <w:rFonts w:hint="eastAsia" w:ascii="方正仿宋_GB2312" w:hAnsi="方正仿宋_GB2312" w:eastAsia="方正仿宋_GB2312" w:cs="方正仿宋_GB2312"/>
          <w:color w:val="0000FF"/>
          <w:kern w:val="2"/>
          <w:sz w:val="24"/>
          <w:szCs w:val="24"/>
          <w:highlight w:val="none"/>
          <w:lang w:val="en-US" w:eastAsia="zh-CN"/>
        </w:rPr>
        <w:t>无需</w:t>
      </w:r>
      <w:r>
        <w:rPr>
          <w:rFonts w:hint="eastAsia" w:ascii="方正仿宋_GB2312" w:hAnsi="方正仿宋_GB2312" w:eastAsia="方正仿宋_GB2312" w:cs="方正仿宋_GB2312"/>
          <w:color w:val="auto"/>
          <w:kern w:val="2"/>
          <w:sz w:val="24"/>
          <w:szCs w:val="24"/>
          <w:highlight w:val="none"/>
        </w:rPr>
        <w:t>缴纳履约保证金；</w:t>
      </w:r>
    </w:p>
    <w:p w14:paraId="66B74A12">
      <w:pPr>
        <w:pageBreakBefore w:val="0"/>
        <w:kinsoku/>
        <w:overflowPunct/>
        <w:topLinePunct w:val="0"/>
        <w:autoSpaceDE/>
        <w:autoSpaceDN/>
        <w:bidi w:val="0"/>
        <w:spacing w:beforeAutospacing="0" w:afterAutospacing="0" w:line="540" w:lineRule="exact"/>
        <w:ind w:left="0" w:leftChars="0" w:firstLine="480" w:firstLineChars="200"/>
        <w:textAlignment w:val="auto"/>
        <w:rPr>
          <w:rStyle w:val="20"/>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kern w:val="2"/>
          <w:sz w:val="24"/>
          <w:szCs w:val="24"/>
          <w:highlight w:val="none"/>
          <w:lang w:val="en-US" w:eastAsia="zh-CN"/>
        </w:rPr>
        <w:t>5.1.2</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提供履约担保的形式、金额及期限的：</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在收到中标通知书后，须在30日内，以</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、银行保函、工程担保、电子保函或保证保险等形式向</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提交本合同暂定总价款扣除</w:t>
      </w:r>
      <w:r>
        <w:rPr>
          <w:rStyle w:val="20"/>
          <w:rFonts w:hint="eastAsia" w:ascii="方正仿宋_GB2312" w:hAnsi="方正仿宋_GB2312" w:eastAsia="方正仿宋_GB2312" w:cs="方正仿宋_GB2312"/>
          <w:color w:val="auto"/>
          <w:sz w:val="24"/>
          <w:szCs w:val="24"/>
          <w:highlight w:val="none"/>
          <w:u w:val="single"/>
          <w:lang w:eastAsia="zh-CN"/>
        </w:rPr>
        <w:t>甲方</w:t>
      </w:r>
      <w:r>
        <w:rPr>
          <w:rStyle w:val="20"/>
          <w:rFonts w:hint="eastAsia" w:ascii="方正仿宋_GB2312" w:hAnsi="方正仿宋_GB2312" w:eastAsia="方正仿宋_GB2312" w:cs="方正仿宋_GB2312"/>
          <w:color w:val="auto"/>
          <w:sz w:val="24"/>
          <w:szCs w:val="24"/>
          <w:highlight w:val="none"/>
          <w:u w:val="single"/>
        </w:rPr>
        <w:t>材料设备价款、暂估专业工程、暂列金额后的</w:t>
      </w:r>
      <w:r>
        <w:rPr>
          <w:rStyle w:val="20"/>
          <w:rFonts w:hint="eastAsia" w:ascii="方正仿宋_GB2312" w:hAnsi="方正仿宋_GB2312" w:eastAsia="方正仿宋_GB2312" w:cs="方正仿宋_GB2312"/>
          <w:color w:val="auto"/>
          <w:sz w:val="24"/>
          <w:szCs w:val="24"/>
          <w:highlight w:val="none"/>
          <w:u w:val="single"/>
          <w:lang w:val="en-US" w:eastAsia="zh-CN"/>
        </w:rPr>
        <w:t xml:space="preserve">   </w:t>
      </w:r>
      <w:r>
        <w:rPr>
          <w:rStyle w:val="20"/>
          <w:rFonts w:hint="eastAsia" w:ascii="方正仿宋_GB2312" w:hAnsi="方正仿宋_GB2312" w:eastAsia="方正仿宋_GB2312" w:cs="方正仿宋_GB2312"/>
          <w:color w:val="auto"/>
          <w:sz w:val="24"/>
          <w:szCs w:val="24"/>
          <w:highlight w:val="none"/>
          <w:u w:val="single"/>
        </w:rPr>
        <w:t>%（¥</w:t>
      </w:r>
      <w:r>
        <w:rPr>
          <w:rStyle w:val="20"/>
          <w:rFonts w:hint="eastAsia" w:ascii="方正仿宋_GB2312" w:hAnsi="方正仿宋_GB2312" w:eastAsia="方正仿宋_GB2312" w:cs="方正仿宋_GB2312"/>
          <w:color w:val="auto"/>
          <w:sz w:val="24"/>
          <w:szCs w:val="24"/>
          <w:highlight w:val="none"/>
          <w:u w:val="single"/>
          <w:lang w:val="en-US" w:eastAsia="zh-CN"/>
        </w:rPr>
        <w:t xml:space="preserve">   元</w:t>
      </w:r>
      <w:r>
        <w:rPr>
          <w:rStyle w:val="20"/>
          <w:rFonts w:hint="eastAsia" w:ascii="方正仿宋_GB2312" w:hAnsi="方正仿宋_GB2312" w:eastAsia="方正仿宋_GB2312" w:cs="方正仿宋_GB2312"/>
          <w:color w:val="auto"/>
          <w:sz w:val="24"/>
          <w:szCs w:val="24"/>
          <w:highlight w:val="none"/>
          <w:u w:val="single"/>
        </w:rPr>
        <w:t xml:space="preserve"> ）的履约保证金，</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转账至如下银行账号：</w:t>
      </w:r>
    </w:p>
    <w:p w14:paraId="63F5034D">
      <w:pPr>
        <w:pStyle w:val="39"/>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rPr>
      </w:pPr>
      <w:r>
        <w:rPr>
          <w:rStyle w:val="20"/>
          <w:rFonts w:hint="eastAsia" w:ascii="方正仿宋_GB2312" w:hAnsi="方正仿宋_GB2312" w:eastAsia="方正仿宋_GB2312" w:cs="方正仿宋_GB2312"/>
          <w:color w:val="auto"/>
          <w:sz w:val="24"/>
          <w:szCs w:val="24"/>
          <w:highlight w:val="none"/>
        </w:rPr>
        <w:t xml:space="preserve">开户银行：中国建设银行股份有限公司南宁金湖北路支行 </w:t>
      </w:r>
    </w:p>
    <w:p w14:paraId="666A2560">
      <w:pPr>
        <w:pStyle w:val="39"/>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rPr>
      </w:pPr>
      <w:r>
        <w:rPr>
          <w:rStyle w:val="20"/>
          <w:rFonts w:hint="eastAsia" w:ascii="方正仿宋_GB2312" w:hAnsi="方正仿宋_GB2312" w:eastAsia="方正仿宋_GB2312" w:cs="方正仿宋_GB2312"/>
          <w:color w:val="auto"/>
          <w:sz w:val="24"/>
          <w:szCs w:val="24"/>
          <w:highlight w:val="none"/>
        </w:rPr>
        <w:t xml:space="preserve">开户名称：南宁轨道地产建筑工程有限责任公司 </w:t>
      </w:r>
    </w:p>
    <w:p w14:paraId="1B12ED46">
      <w:pPr>
        <w:pStyle w:val="39"/>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rPr>
      </w:pPr>
      <w:r>
        <w:rPr>
          <w:rStyle w:val="20"/>
          <w:rFonts w:hint="eastAsia" w:ascii="方正仿宋_GB2312" w:hAnsi="方正仿宋_GB2312" w:eastAsia="方正仿宋_GB2312" w:cs="方正仿宋_GB2312"/>
          <w:color w:val="auto"/>
          <w:sz w:val="24"/>
          <w:szCs w:val="24"/>
          <w:highlight w:val="none"/>
        </w:rPr>
        <w:t>账号：45001604264050702251</w:t>
      </w:r>
    </w:p>
    <w:p w14:paraId="474F31A7">
      <w:pPr>
        <w:pStyle w:val="39"/>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rPr>
      </w:pPr>
      <w:r>
        <w:rPr>
          <w:rStyle w:val="20"/>
          <w:rFonts w:hint="eastAsia" w:ascii="方正仿宋_GB2312" w:hAnsi="方正仿宋_GB2312" w:eastAsia="方正仿宋_GB2312" w:cs="方正仿宋_GB2312"/>
          <w:color w:val="auto"/>
          <w:sz w:val="24"/>
          <w:szCs w:val="24"/>
          <w:highlight w:val="none"/>
        </w:rPr>
        <w:t>若</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逾期不支付履约保证金或提供保函、工程担保的，每逾期一天，</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应按本合同暂定总价款的万分之三向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支付违约金，逾期超过</w:t>
      </w:r>
      <w:r>
        <w:rPr>
          <w:rStyle w:val="20"/>
          <w:rFonts w:hint="eastAsia" w:ascii="方正仿宋_GB2312" w:hAnsi="方正仿宋_GB2312" w:eastAsia="方正仿宋_GB2312" w:cs="方正仿宋_GB2312"/>
          <w:color w:val="auto"/>
          <w:sz w:val="24"/>
          <w:szCs w:val="24"/>
          <w:highlight w:val="none"/>
          <w:u w:val="single"/>
        </w:rPr>
        <w:t>五</w:t>
      </w:r>
      <w:r>
        <w:rPr>
          <w:rStyle w:val="20"/>
          <w:rFonts w:hint="eastAsia" w:ascii="方正仿宋_GB2312" w:hAnsi="方正仿宋_GB2312" w:eastAsia="方正仿宋_GB2312" w:cs="方正仿宋_GB2312"/>
          <w:color w:val="auto"/>
          <w:sz w:val="24"/>
          <w:szCs w:val="24"/>
          <w:highlight w:val="none"/>
        </w:rPr>
        <w:t>天仍未支付或仍未完全支付的，</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有权解除本合同。如</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行使合同解除权的，</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有权不支付未付款项（含工程款），如受到损失的，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还应负责赔偿。</w:t>
      </w:r>
    </w:p>
    <w:p w14:paraId="4AAEE1F6">
      <w:pPr>
        <w:pStyle w:val="39"/>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u w:val="single"/>
        </w:rPr>
      </w:pPr>
      <w:r>
        <w:rPr>
          <w:rStyle w:val="20"/>
          <w:rFonts w:hint="eastAsia" w:ascii="方正仿宋_GB2312" w:hAnsi="方正仿宋_GB2312" w:eastAsia="方正仿宋_GB2312" w:cs="方正仿宋_GB2312"/>
          <w:color w:val="auto"/>
          <w:sz w:val="24"/>
          <w:szCs w:val="24"/>
          <w:highlight w:val="none"/>
          <w:u w:val="single"/>
        </w:rPr>
        <w:t>履约担保的有效期自本合同生效之日起，至工程竣工验收合格、</w:t>
      </w:r>
      <w:r>
        <w:rPr>
          <w:rStyle w:val="20"/>
          <w:rFonts w:hint="eastAsia" w:ascii="方正仿宋_GB2312" w:hAnsi="方正仿宋_GB2312" w:eastAsia="方正仿宋_GB2312" w:cs="方正仿宋_GB2312"/>
          <w:color w:val="auto"/>
          <w:kern w:val="0"/>
          <w:sz w:val="24"/>
          <w:szCs w:val="24"/>
          <w:highlight w:val="none"/>
          <w:u w:val="single"/>
        </w:rPr>
        <w:t>工程接收证书颁发之日止</w:t>
      </w:r>
      <w:r>
        <w:rPr>
          <w:rStyle w:val="20"/>
          <w:rFonts w:hint="eastAsia" w:ascii="方正仿宋_GB2312" w:hAnsi="方正仿宋_GB2312" w:eastAsia="方正仿宋_GB2312" w:cs="方正仿宋_GB2312"/>
          <w:color w:val="auto"/>
          <w:sz w:val="24"/>
          <w:szCs w:val="24"/>
          <w:highlight w:val="none"/>
          <w:u w:val="single"/>
        </w:rPr>
        <w:t>。</w:t>
      </w:r>
    </w:p>
    <w:p w14:paraId="7930468E">
      <w:pPr>
        <w:pStyle w:val="39"/>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b/>
          <w:color w:val="auto"/>
          <w:kern w:val="0"/>
          <w:sz w:val="24"/>
          <w:szCs w:val="24"/>
          <w:highlight w:val="none"/>
        </w:rPr>
      </w:pPr>
      <w:r>
        <w:rPr>
          <w:rStyle w:val="20"/>
          <w:rFonts w:hint="eastAsia" w:ascii="方正仿宋_GB2312" w:hAnsi="方正仿宋_GB2312" w:eastAsia="方正仿宋_GB2312" w:cs="方正仿宋_GB2312"/>
          <w:color w:val="auto"/>
          <w:sz w:val="24"/>
          <w:szCs w:val="24"/>
          <w:highlight w:val="none"/>
          <w:u w:val="single"/>
        </w:rPr>
        <w:t>（1）如果是以</w:t>
      </w:r>
      <w:r>
        <w:rPr>
          <w:rStyle w:val="20"/>
          <w:rFonts w:hint="eastAsia" w:ascii="方正仿宋_GB2312" w:hAnsi="方正仿宋_GB2312" w:eastAsia="方正仿宋_GB2312" w:cs="方正仿宋_GB2312"/>
          <w:color w:val="auto"/>
          <w:sz w:val="24"/>
          <w:szCs w:val="24"/>
          <w:highlight w:val="none"/>
          <w:u w:val="single"/>
          <w:lang w:val="en-US" w:eastAsia="zh-CN"/>
        </w:rPr>
        <w:t>银行存款</w:t>
      </w:r>
      <w:r>
        <w:rPr>
          <w:rStyle w:val="20"/>
          <w:rFonts w:hint="eastAsia" w:ascii="方正仿宋_GB2312" w:hAnsi="方正仿宋_GB2312" w:eastAsia="方正仿宋_GB2312" w:cs="方正仿宋_GB2312"/>
          <w:color w:val="auto"/>
          <w:sz w:val="24"/>
          <w:szCs w:val="24"/>
          <w:highlight w:val="none"/>
          <w:u w:val="single"/>
        </w:rPr>
        <w:t>方式提供履约担保的，</w:t>
      </w:r>
      <w:r>
        <w:rPr>
          <w:rStyle w:val="20"/>
          <w:rFonts w:hint="eastAsia" w:ascii="方正仿宋_GB2312" w:hAnsi="方正仿宋_GB2312" w:eastAsia="方正仿宋_GB2312" w:cs="方正仿宋_GB2312"/>
          <w:color w:val="auto"/>
          <w:sz w:val="24"/>
          <w:szCs w:val="24"/>
          <w:highlight w:val="none"/>
        </w:rPr>
        <w:t>双方同意</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有权将</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的履约保证金中与</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应付</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的违约金、赔偿金等款项进行抵销，但应及时通知</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，且</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可从应付工程款中扣除相应金额补足</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的履约保证金；如应付工程款不足以补足的，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还应按</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要求的时限另行向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支付，逾期未补足，</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应按未付款项的万分之三/天向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支付违约金；逾期超过5天仍未补足的，</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有权解除本合同。如</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行使合同解除权的，余下的履约保证金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不予退回，同时</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除按上述约定支付违约金外，还应按本合同暂定总价款的</w:t>
      </w:r>
      <w:r>
        <w:rPr>
          <w:rStyle w:val="20"/>
          <w:rFonts w:hint="eastAsia" w:ascii="方正仿宋_GB2312" w:hAnsi="方正仿宋_GB2312" w:eastAsia="方正仿宋_GB2312" w:cs="方正仿宋_GB2312"/>
          <w:color w:val="auto"/>
          <w:sz w:val="24"/>
          <w:szCs w:val="24"/>
          <w:highlight w:val="none"/>
          <w:u w:val="single"/>
        </w:rPr>
        <w:t xml:space="preserve"> 5 </w:t>
      </w:r>
      <w:r>
        <w:rPr>
          <w:rStyle w:val="20"/>
          <w:rFonts w:hint="eastAsia" w:ascii="方正仿宋_GB2312" w:hAnsi="方正仿宋_GB2312" w:eastAsia="方正仿宋_GB2312" w:cs="方正仿宋_GB2312"/>
          <w:color w:val="auto"/>
          <w:sz w:val="24"/>
          <w:szCs w:val="24"/>
          <w:highlight w:val="none"/>
        </w:rPr>
        <w:t>%向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支付解约违约金，若因此造成</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损失的，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还应予以</w:t>
      </w:r>
      <w:r>
        <w:rPr>
          <w:rStyle w:val="20"/>
          <w:rFonts w:hint="eastAsia" w:ascii="方正仿宋_GB2312" w:hAnsi="方正仿宋_GB2312" w:eastAsia="方正仿宋_GB2312" w:cs="方正仿宋_GB2312"/>
          <w:color w:val="auto"/>
          <w:sz w:val="24"/>
          <w:szCs w:val="24"/>
          <w:highlight w:val="none"/>
          <w:lang w:val="en-US" w:eastAsia="zh-CN"/>
        </w:rPr>
        <w:t>全额</w:t>
      </w:r>
      <w:r>
        <w:rPr>
          <w:rStyle w:val="20"/>
          <w:rFonts w:hint="eastAsia" w:ascii="方正仿宋_GB2312" w:hAnsi="方正仿宋_GB2312" w:eastAsia="方正仿宋_GB2312" w:cs="方正仿宋_GB2312"/>
          <w:color w:val="auto"/>
          <w:sz w:val="24"/>
          <w:szCs w:val="24"/>
          <w:highlight w:val="none"/>
        </w:rPr>
        <w:t>赔偿</w:t>
      </w:r>
      <w:r>
        <w:rPr>
          <w:rStyle w:val="20"/>
          <w:rFonts w:hint="eastAsia" w:ascii="方正仿宋_GB2312" w:hAnsi="方正仿宋_GB2312" w:eastAsia="方正仿宋_GB2312" w:cs="方正仿宋_GB2312"/>
          <w:b/>
          <w:color w:val="auto"/>
          <w:kern w:val="0"/>
          <w:sz w:val="24"/>
          <w:szCs w:val="24"/>
          <w:highlight w:val="none"/>
        </w:rPr>
        <w:t>。</w:t>
      </w:r>
    </w:p>
    <w:p w14:paraId="2D472620">
      <w:pPr>
        <w:pStyle w:val="39"/>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u w:val="single"/>
        </w:rPr>
      </w:pPr>
      <w:r>
        <w:rPr>
          <w:rStyle w:val="20"/>
          <w:rFonts w:hint="eastAsia" w:ascii="方正仿宋_GB2312" w:hAnsi="方正仿宋_GB2312" w:eastAsia="方正仿宋_GB2312" w:cs="方正仿宋_GB2312"/>
          <w:color w:val="auto"/>
          <w:sz w:val="24"/>
          <w:szCs w:val="24"/>
          <w:highlight w:val="none"/>
          <w:u w:val="single"/>
        </w:rPr>
        <w:t>（2）如果是以银行保函方式提供履约担保的，在</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违约时，</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可就</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应付给</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的违约金、赔偿金等款项向银行申请索赔，</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应当予以配合。如</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无法通过银行保函的方式获得赔偿或发现</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提供的银行保函无效的，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有权立即要求</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按照本合同的约定提供</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方式的履约担保，如</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拒不提供</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作为履约担保方式的，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可解除本合同，</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rPr>
        <w:t>还应按本合同暂定总价款的</w:t>
      </w:r>
      <w:r>
        <w:rPr>
          <w:rStyle w:val="20"/>
          <w:rFonts w:hint="eastAsia" w:ascii="方正仿宋_GB2312" w:hAnsi="方正仿宋_GB2312" w:eastAsia="方正仿宋_GB2312" w:cs="方正仿宋_GB2312"/>
          <w:color w:val="auto"/>
          <w:sz w:val="24"/>
          <w:szCs w:val="24"/>
          <w:highlight w:val="none"/>
          <w:u w:val="single"/>
        </w:rPr>
        <w:t xml:space="preserve"> 5 </w:t>
      </w:r>
      <w:r>
        <w:rPr>
          <w:rStyle w:val="20"/>
          <w:rFonts w:hint="eastAsia" w:ascii="方正仿宋_GB2312" w:hAnsi="方正仿宋_GB2312" w:eastAsia="方正仿宋_GB2312" w:cs="方正仿宋_GB2312"/>
          <w:color w:val="auto"/>
          <w:sz w:val="24"/>
          <w:szCs w:val="24"/>
          <w:highlight w:val="none"/>
        </w:rPr>
        <w:t>%向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支付解约违约金，若因此造成</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损失的，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还应予以</w:t>
      </w:r>
      <w:r>
        <w:rPr>
          <w:rStyle w:val="20"/>
          <w:rFonts w:hint="eastAsia" w:ascii="方正仿宋_GB2312" w:hAnsi="方正仿宋_GB2312" w:eastAsia="方正仿宋_GB2312" w:cs="方正仿宋_GB2312"/>
          <w:color w:val="auto"/>
          <w:sz w:val="24"/>
          <w:szCs w:val="24"/>
          <w:highlight w:val="none"/>
          <w:lang w:val="en-US" w:eastAsia="zh-CN"/>
        </w:rPr>
        <w:t>全额</w:t>
      </w:r>
      <w:r>
        <w:rPr>
          <w:rStyle w:val="20"/>
          <w:rFonts w:hint="eastAsia" w:ascii="方正仿宋_GB2312" w:hAnsi="方正仿宋_GB2312" w:eastAsia="方正仿宋_GB2312" w:cs="方正仿宋_GB2312"/>
          <w:color w:val="auto"/>
          <w:sz w:val="24"/>
          <w:szCs w:val="24"/>
          <w:highlight w:val="none"/>
        </w:rPr>
        <w:t>赔偿</w:t>
      </w:r>
      <w:r>
        <w:rPr>
          <w:rStyle w:val="20"/>
          <w:rFonts w:hint="eastAsia" w:ascii="方正仿宋_GB2312" w:hAnsi="方正仿宋_GB2312" w:eastAsia="方正仿宋_GB2312" w:cs="方正仿宋_GB2312"/>
          <w:b/>
          <w:color w:val="auto"/>
          <w:kern w:val="0"/>
          <w:sz w:val="24"/>
          <w:szCs w:val="24"/>
          <w:highlight w:val="none"/>
        </w:rPr>
        <w:t>。</w:t>
      </w:r>
    </w:p>
    <w:p w14:paraId="335D9C1D">
      <w:pPr>
        <w:pStyle w:val="39"/>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u w:val="single"/>
        </w:rPr>
      </w:pPr>
      <w:r>
        <w:rPr>
          <w:rStyle w:val="20"/>
          <w:rFonts w:hint="eastAsia" w:ascii="方正仿宋_GB2312" w:hAnsi="方正仿宋_GB2312" w:eastAsia="方正仿宋_GB2312" w:cs="方正仿宋_GB2312"/>
          <w:color w:val="auto"/>
          <w:sz w:val="24"/>
          <w:szCs w:val="24"/>
          <w:highlight w:val="none"/>
          <w:u w:val="single"/>
        </w:rPr>
        <w:t>（</w:t>
      </w:r>
      <w:r>
        <w:rPr>
          <w:rStyle w:val="20"/>
          <w:rFonts w:hint="eastAsia" w:ascii="方正仿宋_GB2312" w:hAnsi="方正仿宋_GB2312" w:eastAsia="方正仿宋_GB2312" w:cs="方正仿宋_GB2312"/>
          <w:color w:val="auto"/>
          <w:sz w:val="24"/>
          <w:szCs w:val="24"/>
          <w:highlight w:val="none"/>
          <w:u w:val="single"/>
          <w:lang w:val="en-US" w:eastAsia="zh-CN"/>
        </w:rPr>
        <w:t>3</w:t>
      </w:r>
      <w:r>
        <w:rPr>
          <w:rStyle w:val="20"/>
          <w:rFonts w:hint="eastAsia" w:ascii="方正仿宋_GB2312" w:hAnsi="方正仿宋_GB2312" w:eastAsia="方正仿宋_GB2312" w:cs="方正仿宋_GB2312"/>
          <w:color w:val="auto"/>
          <w:sz w:val="24"/>
          <w:szCs w:val="24"/>
          <w:highlight w:val="none"/>
          <w:u w:val="single"/>
        </w:rPr>
        <w:t>）如果是以其他</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认可的履约保函方式提供履约担保的，在</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违约时，</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可就</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应付给</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的违约金、赔偿金等款项向担保人申请索赔，</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应当予以配合。如</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无法通过履约保函的方式获得赔偿或发现</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提供的履约保函无效的，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有权立即要求</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按照本合同的约定提供</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方式的履约担保，如</w:t>
      </w:r>
      <w:r>
        <w:rPr>
          <w:rStyle w:val="20"/>
          <w:rFonts w:hint="eastAsia" w:ascii="方正仿宋_GB2312" w:hAnsi="方正仿宋_GB2312" w:eastAsia="方正仿宋_GB2312" w:cs="方正仿宋_GB2312"/>
          <w:color w:val="auto"/>
          <w:sz w:val="24"/>
          <w:szCs w:val="24"/>
          <w:highlight w:val="none"/>
          <w:u w:val="single"/>
          <w:lang w:val="en-US" w:eastAsia="zh-CN"/>
        </w:rPr>
        <w:t>乙</w:t>
      </w:r>
      <w:r>
        <w:rPr>
          <w:rStyle w:val="20"/>
          <w:rFonts w:hint="eastAsia" w:ascii="方正仿宋_GB2312" w:hAnsi="方正仿宋_GB2312" w:eastAsia="方正仿宋_GB2312" w:cs="方正仿宋_GB2312"/>
          <w:color w:val="auto"/>
          <w:sz w:val="24"/>
          <w:szCs w:val="24"/>
          <w:highlight w:val="none"/>
          <w:u w:val="single"/>
        </w:rPr>
        <w:t>方拒不提供</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作为履约担保方式的，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可解除本合同，</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rPr>
        <w:t>还应按本合同暂定总价款的</w:t>
      </w:r>
      <w:r>
        <w:rPr>
          <w:rStyle w:val="20"/>
          <w:rFonts w:hint="eastAsia" w:ascii="方正仿宋_GB2312" w:hAnsi="方正仿宋_GB2312" w:eastAsia="方正仿宋_GB2312" w:cs="方正仿宋_GB2312"/>
          <w:color w:val="auto"/>
          <w:sz w:val="24"/>
          <w:szCs w:val="24"/>
          <w:highlight w:val="none"/>
          <w:u w:val="single"/>
        </w:rPr>
        <w:t xml:space="preserve"> 5 </w:t>
      </w:r>
      <w:r>
        <w:rPr>
          <w:rStyle w:val="20"/>
          <w:rFonts w:hint="eastAsia" w:ascii="方正仿宋_GB2312" w:hAnsi="方正仿宋_GB2312" w:eastAsia="方正仿宋_GB2312" w:cs="方正仿宋_GB2312"/>
          <w:color w:val="auto"/>
          <w:sz w:val="24"/>
          <w:szCs w:val="24"/>
          <w:highlight w:val="none"/>
        </w:rPr>
        <w:t>%向</w:t>
      </w:r>
      <w:r>
        <w:rPr>
          <w:rStyle w:val="20"/>
          <w:rFonts w:hint="eastAsia" w:ascii="方正仿宋_GB2312" w:hAnsi="方正仿宋_GB2312" w:eastAsia="方正仿宋_GB2312" w:cs="方正仿宋_GB2312"/>
          <w:color w:val="auto"/>
          <w:sz w:val="24"/>
          <w:szCs w:val="24"/>
          <w:highlight w:val="none"/>
          <w:lang w:val="en-US" w:eastAsia="zh-CN"/>
        </w:rPr>
        <w:t>甲正价方</w:t>
      </w:r>
      <w:r>
        <w:rPr>
          <w:rStyle w:val="20"/>
          <w:rFonts w:hint="eastAsia" w:ascii="方正仿宋_GB2312" w:hAnsi="方正仿宋_GB2312" w:eastAsia="方正仿宋_GB2312" w:cs="方正仿宋_GB2312"/>
          <w:color w:val="auto"/>
          <w:sz w:val="24"/>
          <w:szCs w:val="24"/>
          <w:highlight w:val="none"/>
        </w:rPr>
        <w:t>支付解约违约金，若因此造成</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损失的，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还应予以</w:t>
      </w:r>
      <w:r>
        <w:rPr>
          <w:rStyle w:val="20"/>
          <w:rFonts w:hint="eastAsia" w:ascii="方正仿宋_GB2312" w:hAnsi="方正仿宋_GB2312" w:eastAsia="方正仿宋_GB2312" w:cs="方正仿宋_GB2312"/>
          <w:color w:val="auto"/>
          <w:sz w:val="24"/>
          <w:szCs w:val="24"/>
          <w:highlight w:val="none"/>
          <w:lang w:val="en-US" w:eastAsia="zh-CN"/>
        </w:rPr>
        <w:t>全额</w:t>
      </w:r>
      <w:r>
        <w:rPr>
          <w:rStyle w:val="20"/>
          <w:rFonts w:hint="eastAsia" w:ascii="方正仿宋_GB2312" w:hAnsi="方正仿宋_GB2312" w:eastAsia="方正仿宋_GB2312" w:cs="方正仿宋_GB2312"/>
          <w:color w:val="auto"/>
          <w:sz w:val="24"/>
          <w:szCs w:val="24"/>
          <w:highlight w:val="none"/>
        </w:rPr>
        <w:t>赔偿</w:t>
      </w:r>
      <w:r>
        <w:rPr>
          <w:rStyle w:val="20"/>
          <w:rFonts w:hint="eastAsia" w:ascii="方正仿宋_GB2312" w:hAnsi="方正仿宋_GB2312" w:eastAsia="方正仿宋_GB2312" w:cs="方正仿宋_GB2312"/>
          <w:b/>
          <w:color w:val="auto"/>
          <w:kern w:val="0"/>
          <w:sz w:val="24"/>
          <w:szCs w:val="24"/>
          <w:highlight w:val="none"/>
        </w:rPr>
        <w:t>。</w:t>
      </w:r>
    </w:p>
    <w:p w14:paraId="2C167809">
      <w:pPr>
        <w:pStyle w:val="39"/>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lang w:val="en-US" w:eastAsia="zh-CN"/>
        </w:rPr>
      </w:pPr>
      <w:r>
        <w:rPr>
          <w:rStyle w:val="20"/>
          <w:rFonts w:hint="eastAsia" w:ascii="方正仿宋_GB2312" w:hAnsi="方正仿宋_GB2312" w:eastAsia="方正仿宋_GB2312" w:cs="方正仿宋_GB2312"/>
          <w:color w:val="auto"/>
          <w:sz w:val="24"/>
          <w:szCs w:val="24"/>
          <w:highlight w:val="none"/>
          <w:u w:val="single"/>
        </w:rPr>
        <w:t>如</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以</w:t>
      </w:r>
      <w:r>
        <w:rPr>
          <w:rStyle w:val="20"/>
          <w:rFonts w:hint="eastAsia" w:ascii="方正仿宋_GB2312" w:hAnsi="方正仿宋_GB2312" w:eastAsia="方正仿宋_GB2312" w:cs="方正仿宋_GB2312"/>
          <w:color w:val="auto"/>
          <w:sz w:val="24"/>
          <w:szCs w:val="24"/>
          <w:highlight w:val="none"/>
          <w:u w:val="single"/>
          <w:lang w:val="en-US" w:eastAsia="zh-CN"/>
        </w:rPr>
        <w:t>银行存款</w:t>
      </w:r>
      <w:r>
        <w:rPr>
          <w:rStyle w:val="20"/>
          <w:rFonts w:hint="eastAsia" w:ascii="方正仿宋_GB2312" w:hAnsi="方正仿宋_GB2312" w:eastAsia="方正仿宋_GB2312" w:cs="方正仿宋_GB2312"/>
          <w:color w:val="auto"/>
          <w:sz w:val="24"/>
          <w:szCs w:val="24"/>
          <w:highlight w:val="none"/>
          <w:u w:val="single"/>
        </w:rPr>
        <w:t>方式提供履约担保的，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在工程竣工验收合格并对验收发现的问题完成整改后的7天内，向</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返还履约保证金的50%（无息）；</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向</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完成（施工）竣工资料移交手续并配合完成工程结算后，可向</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申请退还剩余履约保证金，</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应在收到申请之日起28天内扣减</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赔偿金和其他应从</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扣回的款项后，将履约保证金的余额退还给</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（无息）。</w:t>
      </w:r>
    </w:p>
    <w:p w14:paraId="0A255E96">
      <w:pPr>
        <w:pageBreakBefore w:val="0"/>
        <w:kinsoku/>
        <w:overflowPunct/>
        <w:topLinePunct w:val="0"/>
        <w:autoSpaceDE/>
        <w:autoSpaceDN/>
        <w:bidi w:val="0"/>
        <w:spacing w:beforeAutospacing="0" w:afterAutospacing="0" w:line="540" w:lineRule="exact"/>
        <w:ind w:left="0" w:leftChars="0" w:firstLine="482" w:firstLineChars="200"/>
        <w:jc w:val="left"/>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六、质保金金额、质保期限、质保要求：</w:t>
      </w:r>
    </w:p>
    <w:p w14:paraId="6C9BA33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本合同质保金按照下列第</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）项的约定执行。</w:t>
      </w:r>
    </w:p>
    <w:p w14:paraId="55DFA947">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（1）质保金金额</w:t>
      </w:r>
      <w:r>
        <w:rPr>
          <w:rFonts w:hint="eastAsia" w:ascii="方正仿宋_GB2312" w:hAnsi="方正仿宋_GB2312" w:eastAsia="方正仿宋_GB2312" w:cs="方正仿宋_GB2312"/>
          <w:color w:val="auto"/>
          <w:sz w:val="24"/>
          <w:szCs w:val="24"/>
          <w:highlight w:val="none"/>
          <w:u w:val="single"/>
        </w:rPr>
        <w:t xml:space="preserve">   无   </w:t>
      </w:r>
      <w:r>
        <w:rPr>
          <w:rFonts w:hint="eastAsia" w:ascii="方正仿宋_GB2312" w:hAnsi="方正仿宋_GB2312" w:eastAsia="方正仿宋_GB2312" w:cs="方正仿宋_GB2312"/>
          <w:color w:val="auto"/>
          <w:sz w:val="24"/>
          <w:szCs w:val="24"/>
          <w:highlight w:val="none"/>
        </w:rPr>
        <w:t xml:space="preserve"> ；质保期限</w:t>
      </w:r>
      <w:r>
        <w:rPr>
          <w:rFonts w:hint="eastAsia" w:ascii="方正仿宋_GB2312" w:hAnsi="方正仿宋_GB2312" w:eastAsia="方正仿宋_GB2312" w:cs="方正仿宋_GB2312"/>
          <w:color w:val="auto"/>
          <w:sz w:val="24"/>
          <w:szCs w:val="24"/>
          <w:highlight w:val="none"/>
          <w:u w:val="single"/>
        </w:rPr>
        <w:t xml:space="preserve">  无  </w:t>
      </w:r>
      <w:r>
        <w:rPr>
          <w:rFonts w:hint="eastAsia" w:ascii="方正仿宋_GB2312" w:hAnsi="方正仿宋_GB2312" w:eastAsia="方正仿宋_GB2312" w:cs="方正仿宋_GB2312"/>
          <w:color w:val="auto"/>
          <w:sz w:val="24"/>
          <w:szCs w:val="24"/>
          <w:highlight w:val="none"/>
        </w:rPr>
        <w:t xml:space="preserve">。 </w:t>
      </w:r>
    </w:p>
    <w:p w14:paraId="0C001FFE">
      <w:pPr>
        <w:pageBreakBefore w:val="0"/>
        <w:kinsoku/>
        <w:overflowPunct/>
        <w:topLinePunct w:val="0"/>
        <w:autoSpaceDE/>
        <w:autoSpaceDN/>
        <w:bidi w:val="0"/>
        <w:spacing w:beforeAutospacing="0" w:afterAutospacing="0" w:line="540" w:lineRule="exact"/>
        <w:ind w:left="719" w:leftChars="228" w:hanging="240" w:hanging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（2）质保金</w:t>
      </w:r>
      <w:r>
        <w:rPr>
          <w:rFonts w:hint="eastAsia" w:ascii="方正仿宋_GB2312" w:hAnsi="方正仿宋_GB2312" w:eastAsia="方正仿宋_GB2312" w:cs="方正仿宋_GB2312"/>
          <w:color w:val="auto"/>
          <w:sz w:val="24"/>
          <w:szCs w:val="24"/>
          <w:highlight w:val="none"/>
          <w:lang w:val="en-US" w:eastAsia="zh-CN"/>
        </w:rPr>
        <w:t>比例</w:t>
      </w:r>
      <w:r>
        <w:rPr>
          <w:rFonts w:hint="eastAsia" w:ascii="方正仿宋_GB2312" w:hAnsi="方正仿宋_GB2312" w:eastAsia="方正仿宋_GB2312" w:cs="方正仿宋_GB2312"/>
          <w:color w:val="auto"/>
          <w:sz w:val="24"/>
          <w:szCs w:val="24"/>
          <w:highlight w:val="none"/>
          <w:u w:val="single"/>
        </w:rPr>
        <w:t xml:space="preserve">  3%   </w:t>
      </w:r>
      <w:r>
        <w:rPr>
          <w:rFonts w:hint="eastAsia" w:ascii="方正仿宋_GB2312" w:hAnsi="方正仿宋_GB2312" w:eastAsia="方正仿宋_GB2312" w:cs="方正仿宋_GB2312"/>
          <w:color w:val="auto"/>
          <w:sz w:val="24"/>
          <w:szCs w:val="24"/>
          <w:highlight w:val="none"/>
        </w:rPr>
        <w:t xml:space="preserve"> ；工程保修期限</w:t>
      </w:r>
      <w:r>
        <w:rPr>
          <w:rFonts w:hint="eastAsia" w:ascii="方正仿宋_GB2312" w:hAnsi="方正仿宋_GB2312" w:eastAsia="方正仿宋_GB2312" w:cs="方正仿宋_GB2312"/>
          <w:color w:val="auto"/>
          <w:sz w:val="24"/>
          <w:szCs w:val="24"/>
          <w:highlight w:val="none"/>
          <w:lang w:val="en-US" w:eastAsia="zh-CN"/>
        </w:rPr>
        <w:t>如下：</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本工程由乙方负责保修，具体保修期限为：</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.1基础、主体结构、挡土墙等工程为设计文件规定的该工程合理使用年限，</w:t>
      </w:r>
    </w:p>
    <w:p w14:paraId="08EDFA93">
      <w:pPr>
        <w:pageBreakBefore w:val="0"/>
        <w:kinsoku/>
        <w:overflowPunct/>
        <w:topLinePunct w:val="0"/>
        <w:autoSpaceDE/>
        <w:autoSpaceDN/>
        <w:bidi w:val="0"/>
        <w:spacing w:beforeAutospacing="0" w:afterAutospacing="0" w:line="540" w:lineRule="exact"/>
        <w:ind w:left="718" w:leftChars="342" w:firstLine="0" w:firstLine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1.2.2</w:t>
      </w:r>
      <w:r>
        <w:rPr>
          <w:rFonts w:hint="eastAsia" w:ascii="方正仿宋_GB2312" w:hAnsi="方正仿宋_GB2312" w:eastAsia="方正仿宋_GB2312" w:cs="方正仿宋_GB2312"/>
          <w:color w:val="auto"/>
          <w:sz w:val="24"/>
          <w:szCs w:val="24"/>
          <w:highlight w:val="none"/>
        </w:rPr>
        <w:t>节能、防水等工程为5年；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装修部分工程为2年；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电气管线、上下水管线安装工程为2年；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室外的上下水和小区道路等市政公用工程为2年；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其他约定：除上述内容外的其他内容均保修2年。</w:t>
      </w:r>
    </w:p>
    <w:p w14:paraId="12FFE043">
      <w:pPr>
        <w:pStyle w:val="8"/>
        <w:pageBreakBefore w:val="0"/>
        <w:kinsoku/>
        <w:overflowPunct/>
        <w:topLinePunct w:val="0"/>
        <w:autoSpaceDE/>
        <w:autoSpaceDN/>
        <w:bidi w:val="0"/>
        <w:spacing w:beforeAutospacing="0" w:afterAutospacing="0" w:line="540" w:lineRule="exact"/>
        <w:ind w:left="0" w:leftChars="0" w:firstLine="720" w:firstLineChars="3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临时设施类未满2年已完成拆除的，质保期限至完成拆除之日止。</w:t>
      </w:r>
    </w:p>
    <w:p w14:paraId="23760B4F">
      <w:pPr>
        <w:pStyle w:val="11"/>
        <w:pageBreakBefore w:val="0"/>
        <w:kinsoku/>
        <w:overflowPunct/>
        <w:topLinePunct w:val="0"/>
        <w:autoSpaceDE/>
        <w:autoSpaceDN/>
        <w:bidi w:val="0"/>
        <w:spacing w:beforeAutospacing="0" w:after="0" w:afterAutospacing="0" w:line="540" w:lineRule="exact"/>
        <w:ind w:left="0" w:leftChars="0" w:firstLine="720" w:firstLineChars="3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1.2.8行业有特殊要求的，按行业要求执行。</w:t>
      </w:r>
    </w:p>
    <w:p w14:paraId="677E2522">
      <w:pPr>
        <w:pStyle w:val="11"/>
        <w:pageBreakBefore w:val="0"/>
        <w:kinsoku/>
        <w:overflowPunct/>
        <w:topLinePunct w:val="0"/>
        <w:autoSpaceDE/>
        <w:autoSpaceDN/>
        <w:bidi w:val="0"/>
        <w:spacing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质保要求：</w:t>
      </w:r>
    </w:p>
    <w:p w14:paraId="5978183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15ABA1A3">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在质保期内，乙方接到报修电话必须90分钟内到达工地现场进行维修处理，并在报修通知中要求的时间内完成维修。如因乙方未按时完成维修，甲方有权扣收质保金，并自行维修处理，相关费用由乙方承担；如因乙方原因造成使用单位的投诉及发生的损失一切费用由乙方承担，并从质保金中扣除所产生的费用。</w:t>
      </w:r>
    </w:p>
    <w:p w14:paraId="6564FF05">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乙方提供的维修电话必须保证24小时畅通，及时处理维修问题。除不可抗力原因外，如24小时内无法联系到乙方，或乙方接到报修电话后未在90分钟内到达工地现场进行维修的，甲方可指派其他人员进行维修，发生的费用按双倍计算，从质保金中扣除，如质保金不足支付的，甲方有权向乙方追索，且乙方的保修义务不能因此而免除。</w:t>
      </w:r>
    </w:p>
    <w:p w14:paraId="79E62F3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（4）工程质量保修期内如发生紧急抢修事故，乙方应在接到甲方或用户通知后45分钟内到达事故现场进行抢修。非乙方施工质量引起的事故，抢修费用由责任方承担。</w:t>
      </w:r>
    </w:p>
    <w:p w14:paraId="73D6066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由于乙方不履行保修责任，甲方按约定直接从质保金中扣除的相关费用累计超过原保证金总额的50%的，甲方应以书面形式通知乙方。乙方应于甲方发出书面通知后十个工作日内，按甲方已扣除的费用额度补足质保金，否则按</w:t>
      </w:r>
      <w:r>
        <w:rPr>
          <w:rFonts w:hint="eastAsia" w:ascii="方正仿宋_GB2312" w:hAnsi="方正仿宋_GB2312" w:eastAsia="方正仿宋_GB2312" w:cs="方正仿宋_GB2312"/>
          <w:color w:val="auto"/>
          <w:sz w:val="24"/>
          <w:szCs w:val="24"/>
          <w:highlight w:val="none"/>
          <w:u w:val="single"/>
        </w:rPr>
        <w:t xml:space="preserve"> 500 </w:t>
      </w:r>
      <w:r>
        <w:rPr>
          <w:rFonts w:hint="eastAsia" w:ascii="方正仿宋_GB2312" w:hAnsi="方正仿宋_GB2312" w:eastAsia="方正仿宋_GB2312" w:cs="方正仿宋_GB2312"/>
          <w:color w:val="auto"/>
          <w:sz w:val="24"/>
          <w:szCs w:val="24"/>
          <w:highlight w:val="none"/>
        </w:rPr>
        <w:t>元/日的标准向甲方支付违约金。</w:t>
      </w:r>
    </w:p>
    <w:p w14:paraId="558189B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（6）质保期满后，甲方在收到乙方退保申请后的7个工作日内办理质保金退还手续，甲方将剩余的工程质量保证金（扣除违约金、赔偿金）退给乙方。</w:t>
      </w:r>
    </w:p>
    <w:p w14:paraId="7D02751A">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（7）在工程质量保修期内，对于乙方材料或施工原因造成的工程质量问题，乙方负责返修，返修费用由乙方承担。</w:t>
      </w:r>
    </w:p>
    <w:p w14:paraId="4BE4F320">
      <w:pPr>
        <w:pStyle w:val="36"/>
        <w:pageBreakBefore w:val="0"/>
        <w:kinsoku/>
        <w:overflowPunct/>
        <w:topLinePunct w:val="0"/>
        <w:autoSpaceDE/>
        <w:autoSpaceDN/>
        <w:bidi w:val="0"/>
        <w:spacing w:before="0" w:beforeAutospacing="0" w:after="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七、工程变更、结算资料</w:t>
      </w:r>
    </w:p>
    <w:p w14:paraId="380D5799">
      <w:pPr>
        <w:pStyle w:val="36"/>
        <w:pageBreakBefore w:val="0"/>
        <w:kinsoku/>
        <w:overflowPunct/>
        <w:topLinePunct w:val="0"/>
        <w:autoSpaceDE/>
        <w:autoSpaceDN/>
        <w:bidi w:val="0"/>
        <w:spacing w:before="0" w:beforeAutospacing="0" w:after="0" w:afterAutospacing="0" w:line="540" w:lineRule="exact"/>
        <w:ind w:left="0" w:leftChars="0" w:firstLine="456"/>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1.因设计变更引起本合同工程量增加或减少的，乙方应于变更发生后7日内将相关资料上报甲方审核确认。否则，对乙方因变更而增加的费用，甲方不予认可。</w:t>
      </w:r>
    </w:p>
    <w:p w14:paraId="7A6891BE">
      <w:pPr>
        <w:pStyle w:val="36"/>
        <w:pageBreakBefore w:val="0"/>
        <w:kinsoku/>
        <w:overflowPunct/>
        <w:topLinePunct w:val="0"/>
        <w:autoSpaceDE/>
        <w:autoSpaceDN/>
        <w:bidi w:val="0"/>
        <w:spacing w:before="0" w:beforeAutospacing="0" w:after="0" w:afterAutospacing="0" w:line="540" w:lineRule="exact"/>
        <w:ind w:left="0" w:leftChars="0" w:firstLine="456"/>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2.工程竣工14天内</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提交完整的竣工资料，包括但不限于完整的竣工图、竣工资料、工程移交单等资料。</w:t>
      </w:r>
    </w:p>
    <w:p w14:paraId="58F28471">
      <w:pPr>
        <w:pStyle w:val="36"/>
        <w:pageBreakBefore w:val="0"/>
        <w:kinsoku/>
        <w:overflowPunct/>
        <w:topLinePunct w:val="0"/>
        <w:autoSpaceDE/>
        <w:autoSpaceDN/>
        <w:bidi w:val="0"/>
        <w:spacing w:before="0" w:beforeAutospacing="0" w:after="0" w:afterAutospacing="0" w:line="540" w:lineRule="exact"/>
        <w:ind w:left="0" w:leftChars="0" w:firstLine="482"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八、工程质量</w:t>
      </w:r>
    </w:p>
    <w:p w14:paraId="1FD6EE2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工程质量标准为：</w:t>
      </w:r>
      <w:r>
        <w:rPr>
          <w:rFonts w:hint="eastAsia" w:ascii="方正仿宋_GB2312" w:hAnsi="方正仿宋_GB2312" w:eastAsia="方正仿宋_GB2312" w:cs="方正仿宋_GB2312"/>
          <w:bCs/>
          <w:color w:val="auto"/>
          <w:sz w:val="24"/>
          <w:szCs w:val="24"/>
          <w:highlight w:val="none"/>
          <w:u w:val="single"/>
        </w:rPr>
        <w:t>合格</w:t>
      </w:r>
      <w:r>
        <w:rPr>
          <w:rFonts w:hint="eastAsia" w:ascii="方正仿宋_GB2312" w:hAnsi="方正仿宋_GB2312" w:eastAsia="方正仿宋_GB2312" w:cs="方正仿宋_GB2312"/>
          <w:bCs/>
          <w:color w:val="auto"/>
          <w:sz w:val="24"/>
          <w:szCs w:val="24"/>
          <w:highlight w:val="none"/>
        </w:rPr>
        <w:t>。</w:t>
      </w:r>
    </w:p>
    <w:p w14:paraId="5FCE2D34">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乙方必须严格按照施工图纸、说明文件、设计变更、样板要求和国家、地方颁发的建筑工程规范标准和技术交底等进行施工，并接受甲方现场派驻代表的监督。</w:t>
      </w:r>
    </w:p>
    <w:p w14:paraId="3B4A392B">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需按合同约定采购材料，使用国标材料，材料进场前务必送样、定样、封样，每一批次材料进场，均需要全数对比样板。提供生产厂家营业执照（复印件）、生产厂家生产许可证（复印件）、所供各类规格材料及配件的生产厂家出厂检验报告（复印件）、产品合格证（原件）等，所提供的资料按一式四份分别提供，复印件要求每页加盖生产厂家或供货商公章或骑缝章。所购材料经甲方、监理方检查确认后，乙方才能施工使用，不符合要求的，乙方负责运出施工场地并重新采购。</w:t>
      </w:r>
    </w:p>
    <w:p w14:paraId="01A0F288">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材料进场及施工过程中，乙方需向甲方、监理报验的内容为：  </w:t>
      </w:r>
    </w:p>
    <w:p w14:paraId="240FD3C3">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4.1进场材料报验，配合现场取样及送样工作。</w:t>
      </w:r>
    </w:p>
    <w:p w14:paraId="4EADD9AA">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4.2进场前，施工方案报批，资质报审、现场管理人员资格报审。</w:t>
      </w:r>
    </w:p>
    <w:p w14:paraId="2C1FEA01">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4.3 施工人员进场后工作前进行安全教育及交底，留存相关资料。</w:t>
      </w:r>
    </w:p>
    <w:p w14:paraId="4625B628">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4.4所有要求报验项目均合格后方可进行下道工序施工。</w:t>
      </w:r>
    </w:p>
    <w:p w14:paraId="01B28420">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4.5所有隐蔽工序报验合格后方可进行下道工序施工。</w:t>
      </w:r>
    </w:p>
    <w:p w14:paraId="5F6C00D3">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4.6施工过程需完成以下资料收集，备查：</w:t>
      </w:r>
    </w:p>
    <w:p w14:paraId="0384BDAF">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 原材料及成品质量证明文件及进场验收记录、复检报告、报审手续。</w:t>
      </w:r>
    </w:p>
    <w:p w14:paraId="792D921E">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 有关安全及使用功能的检测报告和检查记录。</w:t>
      </w:r>
    </w:p>
    <w:p w14:paraId="1AD3CCAC">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(3) 有关工程的检验批、分项、子分部工程质量验收记录、验收报告。</w:t>
      </w:r>
    </w:p>
    <w:p w14:paraId="6EC17A9B">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 关于本工程施工的其他工程资料。</w:t>
      </w:r>
    </w:p>
    <w:p w14:paraId="2123ACB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本工程须按</w:t>
      </w:r>
      <w:r>
        <w:rPr>
          <w:rFonts w:hint="eastAsia" w:ascii="方正仿宋_GB2312" w:hAnsi="方正仿宋_GB2312" w:eastAsia="方正仿宋_GB2312" w:cs="方正仿宋_GB2312"/>
          <w:bCs/>
          <w:color w:val="auto"/>
          <w:sz w:val="24"/>
          <w:szCs w:val="24"/>
          <w:highlight w:val="none"/>
        </w:rPr>
        <w:t>相关技术标准及施工图纸方案实施，</w:t>
      </w:r>
      <w:r>
        <w:rPr>
          <w:rFonts w:hint="eastAsia" w:ascii="方正仿宋_GB2312" w:hAnsi="方正仿宋_GB2312" w:eastAsia="方正仿宋_GB2312" w:cs="方正仿宋_GB2312"/>
          <w:color w:val="auto"/>
          <w:sz w:val="24"/>
          <w:szCs w:val="24"/>
          <w:highlight w:val="none"/>
        </w:rPr>
        <w:t>因乙方自身原因造成质量验收不合格返工的，由乙方承担返工费用及由此造成的损失</w:t>
      </w:r>
      <w:r>
        <w:rPr>
          <w:rFonts w:hint="eastAsia" w:ascii="方正仿宋_GB2312" w:hAnsi="方正仿宋_GB2312" w:eastAsia="方正仿宋_GB2312" w:cs="方正仿宋_GB2312"/>
          <w:bCs/>
          <w:color w:val="auto"/>
          <w:sz w:val="24"/>
          <w:szCs w:val="24"/>
          <w:highlight w:val="none"/>
        </w:rPr>
        <w:t xml:space="preserve">。                                                                                                            </w:t>
      </w:r>
    </w:p>
    <w:p w14:paraId="2DDD7A15">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九、工程验收</w:t>
      </w:r>
    </w:p>
    <w:p w14:paraId="2E79561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工程验收需经甲方相关部门验收通过，验收以国家颁发的工程施工及验收规范、工程质量检验评定标准及施工图纸、施工技术文件、样板要求等为依据。</w:t>
      </w:r>
    </w:p>
    <w:p w14:paraId="0431323E">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验收标准：</w:t>
      </w:r>
    </w:p>
    <w:p w14:paraId="38A8B2D8">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（1）符合设计施工图纸要求；</w:t>
      </w:r>
    </w:p>
    <w:p w14:paraId="6C045DB8">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（2）符合建设方及甲方其他合理要求。</w:t>
      </w:r>
    </w:p>
    <w:p w14:paraId="125446DD">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甲方在接到乙方验收通知之日起7天内组织竣工验收。工程验收合格后2天内，乙方将该工程移交给甲方，甲方未在约定时间内组织验收的，工期顺延。</w:t>
      </w:r>
    </w:p>
    <w:p w14:paraId="4558580B">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未能通过验收的，乙方在甲方要求的时间内整改至验收合格，工期不顺延；因此造成工期延误的，按合同暂定总价3‰/天计收违约金，并赔偿因此给甲方造成的损失；工程经过2次以上（含2次）未能通过验收的，另行向甲方支付违约金人民币壹仟伍佰元（￥1500.00）/次的处罚。</w:t>
      </w:r>
    </w:p>
    <w:p w14:paraId="38BC8896">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甲方及乙方进行各项验收，如验收不合格或验收手续不全，甲方可以要求乙方返工直至验收合格，工期不顺延；因此造成工期延误的，按合同暂定总价0.03%/天计收违约金，并赔偿因此给甲方造成的损失。</w:t>
      </w:r>
    </w:p>
    <w:p w14:paraId="09929127">
      <w:pPr>
        <w:pStyle w:val="36"/>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工程竣工验收合格未交甲方接收之前，乙方负责</w:t>
      </w:r>
      <w:r>
        <w:rPr>
          <w:rFonts w:hint="eastAsia" w:ascii="方正仿宋_GB2312" w:hAnsi="方正仿宋_GB2312" w:eastAsia="方正仿宋_GB2312" w:cs="方正仿宋_GB2312"/>
          <w:color w:val="auto"/>
          <w:sz w:val="24"/>
          <w:szCs w:val="24"/>
          <w:highlight w:val="none"/>
          <w:lang w:val="en-US" w:eastAsia="zh-CN"/>
        </w:rPr>
        <w:t>看护</w:t>
      </w:r>
      <w:r>
        <w:rPr>
          <w:rFonts w:hint="eastAsia" w:ascii="方正仿宋_GB2312" w:hAnsi="方正仿宋_GB2312" w:eastAsia="方正仿宋_GB2312" w:cs="方正仿宋_GB2312"/>
          <w:color w:val="auto"/>
          <w:sz w:val="24"/>
          <w:szCs w:val="24"/>
          <w:highlight w:val="none"/>
        </w:rPr>
        <w:t>。若在乙方</w:t>
      </w:r>
      <w:r>
        <w:rPr>
          <w:rFonts w:hint="eastAsia" w:ascii="方正仿宋_GB2312" w:hAnsi="方正仿宋_GB2312" w:eastAsia="方正仿宋_GB2312" w:cs="方正仿宋_GB2312"/>
          <w:color w:val="auto"/>
          <w:sz w:val="24"/>
          <w:szCs w:val="24"/>
          <w:highlight w:val="none"/>
          <w:lang w:val="en-US" w:eastAsia="zh-CN"/>
        </w:rPr>
        <w:t>看护</w:t>
      </w:r>
      <w:r>
        <w:rPr>
          <w:rFonts w:hint="eastAsia" w:ascii="方正仿宋_GB2312" w:hAnsi="方正仿宋_GB2312" w:eastAsia="方正仿宋_GB2312" w:cs="方正仿宋_GB2312"/>
          <w:color w:val="auto"/>
          <w:sz w:val="24"/>
          <w:szCs w:val="24"/>
          <w:highlight w:val="none"/>
        </w:rPr>
        <w:t>期间发生损坏的，乙方保证在甲方提出之日起3日内修复完毕</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费用由乙方承担</w:t>
      </w:r>
      <w:r>
        <w:rPr>
          <w:rFonts w:hint="eastAsia" w:ascii="方正仿宋_GB2312" w:hAnsi="方正仿宋_GB2312" w:eastAsia="方正仿宋_GB2312" w:cs="方正仿宋_GB2312"/>
          <w:color w:val="auto"/>
          <w:sz w:val="24"/>
          <w:szCs w:val="24"/>
          <w:highlight w:val="none"/>
        </w:rPr>
        <w:t>，否则应按合同约定承担工期延误的违约责任；由于乙方或者其他施工方后期施工造成损坏的，费用由责任方承担。</w:t>
      </w:r>
    </w:p>
    <w:p w14:paraId="255744DB">
      <w:pPr>
        <w:pStyle w:val="36"/>
        <w:pageBreakBefore w:val="0"/>
        <w:kinsoku/>
        <w:overflowPunct/>
        <w:topLinePunct w:val="0"/>
        <w:autoSpaceDE/>
        <w:autoSpaceDN/>
        <w:bidi w:val="0"/>
        <w:spacing w:before="0" w:beforeAutospacing="0" w:after="0" w:afterAutospacing="0" w:line="540" w:lineRule="exact"/>
        <w:ind w:left="0" w:leftChars="0" w:firstLine="241" w:firstLineChars="1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十、甲方责任</w:t>
      </w:r>
    </w:p>
    <w:p w14:paraId="5521F7D6">
      <w:pPr>
        <w:pStyle w:val="36"/>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甲方项目经理：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，联系电话：</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p>
    <w:p w14:paraId="06642D1B">
      <w:pPr>
        <w:pStyle w:val="36"/>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甲方提供本工程相关的施工图纸、施工技术要求、设计效果图开展工作。</w:t>
      </w:r>
    </w:p>
    <w:p w14:paraId="7E388D4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按乙方要求提供施工现场水、电源，水电费由</w:t>
      </w:r>
      <w:r>
        <w:rPr>
          <w:rFonts w:hint="eastAsia" w:ascii="方正仿宋_GB2312" w:hAnsi="方正仿宋_GB2312" w:eastAsia="方正仿宋_GB2312" w:cs="方正仿宋_GB2312"/>
          <w:color w:val="auto"/>
          <w:sz w:val="24"/>
          <w:szCs w:val="24"/>
          <w:highlight w:val="none"/>
          <w:u w:val="single"/>
        </w:rPr>
        <w:t xml:space="preserve">  乙方 </w:t>
      </w:r>
      <w:r>
        <w:rPr>
          <w:rFonts w:hint="eastAsia" w:ascii="方正仿宋_GB2312" w:hAnsi="方正仿宋_GB2312" w:eastAsia="方正仿宋_GB2312" w:cs="方正仿宋_GB2312"/>
          <w:color w:val="auto"/>
          <w:sz w:val="24"/>
          <w:szCs w:val="24"/>
          <w:highlight w:val="none"/>
        </w:rPr>
        <w:t>承担</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bidi="ar-SA"/>
        </w:rPr>
        <w:t>乙方收到甲方水电费通知单5个工作日内转账至甲方对公银行账户，甲方亦有权直接从工程款中扣收</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提供设备材料放置场地（空地）；乙方自行解决住宿。</w:t>
      </w:r>
    </w:p>
    <w:p w14:paraId="4CF14EA8">
      <w:pPr>
        <w:pStyle w:val="36"/>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协助协调施工各方的关系及对工程工序的整体调度。</w:t>
      </w:r>
    </w:p>
    <w:p w14:paraId="55C757F7">
      <w:pPr>
        <w:pStyle w:val="36"/>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对乙方施工的工程，甲方工地代表负责进行监督，对不合格的工程（工序）甲方有权责令其返工或停工，因此造成的经济损失由乙方承担。</w:t>
      </w:r>
    </w:p>
    <w:p w14:paraId="0AF72D74">
      <w:pPr>
        <w:pStyle w:val="36"/>
        <w:pageBreakBefore w:val="0"/>
        <w:kinsoku/>
        <w:overflowPunct/>
        <w:topLinePunct w:val="0"/>
        <w:autoSpaceDE/>
        <w:autoSpaceDN/>
        <w:bidi w:val="0"/>
        <w:spacing w:before="0" w:beforeAutospacing="0" w:after="0" w:afterAutospacing="0" w:line="540" w:lineRule="exact"/>
        <w:ind w:left="0" w:leftChars="0" w:firstLine="241" w:firstLineChars="1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十一、乙方责任</w:t>
      </w:r>
    </w:p>
    <w:p w14:paraId="54E94A9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1.乙方委派的担任驻工地履行本合同的项目负责人</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 xml:space="preserve">人，姓名：XXX，联系电话：XXXXXXXXXX。 </w:t>
      </w:r>
    </w:p>
    <w:p w14:paraId="5F46702A">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2.乙方配置驻场专业管理人员：</w:t>
      </w:r>
      <w:r>
        <w:rPr>
          <w:rFonts w:hint="eastAsia" w:ascii="方正仿宋_GB2312" w:hAnsi="方正仿宋_GB2312" w:eastAsia="方正仿宋_GB2312" w:cs="方正仿宋_GB2312"/>
          <w:color w:val="auto"/>
          <w:sz w:val="24"/>
          <w:szCs w:val="24"/>
          <w:highlight w:val="none"/>
          <w:lang w:val="en-US" w:eastAsia="zh-CN"/>
        </w:rPr>
        <w:t>施工</w:t>
      </w:r>
      <w:r>
        <w:rPr>
          <w:rFonts w:hint="eastAsia" w:ascii="方正仿宋_GB2312" w:hAnsi="方正仿宋_GB2312" w:eastAsia="方正仿宋_GB2312" w:cs="方正仿宋_GB2312"/>
          <w:color w:val="auto"/>
          <w:sz w:val="24"/>
          <w:szCs w:val="24"/>
          <w:highlight w:val="none"/>
        </w:rPr>
        <w:t>员 </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人，专职安全管理人员</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 xml:space="preserve">人。 </w:t>
      </w:r>
    </w:p>
    <w:p w14:paraId="32B1EBC5">
      <w:pPr>
        <w:pageBreakBefore w:val="0"/>
        <w:kinsoku/>
        <w:overflowPunct/>
        <w:topLinePunct w:val="0"/>
        <w:autoSpaceDE/>
        <w:autoSpaceDN/>
        <w:bidi w:val="0"/>
        <w:spacing w:beforeAutospacing="0" w:afterAutospacing="0" w:line="540" w:lineRule="exact"/>
        <w:ind w:left="0" w:leftChars="0" w:firstLine="424" w:firstLineChars="177"/>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如乙方</w:t>
      </w:r>
      <w:r>
        <w:rPr>
          <w:rFonts w:hint="eastAsia" w:ascii="方正仿宋_GB2312" w:hAnsi="方正仿宋_GB2312" w:eastAsia="方正仿宋_GB2312" w:cs="方正仿宋_GB2312"/>
          <w:color w:val="auto"/>
          <w:sz w:val="24"/>
          <w:szCs w:val="24"/>
          <w:highlight w:val="none"/>
          <w:lang w:val="en-US" w:eastAsia="zh-CN"/>
        </w:rPr>
        <w:t>进场后未配置专职安全管理人员，须在2日内配置完成，并支付2000 元/日的违约金，乙方在接到甲方的书面通知后5日内转账至甲方对公账户，甲方亦有权从结算款中扣除；如7日内未配置完成，甲方有权终止本合同，并按本合同约定承担违约责任。</w:t>
      </w:r>
    </w:p>
    <w:p w14:paraId="3C94096C">
      <w:pPr>
        <w:pageBreakBefore w:val="0"/>
        <w:kinsoku/>
        <w:overflowPunct/>
        <w:topLinePunct w:val="0"/>
        <w:autoSpaceDE/>
        <w:autoSpaceDN/>
        <w:bidi w:val="0"/>
        <w:spacing w:beforeAutospacing="0" w:afterAutospacing="0" w:line="540" w:lineRule="exact"/>
        <w:ind w:left="0" w:leftChars="0" w:firstLine="424" w:firstLineChars="177"/>
        <w:rPr>
          <w:rFonts w:hint="default" w:ascii="方正仿宋_GB2312" w:hAnsi="方正仿宋_GB2312" w:eastAsia="方正仿宋_GB2312" w:cs="方正仿宋_GB2312"/>
          <w:color w:val="auto"/>
          <w:sz w:val="24"/>
          <w:szCs w:val="24"/>
          <w:highlight w:val="none"/>
          <w:lang w:val="en-US"/>
        </w:rPr>
      </w:pP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因工作需要更换项目负责人、项目技术负责人、</w:t>
      </w:r>
      <w:r>
        <w:rPr>
          <w:rFonts w:hint="eastAsia" w:ascii="方正仿宋_GB2312" w:hAnsi="方正仿宋_GB2312" w:eastAsia="方正仿宋_GB2312" w:cs="方正仿宋_GB2312"/>
          <w:color w:val="auto"/>
          <w:sz w:val="24"/>
          <w:szCs w:val="24"/>
          <w:highlight w:val="none"/>
          <w:lang w:val="en-US" w:eastAsia="zh-CN"/>
        </w:rPr>
        <w:t>驻场专业管理人员、</w:t>
      </w:r>
      <w:r>
        <w:rPr>
          <w:rFonts w:hint="eastAsia" w:ascii="方正仿宋_GB2312" w:hAnsi="方正仿宋_GB2312" w:eastAsia="方正仿宋_GB2312" w:cs="方正仿宋_GB2312"/>
          <w:color w:val="auto"/>
          <w:sz w:val="24"/>
          <w:szCs w:val="24"/>
          <w:highlight w:val="none"/>
        </w:rPr>
        <w:t>专职安全生产管理人员的，须提前 7 日书面通知甲方，否则应按本合同约定承担违约责任。</w:t>
      </w:r>
    </w:p>
    <w:p w14:paraId="5381ABEA">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本合同签订生效后三天内，将本工程的施工组织设计、详细的施工工艺流程等交给甲方、监理方审定。</w:t>
      </w:r>
    </w:p>
    <w:p w14:paraId="486EE13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熟悉施工图纸，严格按照设计图纸、施工验收规范、有关技术要求及施工组织设计精心组织施工，施工过程及时跟进对工程实体进行实测实量自检，对于自检及甲方检查出质量不合格工程实体要及时进行整改，确保工程质量达到约定的标准。</w:t>
      </w:r>
    </w:p>
    <w:p w14:paraId="15F68290">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乙方必须遵守国家相关规定，严格执行JGJ59—2011《建筑施工安全检查标准》和《南宁轨道地产建筑工程有限责任公司安全文明标准化管理细则》及相关安全管理与处罚规定，遵守</w:t>
      </w:r>
      <w:r>
        <w:rPr>
          <w:rFonts w:hint="eastAsia" w:ascii="方正仿宋_GB2312" w:hAnsi="方正仿宋_GB2312" w:eastAsia="方正仿宋_GB2312" w:cs="方正仿宋_GB2312"/>
          <w:color w:val="auto"/>
          <w:sz w:val="24"/>
          <w:szCs w:val="24"/>
          <w:highlight w:val="none"/>
          <w:lang w:val="en-US" w:eastAsia="zh-CN"/>
        </w:rPr>
        <w:t>甲乙</w:t>
      </w:r>
      <w:r>
        <w:rPr>
          <w:rFonts w:hint="eastAsia" w:ascii="方正仿宋_GB2312" w:hAnsi="方正仿宋_GB2312" w:eastAsia="方正仿宋_GB2312" w:cs="方正仿宋_GB2312"/>
          <w:color w:val="auto"/>
          <w:sz w:val="24"/>
          <w:szCs w:val="24"/>
          <w:highlight w:val="none"/>
        </w:rPr>
        <w:t>双方签订的安全管理协议，在施工过程中甲方提出安全标准和要求，乙方必须严格执行，坚决拒绝违章指挥，杜绝违章操作，确保施工安全，做到“四不伤害”。</w:t>
      </w:r>
    </w:p>
    <w:p w14:paraId="4B9EC0C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严格遵守安全施工、防火等规范和制度，承担施工中造成的事故责任和费用；做好现场自身范围内的保卫和垃圾清理等工作，每天建筑垃圾清理至甲方指定垃圾池，定期清理外运。乙方作业人员在施工过程中注意保持现场卫生和整洁。</w:t>
      </w:r>
    </w:p>
    <w:p w14:paraId="129B639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确保劳动力数量满足施工生产需要，确保劳务队伍整体技术水平较高、人员相对稳定，确保特种作业人员持证率达100％，确保进场人员身体健康、遵纪守法、听从指挥、服从管理、技术熟练、工作认真负责、职业道德良好、年龄符合法律法规规定（一般工种：男性18～60周岁，女性18～55周岁；特殊工种：男性18～55周岁，女性18～45周岁）。</w:t>
      </w:r>
    </w:p>
    <w:p w14:paraId="32E4C22C">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交付甲方前，乙方承担材料设备和工程成品的保管责任，保管期间发生丢失或损坏，乙方承担重置和修复责任。甲方提前使用发生的损坏，由乙方进行维修，材料、人工费用由甲方承担。若为第三方损耗的，甲方可配合乙方对第三方进行索赔。</w:t>
      </w:r>
    </w:p>
    <w:p w14:paraId="5F3E4F6B">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因施工需要，乙方须对建筑物某些局部结构、园艺设施或设备管线等进行破坏性施工的，应与甲方协商，经甲方同意后方可施工，并在甲方要求的时间内恢复原状。</w:t>
      </w:r>
    </w:p>
    <w:p w14:paraId="67C9047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违反合同第十三条（施工安全文明施工要求）的行为、材料不按甲方管理人员指定位置堆放整齐、材料堆放位置无防火措施、不按规范施工吊运设备运输材料等违规行为，甲方有权对乙方处以人民币</w:t>
      </w:r>
      <w:r>
        <w:rPr>
          <w:rFonts w:hint="eastAsia" w:ascii="方正仿宋_GB2312" w:hAnsi="方正仿宋_GB2312" w:eastAsia="方正仿宋_GB2312" w:cs="方正仿宋_GB2312"/>
          <w:color w:val="auto"/>
          <w:sz w:val="24"/>
          <w:szCs w:val="24"/>
          <w:highlight w:val="none"/>
          <w:lang w:val="en-US" w:eastAsia="zh-CN"/>
        </w:rPr>
        <w:t>200</w:t>
      </w:r>
      <w:r>
        <w:rPr>
          <w:rFonts w:hint="eastAsia" w:ascii="方正仿宋_GB2312" w:hAnsi="方正仿宋_GB2312" w:eastAsia="方正仿宋_GB2312" w:cs="方正仿宋_GB2312"/>
          <w:color w:val="auto"/>
          <w:sz w:val="24"/>
          <w:szCs w:val="24"/>
          <w:highlight w:val="none"/>
        </w:rPr>
        <w:t>元/次的罚款。</w:t>
      </w:r>
    </w:p>
    <w:p w14:paraId="634B187C">
      <w:pPr>
        <w:pStyle w:val="36"/>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乙方的施工队伍必须遵守国家相关规定，服从甲方的现场管理安排，使施工能正常进行；否则乙方承担因此给甲方和土建承包方造成的损失，甲方有权对乙方处以人民币1000元/次的罚款。</w:t>
      </w:r>
    </w:p>
    <w:p w14:paraId="09F2B78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工程竣工验收合格后十天内，乙方提交完整合格的竣工资料一式三套给甲方。</w:t>
      </w:r>
    </w:p>
    <w:p w14:paraId="7803382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乙方在施工过程中要做好成品保护措施，不得污染其他项目，否则清污费用由乙方承担。</w:t>
      </w:r>
    </w:p>
    <w:p w14:paraId="0DBF592B">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乙方须随合同向甲方提供用于施工的有关技术资料，乙方产品满足甲方为工程设计图纸上的材料要求和各项性能技术指标的要求，如设计图纸不明确的指标必须满足国家和行业的相关规范及标准。</w:t>
      </w:r>
    </w:p>
    <w:p w14:paraId="6726B783">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向甲方提供乙方尚未使用的全新材料，无裂纹，无缺陷。在项目施工前，乙方应派技术员进行现场技术交底，施工中乙方应及时派出现场服务人员，处理现场发生的有关技术问题，免费派人指导铺装，在使用过程中如发生与材料本身有关的问题，乙方在接到甲方通知后，须在24小时内与甲方取得联系或到达材料使用的现场。</w:t>
      </w:r>
    </w:p>
    <w:p w14:paraId="1D76CC4B">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kern w:val="2"/>
          <w:sz w:val="24"/>
          <w:szCs w:val="24"/>
          <w:highlight w:val="none"/>
        </w:rPr>
        <w:t>乙方运输货物到项目施工地点、施工期间所发生的装卸费、保险费等一切费用及运输、装卸、施工过程中的安全责任均由乙方</w:t>
      </w:r>
      <w:r>
        <w:rPr>
          <w:rFonts w:hint="eastAsia" w:ascii="方正仿宋_GB2312" w:hAnsi="方正仿宋_GB2312" w:eastAsia="方正仿宋_GB2312" w:cs="方正仿宋_GB2312"/>
          <w:color w:val="auto"/>
          <w:kern w:val="2"/>
          <w:sz w:val="24"/>
          <w:szCs w:val="24"/>
          <w:highlight w:val="none"/>
          <w:lang w:val="en-US" w:eastAsia="zh-CN"/>
        </w:rPr>
        <w:t>承担</w:t>
      </w:r>
      <w:r>
        <w:rPr>
          <w:rFonts w:hint="eastAsia" w:ascii="方正仿宋_GB2312" w:hAnsi="方正仿宋_GB2312" w:eastAsia="方正仿宋_GB2312" w:cs="方正仿宋_GB2312"/>
          <w:color w:val="auto"/>
          <w:kern w:val="2"/>
          <w:sz w:val="24"/>
          <w:szCs w:val="24"/>
          <w:highlight w:val="none"/>
        </w:rPr>
        <w:t>。</w:t>
      </w:r>
    </w:p>
    <w:p w14:paraId="512A688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 xml:space="preserve">乙方应按订单指定交货时间全面履行交货义务，随货提供产品合格证及出厂检测报告等资料。 </w:t>
      </w:r>
    </w:p>
    <w:p w14:paraId="645BB8AF">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乙方住宿自行安排，费用自理。</w:t>
      </w:r>
    </w:p>
    <w:p w14:paraId="6DED0228">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乙方应按审定的施工组织和合同约定派出现场管理人员和施工人员，甲方有权对乙方人员考勤，对于乙方缺勤事宜进行相应处罚。</w:t>
      </w:r>
    </w:p>
    <w:p w14:paraId="763B1274">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bookmarkStart w:id="795" w:name="OLE_LINK2"/>
      <w:r>
        <w:rPr>
          <w:rFonts w:hint="eastAsia" w:ascii="方正仿宋_GB2312" w:hAnsi="方正仿宋_GB2312" w:eastAsia="方正仿宋_GB2312" w:cs="方正仿宋_GB2312"/>
          <w:color w:val="auto"/>
          <w:sz w:val="24"/>
          <w:szCs w:val="24"/>
          <w:highlight w:val="none"/>
        </w:rPr>
        <w:t>2</w:t>
      </w:r>
      <w:bookmarkStart w:id="796" w:name="OLE_LINK1"/>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为更好地完成合同履约，乙方须无条件做好现场安全文明施工、进度及质量管控。确保现场安全文明施工，确保工程质量和进度符合相关规范、图纸、合同及建设方标准化的要求。如因乙方现场安全、质量、进度等管控不到位造成甲方损失（包括但不限于甲方支出的行政处罚费用、工期延期索赔、安全及质量扣款等费用；人身及财产损失赔偿费用、律师费、诉讼费、执行费、保全费等各项费用）的，乙方同意甲方在其当期工程款或结算款支付时按照甲方损失的1.5倍扣除。</w:t>
      </w:r>
      <w:bookmarkEnd w:id="796"/>
    </w:p>
    <w:p w14:paraId="7DD8F926">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如发生事故，乙方需做好事故善后工作，承担相应的费用，包括但不限于医药费、营养费、误工费及赔偿等一切费用。</w:t>
      </w:r>
    </w:p>
    <w:p w14:paraId="614FE545">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如乙方不按施工规范、图纸或设计变更施工的，乙方需无条件按规范及图纸要求返工直至合格为止，并承担因此产生的一切费用及责任，同时甲方视情况对乙方进行</w:t>
      </w:r>
      <w:r>
        <w:rPr>
          <w:rFonts w:hint="eastAsia" w:ascii="方正仿宋_GB2312" w:hAnsi="方正仿宋_GB2312" w:eastAsia="方正仿宋_GB2312" w:cs="方正仿宋_GB2312"/>
          <w:color w:val="auto"/>
          <w:sz w:val="24"/>
          <w:szCs w:val="24"/>
          <w:highlight w:val="none"/>
          <w:lang w:val="en-US" w:eastAsia="zh-CN"/>
        </w:rPr>
        <w:t>10000-200000</w:t>
      </w:r>
      <w:r>
        <w:rPr>
          <w:rFonts w:hint="eastAsia" w:ascii="方正仿宋_GB2312" w:hAnsi="方正仿宋_GB2312" w:eastAsia="方正仿宋_GB2312" w:cs="方正仿宋_GB2312"/>
          <w:color w:val="auto"/>
          <w:sz w:val="24"/>
          <w:szCs w:val="24"/>
          <w:highlight w:val="none"/>
        </w:rPr>
        <w:t>元的经济处罚。</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乙方在施工过程中存在偷工减料、弄虚作假的情况，乙方需无条件按规范及图纸要求返工至合格为止，并承担因此产生的一切费用及责任。同时依据因乙方原因造成的质量问题、经济直接或间接损失，甲方视情况对乙方进行</w:t>
      </w:r>
      <w:r>
        <w:rPr>
          <w:rFonts w:hint="eastAsia" w:ascii="方正仿宋_GB2312" w:hAnsi="方正仿宋_GB2312" w:eastAsia="方正仿宋_GB2312" w:cs="方正仿宋_GB2312"/>
          <w:color w:val="auto"/>
          <w:sz w:val="24"/>
          <w:szCs w:val="24"/>
          <w:highlight w:val="none"/>
          <w:lang w:val="en-US" w:eastAsia="zh-CN"/>
        </w:rPr>
        <w:t>50000元-500000</w:t>
      </w:r>
      <w:r>
        <w:rPr>
          <w:rFonts w:hint="eastAsia" w:ascii="方正仿宋_GB2312" w:hAnsi="方正仿宋_GB2312" w:eastAsia="方正仿宋_GB2312" w:cs="方正仿宋_GB2312"/>
          <w:color w:val="auto"/>
          <w:sz w:val="24"/>
          <w:szCs w:val="24"/>
          <w:highlight w:val="none"/>
        </w:rPr>
        <w:t>元</w:t>
      </w:r>
      <w:r>
        <w:rPr>
          <w:rFonts w:hint="eastAsia" w:ascii="方正仿宋_GB2312" w:hAnsi="方正仿宋_GB2312" w:eastAsia="方正仿宋_GB2312" w:cs="方正仿宋_GB2312"/>
          <w:color w:val="auto"/>
          <w:sz w:val="24"/>
          <w:szCs w:val="24"/>
          <w:highlight w:val="none"/>
          <w:lang w:val="en-US" w:eastAsia="zh-CN"/>
        </w:rPr>
        <w:t>/次</w:t>
      </w:r>
      <w:r>
        <w:rPr>
          <w:rFonts w:hint="eastAsia" w:ascii="方正仿宋_GB2312" w:hAnsi="方正仿宋_GB2312" w:eastAsia="方正仿宋_GB2312" w:cs="方正仿宋_GB2312"/>
          <w:color w:val="auto"/>
          <w:sz w:val="24"/>
          <w:szCs w:val="24"/>
          <w:highlight w:val="none"/>
        </w:rPr>
        <w:t>的经济处罚。</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在日常检查中出现乙方责任的安全及质量问题，乙方必须无条件进行整改，且整改期限最多不得超过3日，因工序、材料等原因需要超时的，必须及时跟甲方沟通并获得甲方同意，如乙方消极怠工或拒绝整改的，乙方无条件同意甲方另行委托第三方进行</w:t>
      </w:r>
      <w:r>
        <w:rPr>
          <w:rFonts w:hint="eastAsia" w:ascii="方正仿宋_GB2312" w:hAnsi="方正仿宋_GB2312" w:eastAsia="方正仿宋_GB2312" w:cs="方正仿宋_GB2312"/>
          <w:color w:val="auto"/>
          <w:sz w:val="24"/>
          <w:szCs w:val="24"/>
          <w:highlight w:val="none"/>
          <w:lang w:val="en-US" w:eastAsia="zh-CN"/>
        </w:rPr>
        <w:t>整改及维修</w:t>
      </w:r>
      <w:r>
        <w:rPr>
          <w:rFonts w:hint="eastAsia" w:ascii="方正仿宋_GB2312" w:hAnsi="方正仿宋_GB2312" w:eastAsia="方正仿宋_GB2312" w:cs="方正仿宋_GB2312"/>
          <w:color w:val="auto"/>
          <w:sz w:val="24"/>
          <w:szCs w:val="24"/>
          <w:highlight w:val="none"/>
        </w:rPr>
        <w:t>，发生维修工程量以甲方和第三方确认为准，乙方同意甲方在其当期工程款支付时及结算款中扣除另行委托</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完成上述工作实际产生费用的2倍的金额作为违约金（实际产生费用按甲方认定与第三方施工的金额为依据）。</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在项目施工期内，甲方现场施工管理人员有权以书面形式向乙方发出施工指令（包括但不限于设计变更、新增委托指令等），乙方接到施工指令后，应立即响应，计价原则按本合同清单的相关价格执行，合同清单价格不包含指令内容的应及时与甲方确定，但不得以未定价为由拒绝执行甲方指令。若乙方拒绝执行甲方指令，在甲方发出书面指令24小时内未响应的，甲方则另行安排</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进行施工，乙方同意甲方在其当期工程款支付时及结算款中扣除另行委托</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完成上述工作产生费用的1.5倍的金额，同时视情况处以</w:t>
      </w:r>
      <w:r>
        <w:rPr>
          <w:rFonts w:hint="eastAsia" w:ascii="方正仿宋_GB2312" w:hAnsi="方正仿宋_GB2312" w:eastAsia="方正仿宋_GB2312" w:cs="方正仿宋_GB2312"/>
          <w:color w:val="auto"/>
          <w:sz w:val="24"/>
          <w:szCs w:val="24"/>
          <w:highlight w:val="none"/>
          <w:lang w:val="en-US" w:eastAsia="zh-CN"/>
        </w:rPr>
        <w:t>5000-1000000</w:t>
      </w:r>
      <w:r>
        <w:rPr>
          <w:rFonts w:hint="eastAsia" w:ascii="方正仿宋_GB2312" w:hAnsi="方正仿宋_GB2312" w:eastAsia="方正仿宋_GB2312" w:cs="方正仿宋_GB2312"/>
          <w:color w:val="auto"/>
          <w:sz w:val="24"/>
          <w:szCs w:val="24"/>
          <w:highlight w:val="none"/>
        </w:rPr>
        <w:t>元的经济处罚，并由乙方承担此部分工程的质量责任，工期不予顺延。</w:t>
      </w:r>
    </w:p>
    <w:p w14:paraId="3E1555CF">
      <w:pPr>
        <w:pStyle w:val="36"/>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rPr>
        <w:t>由于乙方原因导致甲方受到损失，赔偿范围包括但不限于诉讼费、保全费、保全保险费、甲方聘请律师的费用、差旅费、鉴定费、公证费、</w:t>
      </w:r>
      <w:r>
        <w:rPr>
          <w:rFonts w:hint="eastAsia" w:ascii="方正仿宋_GB2312" w:hAnsi="方正仿宋_GB2312" w:eastAsia="方正仿宋_GB2312" w:cs="方正仿宋_GB2312"/>
          <w:color w:val="0000FF"/>
          <w:sz w:val="24"/>
          <w:szCs w:val="24"/>
          <w:highlight w:val="none"/>
          <w:lang w:val="en-US" w:eastAsia="zh-CN"/>
        </w:rPr>
        <w:t>公告费、</w:t>
      </w:r>
      <w:r>
        <w:rPr>
          <w:rFonts w:hint="eastAsia" w:ascii="方正仿宋_GB2312" w:hAnsi="方正仿宋_GB2312" w:eastAsia="方正仿宋_GB2312" w:cs="方正仿宋_GB2312"/>
          <w:color w:val="auto"/>
          <w:sz w:val="24"/>
          <w:szCs w:val="24"/>
          <w:highlight w:val="none"/>
        </w:rPr>
        <w:t>甲方向第三方赔偿的款项、行政罚款以及解决纠纷所产生的其他费用。同时未付款项甲方不再支付，且剩余的履约保证金、工程质量保证金甲方有权不予退还。</w:t>
      </w:r>
    </w:p>
    <w:bookmarkEnd w:id="795"/>
    <w:p w14:paraId="015C8121">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十二、违约责任</w:t>
      </w:r>
    </w:p>
    <w:p w14:paraId="01E1994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（一）本合同中关于甲方违约的具体责任如下：</w:t>
      </w:r>
    </w:p>
    <w:p w14:paraId="4F37C2D6">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甲方不能按要求提供工作面的，工期相应顺延。</w:t>
      </w:r>
    </w:p>
    <w:p w14:paraId="2278348B">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因甲方原因造成工程无法顺利施工的，工期相应顺延。</w:t>
      </w:r>
    </w:p>
    <w:p w14:paraId="775FEDFF">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（二）本合同中关于乙方违约的具体责任如下：</w:t>
      </w:r>
    </w:p>
    <w:p w14:paraId="5EDFD685">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非因甲方原因，乙方不能按约定工期完工的，每延误一天，按合同暂定总价的千分之三向甲方支付违约金；延误时间累计超过10天的，甲方有权解除合同，乙方需向甲方支付合同暂定总价5%的违约金，因此给甲方和建设方造成的全部损失均由乙方承担。非因甲方原因造成工期延误的，甲方支付工程款的时间相应顺延。</w:t>
      </w:r>
    </w:p>
    <w:p w14:paraId="449DFE4A">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如乙方存在违约行为，甲方发出书面整改函件，乙方在接收到甲方整改函件约定的时限内未能按甲方要求整改完成的，甲方有权终止合同。</w:t>
      </w:r>
    </w:p>
    <w:p w14:paraId="5D6E0343">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未经甲方同意，乙方擅自拆改原建筑物结构或设备管线等的，应承担由此造成的经济损失和事故责任（包括罚款），赔偿由此给甲方和建设方造成的损失，并在甲方要求的时间内修复完整。</w:t>
      </w:r>
    </w:p>
    <w:p w14:paraId="4025914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乙方未按约定交付各类资料，经甲方一次催告后5日内仍不移交齐全的，视乙方延误工期，按本合同有关工期延误违约条款处理，并仍有交付资料的义务。</w:t>
      </w:r>
    </w:p>
    <w:p w14:paraId="418A409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 xml:space="preserve">本合同签订后，未经甲方同意，乙方不得转包工程。经证实转包的，乙方向甲方支付转包违约金人民币壹万元整（￥10,000.00元），并赔偿由此给甲方造成的损失。         </w:t>
      </w:r>
    </w:p>
    <w:p w14:paraId="1367E7E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乙方违反本合同约定而需要承担的违约金和赔偿金等款项，乙方转账至甲方对公银行账户，甲方亦有权直接从工程款中扣收。</w:t>
      </w:r>
    </w:p>
    <w:p w14:paraId="66C7E5C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乙方未按要求清理垃圾，未能保持所处范围施工现场卫生和整洁的，需承担由此造成的清理费用和罚款。</w:t>
      </w:r>
    </w:p>
    <w:p w14:paraId="7ACBF46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rPr>
        <w:t>乙方如不按甲方要求的时间节点进行材料进场，影响到其他工序施工或影响到关键节点施工，造成甲方经济损失的一切费用由乙方承担。</w:t>
      </w:r>
    </w:p>
    <w:p w14:paraId="33680C7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乙方交付的产品质量、规格必须符合国家质检要求。产品必须达到《建筑安装工程质量评定标准》 《建筑装饰装修工程质量验收规范》及环保检测要求，如送到现场产品，经环保检测不合格所产生的一切经济损失及后果均由乙方承担。</w:t>
      </w:r>
      <w:r>
        <w:rPr>
          <w:rFonts w:hint="eastAsia" w:ascii="方正仿宋_GB2312" w:hAnsi="方正仿宋_GB2312" w:eastAsia="方正仿宋_GB2312" w:cs="方正仿宋_GB2312"/>
          <w:color w:val="auto"/>
          <w:kern w:val="2"/>
          <w:sz w:val="24"/>
          <w:szCs w:val="24"/>
          <w:highlight w:val="none"/>
        </w:rPr>
        <w:t>施工过程对于质量不合格要立即组织整改，再进行后续施工。如乙方不按要求整改，甲方可另行安排人员整改，产生的费用由乙方承担，并可对乙方处罚1000～</w:t>
      </w:r>
      <w:r>
        <w:rPr>
          <w:rFonts w:hint="eastAsia" w:ascii="方正仿宋_GB2312" w:hAnsi="方正仿宋_GB2312" w:eastAsia="方正仿宋_GB2312" w:cs="方正仿宋_GB2312"/>
          <w:color w:val="auto"/>
          <w:kern w:val="2"/>
          <w:sz w:val="24"/>
          <w:szCs w:val="24"/>
          <w:highlight w:val="none"/>
          <w:lang w:val="en-US" w:eastAsia="zh-CN"/>
        </w:rPr>
        <w:t>10000</w:t>
      </w:r>
      <w:r>
        <w:rPr>
          <w:rFonts w:hint="eastAsia" w:ascii="方正仿宋_GB2312" w:hAnsi="方正仿宋_GB2312" w:eastAsia="方正仿宋_GB2312" w:cs="方正仿宋_GB2312"/>
          <w:color w:val="auto"/>
          <w:kern w:val="2"/>
          <w:sz w:val="24"/>
          <w:szCs w:val="24"/>
          <w:highlight w:val="none"/>
        </w:rPr>
        <w:t>元/次。</w:t>
      </w:r>
    </w:p>
    <w:p w14:paraId="05D3CB7E">
      <w:pPr>
        <w:pStyle w:val="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797" w:name="OLE_LINK3"/>
      <w:r>
        <w:rPr>
          <w:rFonts w:hint="eastAsia" w:ascii="方正仿宋_GB2312" w:hAnsi="方正仿宋_GB2312" w:eastAsia="方正仿宋_GB2312" w:cs="方正仿宋_GB2312"/>
          <w:color w:val="auto"/>
          <w:kern w:val="2"/>
          <w:sz w:val="24"/>
          <w:szCs w:val="24"/>
          <w:highlight w:val="none"/>
        </w:rPr>
        <w:t>10</w:t>
      </w:r>
      <w:r>
        <w:rPr>
          <w:rFonts w:hint="eastAsia" w:ascii="方正仿宋_GB2312" w:hAnsi="方正仿宋_GB2312" w:eastAsia="方正仿宋_GB2312" w:cs="方正仿宋_GB2312"/>
          <w:color w:val="auto"/>
          <w:kern w:val="2"/>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如乙方未能按甲方、建设方计划要求组织进场或施工进度滞后、移交工作面延误，预计必将影响后续目标实现的，甲方有权采取立即组织委托第三方施工的赶工措施。乙方同意甲方在其当期工程款或结算款支付时按照甲方认定的第三方施工产生费用的1.5倍进行扣除，同时全部工程质量仍由乙方负责。</w:t>
      </w:r>
    </w:p>
    <w:p w14:paraId="6BA7E00A">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如因乙方原因，未能按照甲方要求的时限进场施工，需向甲方支付合同暂定总价的20%作为违约金，并赔偿由此给甲方造成的损失（</w:t>
      </w:r>
      <w:r>
        <w:rPr>
          <w:rFonts w:hint="eastAsia" w:ascii="方正仿宋_GB2312" w:hAnsi="方正仿宋_GB2312" w:eastAsia="方正仿宋_GB2312" w:cs="方正仿宋_GB2312"/>
          <w:color w:val="auto"/>
          <w:sz w:val="24"/>
          <w:szCs w:val="24"/>
          <w:highlight w:val="none"/>
          <w:lang w:eastAsia="zh-CN"/>
        </w:rPr>
        <w:t>包括但不限于</w:t>
      </w:r>
      <w:r>
        <w:rPr>
          <w:rFonts w:hint="eastAsia" w:ascii="方正仿宋_GB2312" w:hAnsi="方正仿宋_GB2312" w:eastAsia="方正仿宋_GB2312" w:cs="方正仿宋_GB2312"/>
          <w:color w:val="auto"/>
          <w:sz w:val="24"/>
          <w:szCs w:val="24"/>
          <w:highlight w:val="none"/>
        </w:rPr>
        <w:t>甲方支出的行政处罚费用、工期延期索赔、安全及质量扣款等费用；人身及财产损失赔偿费用、律师费、诉讼费、执行费、保全费等各项费用）。</w:t>
      </w:r>
    </w:p>
    <w:p w14:paraId="5F616101">
      <w:pPr>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如因乙方原因单方终止该合同，甲方有权立即组织委托第三方施工的赶工措施</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乙方同意甲方在其当期工程款或结算款支付时按照甲方认定的第三方施工产生费用的1.5倍进行扣除</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同时</w:t>
      </w:r>
      <w:r>
        <w:rPr>
          <w:rFonts w:hint="eastAsia" w:ascii="方正仿宋_GB2312" w:hAnsi="方正仿宋_GB2312" w:eastAsia="方正仿宋_GB2312" w:cs="方正仿宋_GB2312"/>
          <w:color w:val="auto"/>
          <w:sz w:val="24"/>
          <w:szCs w:val="24"/>
          <w:highlight w:val="none"/>
        </w:rPr>
        <w:t>乙方</w:t>
      </w:r>
      <w:r>
        <w:rPr>
          <w:rFonts w:hint="eastAsia" w:ascii="方正仿宋_GB2312" w:hAnsi="方正仿宋_GB2312" w:eastAsia="方正仿宋_GB2312" w:cs="方正仿宋_GB2312"/>
          <w:color w:val="auto"/>
          <w:sz w:val="24"/>
          <w:szCs w:val="24"/>
          <w:highlight w:val="none"/>
          <w:lang w:val="en-US" w:eastAsia="zh-CN"/>
        </w:rPr>
        <w:t>除按上述约定支付违约金外，还应按本</w:t>
      </w:r>
      <w:r>
        <w:rPr>
          <w:rFonts w:hint="eastAsia" w:ascii="方正仿宋_GB2312" w:hAnsi="方正仿宋_GB2312" w:eastAsia="方正仿宋_GB2312" w:cs="方正仿宋_GB2312"/>
          <w:color w:val="auto"/>
          <w:sz w:val="24"/>
          <w:szCs w:val="24"/>
          <w:highlight w:val="none"/>
        </w:rPr>
        <w:t>合同暂定总价的20%</w:t>
      </w:r>
      <w:r>
        <w:rPr>
          <w:rFonts w:hint="eastAsia" w:ascii="方正仿宋_GB2312" w:hAnsi="方正仿宋_GB2312" w:eastAsia="方正仿宋_GB2312" w:cs="方正仿宋_GB2312"/>
          <w:color w:val="auto"/>
          <w:sz w:val="24"/>
          <w:szCs w:val="24"/>
          <w:highlight w:val="none"/>
          <w:lang w:val="en-US" w:eastAsia="zh-CN"/>
        </w:rPr>
        <w:t>向甲方支付解约违约金。</w:t>
      </w:r>
    </w:p>
    <w:p w14:paraId="1554E95C">
      <w:pPr>
        <w:spacing w:line="500" w:lineRule="exact"/>
        <w:ind w:firstLine="480" w:firstLineChars="200"/>
        <w:jc w:val="left"/>
        <w:textAlignment w:val="auto"/>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13.</w:t>
      </w:r>
      <w:r>
        <w:rPr>
          <w:rFonts w:hint="eastAsia" w:ascii="方正仿宋_GB2312" w:hAnsi="方正仿宋_GB2312" w:eastAsia="方正仿宋_GB2312" w:cs="方正仿宋_GB2312"/>
          <w:color w:val="auto"/>
          <w:sz w:val="24"/>
          <w:szCs w:val="24"/>
          <w:highlight w:val="none"/>
        </w:rPr>
        <w:t>如乙方未经甲方书面同意擅自更换项目负责人、项目技术负责人</w:t>
      </w:r>
      <w:r>
        <w:rPr>
          <w:rFonts w:hint="eastAsia" w:ascii="方正仿宋_GB2312" w:hAnsi="方正仿宋_GB2312" w:eastAsia="方正仿宋_GB2312" w:cs="方正仿宋_GB2312"/>
          <w:color w:val="auto"/>
          <w:sz w:val="24"/>
          <w:szCs w:val="24"/>
          <w:highlight w:val="none"/>
          <w:lang w:val="en-US" w:eastAsia="zh-CN"/>
        </w:rPr>
        <w:t>或驻场专业管理人员、</w:t>
      </w:r>
      <w:r>
        <w:rPr>
          <w:rFonts w:hint="eastAsia" w:ascii="方正仿宋_GB2312" w:hAnsi="方正仿宋_GB2312" w:eastAsia="方正仿宋_GB2312" w:cs="方正仿宋_GB2312"/>
          <w:color w:val="auto"/>
          <w:sz w:val="24"/>
          <w:szCs w:val="24"/>
          <w:highlight w:val="none"/>
        </w:rPr>
        <w:t>专职安全生产管理人员的，应按 2000元∕人次的标准向甲方支付违约金。</w:t>
      </w:r>
    </w:p>
    <w:p w14:paraId="403F204B">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如因乙方原因发生税务风险，则乙方应承担税务风险给甲方带来的一切损失。</w:t>
      </w:r>
    </w:p>
    <w:bookmarkEnd w:id="797"/>
    <w:p w14:paraId="448B2D90">
      <w:pPr>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w:t>
      </w:r>
      <w:bookmarkStart w:id="798" w:name="OLE_LINK4"/>
      <w:r>
        <w:rPr>
          <w:rFonts w:hint="eastAsia" w:ascii="方正仿宋_GB2312" w:hAnsi="方正仿宋_GB2312" w:eastAsia="方正仿宋_GB2312" w:cs="方正仿宋_GB2312"/>
          <w:color w:val="auto"/>
          <w:sz w:val="24"/>
          <w:szCs w:val="24"/>
          <w:highlight w:val="none"/>
        </w:rPr>
        <w:t>1.合同签订生效后，合同的任何变动均需二方协商后以书面形式确定，一方擅自变更或终止合同，则需向守约方支付合同暂定总价的20%作为违约金，并赔偿由此给守约方造成的损失。</w:t>
      </w:r>
    </w:p>
    <w:p w14:paraId="5579533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2.若本合同签订后因乙方违约应赔偿甲方所受损失的，赔偿范围包括但不限于诉讼费、甲方聘请律师的费用、差旅费、鉴定费、公证费、保全费、保全保险费、甲方向第三方赔偿的款项、行政罚款以及解决纠纷所产生的其他</w:t>
      </w:r>
      <w:r>
        <w:rPr>
          <w:rFonts w:hint="eastAsia" w:ascii="方正仿宋_GB2312" w:hAnsi="方正仿宋_GB2312" w:eastAsia="方正仿宋_GB2312" w:cs="方正仿宋_GB2312"/>
          <w:color w:val="auto"/>
          <w:sz w:val="24"/>
          <w:szCs w:val="24"/>
          <w:highlight w:val="none"/>
          <w:lang w:val="en-US" w:eastAsia="zh-CN"/>
        </w:rPr>
        <w:t>全部</w:t>
      </w:r>
      <w:r>
        <w:rPr>
          <w:rFonts w:hint="eastAsia" w:ascii="方正仿宋_GB2312" w:hAnsi="方正仿宋_GB2312" w:eastAsia="方正仿宋_GB2312" w:cs="方正仿宋_GB2312"/>
          <w:color w:val="auto"/>
          <w:sz w:val="24"/>
          <w:szCs w:val="24"/>
          <w:highlight w:val="none"/>
        </w:rPr>
        <w:t>费用。</w:t>
      </w:r>
    </w:p>
    <w:bookmarkEnd w:id="798"/>
    <w:p w14:paraId="5D4EA64A">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十三、施工安全及文明施工要求</w:t>
      </w:r>
    </w:p>
    <w:p w14:paraId="551772EF">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799" w:name="OLE_LINK5"/>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安全：乙方必须为本工程配备现场的专职安全员，负责本工程所有的安全文明管理，保证现场安全施工，积极配合甲方安全文明工作。乙方必须严格按照国家安全规范进行施工，每个施工人员必须接受岗前三级安全教育和安全技术交底并亲自签名，不得代签，并严格按交底内容进行工作。施工中发现安全隐患必须及时报告甲方现场技术人员，经消除隐患，整改合格后方可继续施工，杜绝安全事故。无重大责任伤亡事故，通过市级以上安全生产检查。在施工中若发生乙方违章操作或不听甲方管理人员指挥，造成安全事故和人员伤亡的，乙方承担由此引发的一切经济责任和法律责任。</w:t>
      </w:r>
    </w:p>
    <w:p w14:paraId="2C8AB072">
      <w:pPr>
        <w:pStyle w:val="36"/>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必须为作业人员配备安全帽、安全带、反光背心等劳动防护用品，安全帽、反光背心样式应符合《南宁轨道地产建筑工程有限责任公司安全文明标准化管理细则》要求；施工现场主要施工区域、危险部位应设置相应的安全警示标志牌。</w:t>
      </w:r>
    </w:p>
    <w:p w14:paraId="1B82FDD7">
      <w:pPr>
        <w:pStyle w:val="16"/>
        <w:keepNext w:val="0"/>
        <w:keepLines w:val="0"/>
        <w:pageBreakBefore w:val="0"/>
        <w:widowControl/>
        <w:suppressLineNumbers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施工人员进入工地必须佩戴安全帽并扣紧帽绳，穿反光背心，</w:t>
      </w:r>
      <w:r>
        <w:rPr>
          <w:rFonts w:hint="eastAsia" w:ascii="方正仿宋_GB2312" w:hAnsi="方正仿宋_GB2312" w:eastAsia="方正仿宋_GB2312" w:cs="方正仿宋_GB2312"/>
          <w:color w:val="auto"/>
          <w:sz w:val="24"/>
          <w:szCs w:val="24"/>
          <w:highlight w:val="none"/>
          <w:lang w:eastAsia="zh-CN"/>
        </w:rPr>
        <w:t>坐板式</w:t>
      </w:r>
      <w:r>
        <w:rPr>
          <w:rFonts w:hint="eastAsia" w:ascii="方正仿宋_GB2312" w:hAnsi="方正仿宋_GB2312" w:eastAsia="方正仿宋_GB2312" w:cs="方正仿宋_GB2312"/>
          <w:color w:val="auto"/>
          <w:sz w:val="24"/>
          <w:szCs w:val="24"/>
          <w:highlight w:val="none"/>
        </w:rPr>
        <w:t>单人吊具悬吊（“</w:t>
      </w:r>
      <w:r>
        <w:rPr>
          <w:rFonts w:hint="eastAsia" w:ascii="方正仿宋_GB2312" w:hAnsi="方正仿宋_GB2312" w:eastAsia="方正仿宋_GB2312" w:cs="方正仿宋_GB2312"/>
          <w:color w:val="auto"/>
          <w:sz w:val="24"/>
          <w:szCs w:val="24"/>
          <w:highlight w:val="none"/>
          <w:lang w:eastAsia="zh-CN"/>
        </w:rPr>
        <w:t>蜘蛛人</w:t>
      </w:r>
      <w:r>
        <w:rPr>
          <w:rFonts w:hint="eastAsia" w:ascii="方正仿宋_GB2312" w:hAnsi="方正仿宋_GB2312" w:eastAsia="方正仿宋_GB2312" w:cs="方正仿宋_GB2312"/>
          <w:color w:val="auto"/>
          <w:sz w:val="24"/>
          <w:szCs w:val="24"/>
          <w:highlight w:val="none"/>
        </w:rPr>
        <w:t xml:space="preserve">”）作业 </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高处作业必须使用“五点式”安全带，严禁穿拖鞋、打赤膊、酒后上岗，违反者罚款50-200元/人，罚款由乙方自接到甲方处罚决定之日起5个工作日内</w:t>
      </w:r>
      <w:r>
        <w:rPr>
          <w:rFonts w:hint="eastAsia" w:ascii="方正仿宋_GB2312" w:hAnsi="方正仿宋_GB2312" w:eastAsia="方正仿宋_GB2312" w:cs="方正仿宋_GB2312"/>
          <w:color w:val="auto"/>
          <w:sz w:val="24"/>
          <w:szCs w:val="24"/>
          <w:highlight w:val="none"/>
          <w:lang w:val="en-US" w:eastAsia="zh-CN"/>
        </w:rPr>
        <w:t>转账</w:t>
      </w:r>
      <w:r>
        <w:rPr>
          <w:rFonts w:hint="eastAsia" w:ascii="方正仿宋_GB2312" w:hAnsi="方正仿宋_GB2312" w:eastAsia="方正仿宋_GB2312" w:cs="方正仿宋_GB2312"/>
          <w:color w:val="auto"/>
          <w:sz w:val="24"/>
          <w:szCs w:val="24"/>
          <w:highlight w:val="none"/>
        </w:rPr>
        <w:t>至甲方</w:t>
      </w:r>
      <w:r>
        <w:rPr>
          <w:rFonts w:hint="eastAsia" w:ascii="方正仿宋_GB2312" w:hAnsi="方正仿宋_GB2312" w:eastAsia="方正仿宋_GB2312" w:cs="方正仿宋_GB2312"/>
          <w:color w:val="auto"/>
          <w:sz w:val="24"/>
          <w:szCs w:val="24"/>
          <w:highlight w:val="none"/>
          <w:lang w:val="en-US" w:eastAsia="zh-CN"/>
        </w:rPr>
        <w:t>银行账户</w:t>
      </w:r>
      <w:r>
        <w:rPr>
          <w:rFonts w:hint="eastAsia" w:ascii="方正仿宋_GB2312" w:hAnsi="方正仿宋_GB2312" w:eastAsia="方正仿宋_GB2312" w:cs="方正仿宋_GB2312"/>
          <w:color w:val="auto"/>
          <w:sz w:val="24"/>
          <w:szCs w:val="24"/>
          <w:highlight w:val="none"/>
        </w:rPr>
        <w:t>；</w:t>
      </w:r>
    </w:p>
    <w:p w14:paraId="0C917F72">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高处作业人员必须佩戴经检验合格的安全带，正确使用安全带，做到高挂低用，违反者第一次罚款100元/人，二次罚款200元/人，第三次罚款400元/人，以此类推，罚款由乙方自接到甲方处罚决定之日起5个工作日内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val="en-US" w:eastAsia="zh-CN"/>
        </w:rPr>
        <w:t>转账</w:t>
      </w:r>
      <w:r>
        <w:rPr>
          <w:rFonts w:hint="eastAsia" w:ascii="方正仿宋_GB2312" w:hAnsi="方正仿宋_GB2312" w:eastAsia="方正仿宋_GB2312" w:cs="方正仿宋_GB2312"/>
          <w:color w:val="auto"/>
          <w:sz w:val="24"/>
          <w:szCs w:val="24"/>
          <w:highlight w:val="none"/>
        </w:rPr>
        <w:t>至甲方</w:t>
      </w:r>
      <w:r>
        <w:rPr>
          <w:rFonts w:hint="eastAsia" w:ascii="方正仿宋_GB2312" w:hAnsi="方正仿宋_GB2312" w:eastAsia="方正仿宋_GB2312" w:cs="方正仿宋_GB2312"/>
          <w:color w:val="auto"/>
          <w:sz w:val="24"/>
          <w:szCs w:val="24"/>
          <w:highlight w:val="none"/>
          <w:lang w:val="en-US" w:eastAsia="zh-CN"/>
        </w:rPr>
        <w:t>银行账户</w:t>
      </w:r>
      <w:r>
        <w:rPr>
          <w:rFonts w:hint="eastAsia" w:ascii="方正仿宋_GB2312" w:hAnsi="方正仿宋_GB2312" w:eastAsia="方正仿宋_GB2312" w:cs="方正仿宋_GB2312"/>
          <w:color w:val="auto"/>
          <w:sz w:val="24"/>
          <w:szCs w:val="24"/>
          <w:highlight w:val="none"/>
        </w:rPr>
        <w:t>；</w:t>
      </w:r>
    </w:p>
    <w:p w14:paraId="4962C5F6">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施工人员不得私自拆除外架拉结及临边、洞口</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安全防护设施，违反者第一次罚款500元/人，第二次罚款1000元/人，第三次罚款2000元/人，以此类推，罚款由乙方自接到甲方处罚决定之日起5个工作日内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78C14EB4">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乙方应当服从</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的临时用电安全管理，对其承包工程的安全用电负责。乙方不服从管理导致临时用电安全事故的，由乙方承担主要责任。施工人员不得私自乱拉、乱接电线，电缆不得拖地，需要接电的</w:t>
      </w:r>
      <w:r>
        <w:rPr>
          <w:rFonts w:hint="eastAsia" w:ascii="方正仿宋_GB2312" w:hAnsi="方正仿宋_GB2312" w:eastAsia="方正仿宋_GB2312" w:cs="方正仿宋_GB2312"/>
          <w:color w:val="auto"/>
          <w:sz w:val="24"/>
          <w:szCs w:val="24"/>
          <w:highlight w:val="none"/>
          <w:lang w:val="en-US" w:eastAsia="zh-CN"/>
        </w:rPr>
        <w:t>由甲方认可的专业电工接电</w:t>
      </w:r>
      <w:r>
        <w:rPr>
          <w:rFonts w:hint="eastAsia" w:ascii="方正仿宋_GB2312" w:hAnsi="方正仿宋_GB2312" w:eastAsia="方正仿宋_GB2312" w:cs="方正仿宋_GB2312"/>
          <w:color w:val="auto"/>
          <w:sz w:val="24"/>
          <w:szCs w:val="24"/>
          <w:highlight w:val="none"/>
        </w:rPr>
        <w:t>。现场使用的插排必须为带漏保型插排，漏电保护器漏电分断时间≤0.1s，电缆应套牛筋软管保护，软管接头采用红色防水电工胶布捆绑严密，严禁使用两芯电缆线。违反上述要求的，罚款50-500元/处，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652BC518">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门式作业架搭设必须符合《建筑施工门式钢管脚手架安全技术标准》JGJ-T128-2019要求，当架体的高宽比大于2时，在移动就位后使用前应设抛撑，架体顶部作业平台应满铺脚手板，周边应设防护栏杆，不按规范搭设的，罚款200-500元/处，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bookmarkEnd w:id="799"/>
    <w:p w14:paraId="2136767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800" w:name="OLE_LINK6"/>
      <w:r>
        <w:rPr>
          <w:rFonts w:hint="eastAsia" w:ascii="方正仿宋_GB2312" w:hAnsi="方正仿宋_GB2312" w:eastAsia="方正仿宋_GB2312" w:cs="方正仿宋_GB2312"/>
          <w:color w:val="auto"/>
          <w:sz w:val="24"/>
          <w:szCs w:val="24"/>
          <w:highlight w:val="none"/>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文明施工：乙方必须严格按照甲方文明施工的部署和有关规定做好文明施工的工作，配合做好安全标语的宣传、张贴，通过市级以上文明施工检查，争创南宁市文明施工工地。施工现场每星期乙方必须进行一次清理，否则，甲方有权安排劳动力进行清理，发生的清理费用向乙方双倍收取，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1C76837F">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不允许工人在工地抽烟，乱丢垃圾，每发现一次罚款50元/人，第二次罚款100元/人，第三次罚款200元/人，以此类推，罚款由乙方自接到甲方处罚决定之日起5个工作日内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1EA00455">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乙方管理人员应约束好自己的工人，不允许打架斗殴，每发生一次，甲方视事件的轻重程度，罚款200～5000元，该款项由乙方罚款由乙方自接到甲方处罚决定之日起5个工作日内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。乙方人员不服从管理，乙方应立即更换相关岗位人员，与甲方人员有肢体冲突的，处罚3000-10000元/次，构成犯罪的，移交公安机关。</w:t>
      </w:r>
    </w:p>
    <w:p w14:paraId="2D843606">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施工及材料堆放场地的清理应每日进行，不可随意乱放，施工垃圾清理归堆运到指定地方堆放好，否则罚款200～5000元，该款项由乙方自接到甲方处罚决定之日起5个工作日内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2A2A9EC7">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乙方在施工过程中必须严格执行当地政府和建设管理部门关于文明施工、流动人口管理、计划生育、环境保护、劳务管理等有关规定，如乙方有违反的，乙方承担一切责任。</w:t>
      </w:r>
    </w:p>
    <w:p w14:paraId="46709C1B">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乙方必须经常对员工进行安全教育，新进场或换岗位人员，必须告知发包方项目部，并积极配合甲方对乙方进行三级安全教育，服从甲方的现场管理安排，每天上班前集中员工开安全会，讲述安全规则</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否则</w:t>
      </w:r>
      <w:r>
        <w:rPr>
          <w:rFonts w:hint="eastAsia" w:ascii="方正仿宋_GB2312" w:hAnsi="方正仿宋_GB2312" w:eastAsia="方正仿宋_GB2312" w:cs="方正仿宋_GB2312"/>
          <w:color w:val="auto"/>
          <w:sz w:val="24"/>
          <w:szCs w:val="24"/>
          <w:highlight w:val="none"/>
        </w:rPr>
        <w:t>甲方有权对乙方处以人民币500元/次的罚款。</w:t>
      </w:r>
    </w:p>
    <w:p w14:paraId="54D36272">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乙方有义务配合甲方现场的安全文明设施的成品保护工作，不得破坏、不得擅自拆除，拆除前必须提前告知甲方，完工后由乙方负责恢复原样，产生费用由乙方承担。</w:t>
      </w:r>
    </w:p>
    <w:p w14:paraId="307218D7">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乙方必须是具有相关资质的独立法人单位，能够对所属职工在生产过程中的安全用电行为进行管理和监督。</w:t>
      </w:r>
    </w:p>
    <w:p w14:paraId="6C925A3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乙方必须严格执行“因公伤亡报告制度”，发现事故及时向甲方及相关部门报告，并积极协调开展救护和工程抢险工作，不得破坏事故现场，隐瞒不报或者延迟报告。</w:t>
      </w:r>
    </w:p>
    <w:p w14:paraId="22A4F9B4">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发生人员伤亡时，不管事故的责任在何方，乙方必须先做好事故的善后处理工作，并支付相关费用，包括但不限于医药费、误工费、营养费等费用。当然甲方对事故的发生负有相关责任时，甲方应积极协助乙方做好善后处理工作。</w:t>
      </w:r>
    </w:p>
    <w:p w14:paraId="0DC90970">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18</w:t>
      </w:r>
      <w:r>
        <w:rPr>
          <w:rFonts w:hint="eastAsia" w:ascii="方正仿宋_GB2312" w:hAnsi="方正仿宋_GB2312" w:eastAsia="方正仿宋_GB2312" w:cs="方正仿宋_GB2312"/>
          <w:b/>
          <w:bCs/>
          <w:color w:val="auto"/>
          <w:sz w:val="24"/>
          <w:szCs w:val="24"/>
          <w:highlight w:val="none"/>
          <w:lang w:eastAsia="zh-CN"/>
        </w:rPr>
        <w:t>.</w:t>
      </w:r>
      <w:r>
        <w:rPr>
          <w:rFonts w:hint="eastAsia" w:ascii="方正仿宋_GB2312" w:hAnsi="方正仿宋_GB2312" w:eastAsia="方正仿宋_GB2312" w:cs="方正仿宋_GB2312"/>
          <w:b/>
          <w:bCs/>
          <w:color w:val="auto"/>
          <w:sz w:val="24"/>
          <w:szCs w:val="24"/>
          <w:highlight w:val="none"/>
        </w:rPr>
        <w:t>甲方有权就伤亡事故追加经济</w:t>
      </w:r>
      <w:r>
        <w:rPr>
          <w:rFonts w:hint="eastAsia" w:ascii="方正仿宋_GB2312" w:hAnsi="方正仿宋_GB2312" w:eastAsia="方正仿宋_GB2312" w:cs="方正仿宋_GB2312"/>
          <w:b/>
          <w:bCs/>
          <w:color w:val="auto"/>
          <w:sz w:val="24"/>
          <w:szCs w:val="24"/>
          <w:highlight w:val="none"/>
          <w:lang w:val="en-US" w:eastAsia="zh-CN"/>
        </w:rPr>
        <w:t>违约</w:t>
      </w:r>
      <w:r>
        <w:rPr>
          <w:rFonts w:hint="eastAsia" w:ascii="方正仿宋_GB2312" w:hAnsi="方正仿宋_GB2312" w:eastAsia="方正仿宋_GB2312" w:cs="方正仿宋_GB2312"/>
          <w:b/>
          <w:bCs/>
          <w:color w:val="auto"/>
          <w:sz w:val="24"/>
          <w:szCs w:val="24"/>
          <w:highlight w:val="none"/>
        </w:rPr>
        <w:t>，造成人员轻伤事故的，甲方有权按</w:t>
      </w:r>
      <w:r>
        <w:rPr>
          <w:rFonts w:hint="eastAsia" w:ascii="方正仿宋_GB2312" w:hAnsi="方正仿宋_GB2312" w:eastAsia="方正仿宋_GB2312" w:cs="方正仿宋_GB2312"/>
          <w:b/>
          <w:bCs/>
          <w:color w:val="auto"/>
          <w:sz w:val="24"/>
          <w:szCs w:val="24"/>
          <w:highlight w:val="none"/>
          <w:lang w:val="en-US" w:eastAsia="zh-CN"/>
        </w:rPr>
        <w:t>1000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50000</w:t>
      </w:r>
      <w:r>
        <w:rPr>
          <w:rFonts w:hint="eastAsia" w:ascii="方正仿宋_GB2312" w:hAnsi="方正仿宋_GB2312" w:eastAsia="方正仿宋_GB2312" w:cs="方正仿宋_GB2312"/>
          <w:b/>
          <w:bCs/>
          <w:color w:val="auto"/>
          <w:sz w:val="24"/>
          <w:szCs w:val="24"/>
          <w:highlight w:val="none"/>
        </w:rPr>
        <w:t>元的标准收取乙方违约金；造成2人以内重伤事故的，甲方有权按</w:t>
      </w:r>
      <w:r>
        <w:rPr>
          <w:rFonts w:hint="eastAsia" w:ascii="方正仿宋_GB2312" w:hAnsi="方正仿宋_GB2312" w:eastAsia="方正仿宋_GB2312" w:cs="方正仿宋_GB2312"/>
          <w:b/>
          <w:bCs/>
          <w:color w:val="auto"/>
          <w:sz w:val="24"/>
          <w:szCs w:val="24"/>
          <w:highlight w:val="none"/>
          <w:lang w:val="en-US" w:eastAsia="zh-CN"/>
        </w:rPr>
        <w:t>200000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1000000</w:t>
      </w:r>
      <w:r>
        <w:rPr>
          <w:rFonts w:hint="eastAsia" w:ascii="方正仿宋_GB2312" w:hAnsi="方正仿宋_GB2312" w:eastAsia="方正仿宋_GB2312" w:cs="方正仿宋_GB2312"/>
          <w:b/>
          <w:bCs/>
          <w:color w:val="auto"/>
          <w:sz w:val="24"/>
          <w:szCs w:val="24"/>
          <w:highlight w:val="none"/>
        </w:rPr>
        <w:t>元的标准收取乙方违约金；造成一般事故的，甲方有权按2000000元～3000000元的标准收取乙方违约金；造成较大事故</w:t>
      </w:r>
      <w:r>
        <w:rPr>
          <w:rFonts w:hint="eastAsia" w:ascii="方正仿宋_GB2312" w:hAnsi="方正仿宋_GB2312" w:eastAsia="方正仿宋_GB2312" w:cs="方正仿宋_GB2312"/>
          <w:b/>
          <w:bCs/>
          <w:color w:val="auto"/>
          <w:sz w:val="24"/>
          <w:szCs w:val="24"/>
          <w:highlight w:val="none"/>
          <w:lang w:val="en-US" w:eastAsia="zh-CN"/>
        </w:rPr>
        <w:t>及以上</w:t>
      </w:r>
      <w:r>
        <w:rPr>
          <w:rFonts w:hint="eastAsia" w:ascii="方正仿宋_GB2312" w:hAnsi="方正仿宋_GB2312" w:eastAsia="方正仿宋_GB2312" w:cs="方正仿宋_GB2312"/>
          <w:b/>
          <w:bCs/>
          <w:color w:val="auto"/>
          <w:sz w:val="24"/>
          <w:szCs w:val="24"/>
          <w:highlight w:val="none"/>
        </w:rPr>
        <w:t>的，甲方有权按3000000元～6000000元的标准收取乙方违约金，甲方</w:t>
      </w:r>
      <w:r>
        <w:rPr>
          <w:rFonts w:hint="eastAsia" w:ascii="方正仿宋_GB2312" w:hAnsi="方正仿宋_GB2312" w:eastAsia="方正仿宋_GB2312" w:cs="方正仿宋_GB2312"/>
          <w:b/>
          <w:bCs/>
          <w:color w:val="auto"/>
          <w:sz w:val="24"/>
          <w:szCs w:val="24"/>
          <w:highlight w:val="none"/>
          <w:lang w:val="en-US" w:eastAsia="zh-CN"/>
        </w:rPr>
        <w:t>亦</w:t>
      </w:r>
      <w:r>
        <w:rPr>
          <w:rFonts w:hint="eastAsia" w:ascii="方正仿宋_GB2312" w:hAnsi="方正仿宋_GB2312" w:eastAsia="方正仿宋_GB2312" w:cs="方正仿宋_GB2312"/>
          <w:b/>
          <w:bCs/>
          <w:color w:val="auto"/>
          <w:sz w:val="24"/>
          <w:szCs w:val="24"/>
          <w:highlight w:val="none"/>
        </w:rPr>
        <w:t xml:space="preserve">有权终止合同并列入供应商黑名单。 </w:t>
      </w:r>
    </w:p>
    <w:p w14:paraId="5347266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乙方施工质量、安全文明、应急管理不到位，存在质量隐患、不安全文明施工、未按应急要求响应报告的情况，甲方有权视情节严重程度进行处罚</w:t>
      </w:r>
      <w:r>
        <w:rPr>
          <w:rFonts w:hint="eastAsia" w:ascii="方正仿宋_GB2312" w:hAnsi="方正仿宋_GB2312" w:eastAsia="方正仿宋_GB2312" w:cs="方正仿宋_GB2312"/>
          <w:color w:val="auto"/>
          <w:sz w:val="24"/>
          <w:szCs w:val="24"/>
          <w:highlight w:val="none"/>
          <w:lang w:val="en-US" w:eastAsia="zh-CN"/>
        </w:rPr>
        <w:t>1000-50000</w:t>
      </w:r>
      <w:r>
        <w:rPr>
          <w:rFonts w:hint="eastAsia" w:ascii="方正仿宋_GB2312" w:hAnsi="方正仿宋_GB2312" w:eastAsia="方正仿宋_GB2312" w:cs="方正仿宋_GB2312"/>
          <w:color w:val="auto"/>
          <w:sz w:val="24"/>
          <w:szCs w:val="24"/>
          <w:highlight w:val="none"/>
        </w:rPr>
        <w:t>元/次。对按要求不落实个人防护措施的高处作业人员、特种作业人员未执证上岗，甲方有权清退出</w:t>
      </w:r>
      <w:r>
        <w:rPr>
          <w:rFonts w:hint="eastAsia" w:ascii="方正仿宋_GB2312" w:hAnsi="方正仿宋_GB2312" w:eastAsia="方正仿宋_GB2312" w:cs="方正仿宋_GB2312"/>
          <w:color w:val="auto"/>
          <w:sz w:val="24"/>
          <w:szCs w:val="24"/>
          <w:highlight w:val="none"/>
          <w:lang w:val="en-US" w:eastAsia="zh-CN"/>
        </w:rPr>
        <w:t>场。</w:t>
      </w:r>
    </w:p>
    <w:p w14:paraId="12A8039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20.甲方对项目工程设置质量安全管控红线，建设单位或甲方在组织开展第三方评估、各项质量安全检查中，发现乙方承建的项目出现触碰质量安全管控红线的，甲方有权对乙方实施经济处罚，且乙方须无条件整改直至合格，并赔偿甲方因此遭受的一切损失，接受甲方依据合同追究违约责任，包括支付违约金和承担其他违约责任：</w:t>
      </w:r>
    </w:p>
    <w:p w14:paraId="2CE1A88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①施工现场正在施工但无项目部安全或质量管理人员在场，或项目部组成人员中有40%及以上不在场又无法作出合理解释，对乙方处以罚款1万/项。</w:t>
      </w:r>
    </w:p>
    <w:p w14:paraId="70DC49F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②超过一定规模的危险性较大分部分项工程施工方案未组织专家论证已施工，或重要分部分项工程无专项施工方案，对乙方处以罚款1万/项。</w:t>
      </w:r>
    </w:p>
    <w:p w14:paraId="01C9850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③规范要求见证取样检测的原材料、钢筋连接(搭接、直螺纹连接、焊接)、试件未按要求送检或检测不合格已用于现场施工，对乙方处以罚款2万/项。</w:t>
      </w:r>
    </w:p>
    <w:p w14:paraId="0D3D172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④未按规定进行地基验槽、桩基子分部工程、地基与基础分部工程、主体结构分部工程质量验收且未进行结构隐蔽工程检查确认合格，又不能作出合理解释，对乙方处以罚款1万/项。</w:t>
      </w:r>
    </w:p>
    <w:p w14:paraId="1D41DD6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模板系统（高大模板、一般模板、铝模）现场实施与专项方案要求严重不符，后浇带模板支撑体系未单独设置或未按规范及方案要求搭设，后浇带两侧支撑模板提前拆除，或悬挑梁受力主筋锚固长度不足，或结构楼板(含梯板) 厚度偏差值超出-15%或+20%，对乙方处以罚款1万/项。</w:t>
      </w:r>
    </w:p>
    <w:p w14:paraId="2B4013B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⑥主体结构混凝土强度在标准龄期后未到设计标准值偏差合格率≤80%或经钻芯取样试验强度未达到设计要求，对乙方处以罚款3万/项。</w:t>
      </w:r>
    </w:p>
    <w:p w14:paraId="1D90253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悬挑构件：上层钢筋无有效支撑和防踩踏措施，钢筋绑扎严重不符合规范设计要求,混凝土强度未达到100%就开始拆模，或主体结构出现结构性破坏，或未按设计图纸（含有效的工程变更）施工,对结构安全有重大影响的（如：现场出现楼板开裂严重、楼板下沉、已使用的钢筋、混凝土材料不合格等重大质量缺陷的），对乙方处以罚款2万/项。</w:t>
      </w:r>
    </w:p>
    <w:p w14:paraId="31AC263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⑧已施工防水层成品保护不当造成多处破损或防水层及保护层未按设计施工，或项目交付前（单栋）检查出现大面积渗漏 (卫生间、外窗、外墙、屋面、地下室等部位≥10处)，对乙方处以罚款5千/项。</w:t>
      </w:r>
    </w:p>
    <w:p w14:paraId="25E49D8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⑨装配式隔墙板间接缝补缝，存在大面积开裂达到40%及以上（按户算），或砌体设置直槎、未按规范设置拉结筋（3处及以上）,封顶砖同步砌筑，对乙方处以罚款5千/项。</w:t>
      </w:r>
    </w:p>
    <w:p w14:paraId="43F5C30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⑩单栋抹灰工程工序倒置：外砼墙孔洞未封堵或封堵不密实、不同墙体材料交接处先甩浆后挂加强网（5处及以上），对乙方处以罚款3千/项。</w:t>
      </w:r>
    </w:p>
    <w:p w14:paraId="7DFFD2B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⑪基坑支护、放坡等与方案存在严重不符，且存在较大安全隐患，或基坑施工未按规定进行监测，或监测结果严重失真，对乙方处以罚款1万/项。</w:t>
      </w:r>
    </w:p>
    <w:p w14:paraId="784782B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⑫附着式脚手架附墙支座螺栓松动失稳，及架体防坠器、防倾覆装置失效，或施工现场所有外架（落地架、悬挑架、爬架）低于操作面施工，对乙方处以罚款2万/项。</w:t>
      </w:r>
    </w:p>
    <w:p w14:paraId="2403F85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⑬重要限位、保险等安全装置失效，钢丝绳达到报废标准仍在使用，或使用非原厂、自行焊接的扶墙杆，对乙方处以罚款2万/项。</w:t>
      </w:r>
    </w:p>
    <w:p w14:paraId="6F50162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⑭重要限位、安全开关、保险等安全装置失效，或防坠安全器超过有效标定日期，对乙方处以罚款2万/项。</w:t>
      </w:r>
    </w:p>
    <w:p w14:paraId="11E1AB9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⑮安全锁失效或超过有效标定期限，钢丝绳达到报废标准仍在使用，或配重件应固定在配重架上，并应有防止可随意移除的措施，对乙方处以罚款2万/项。</w:t>
      </w:r>
    </w:p>
    <w:p w14:paraId="7E34E1D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⑯消防设施缺失、失效、随意挪动、占用（5处及以上），或生活区使用大功率电器（3处及以上），对乙方处以罚款1万/项。</w:t>
      </w:r>
    </w:p>
    <w:p w14:paraId="73535FF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⑰涉及地铁保护的工程，未经地铁保护技术审查程序或报备擅自开工的，或对于重大影响项目未执行“两评六专一交底”管理办法，对乙方处以罚款3万/项。</w:t>
      </w:r>
    </w:p>
    <w:p w14:paraId="64C3AA7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⑱施工现场高压线在起重设备回转范围内（特殊情况除外），对乙方处以罚款5千/项。</w:t>
      </w:r>
    </w:p>
    <w:p w14:paraId="3D5B133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 xml:space="preserve">设备限位失效：&lt;1&gt;塔吊重要限位、保险等安全装置失效，钢丝绳达到报废标准的；&lt;2&gt;附着式脚手架附墙支座螺栓松动，及架体防坠器、防倾覆装置失效的；&lt;3&gt;施工电梯防坠器未按时年检的,除对乙方处以罚款外，情节严重的采取“局部拉闸”处理。 </w:t>
      </w:r>
    </w:p>
    <w:p w14:paraId="33B58BA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21.对于检验批、分项工程、隐蔽工程验收、材料报验等要求甲方检查认可的项目，如乙方未按规定实施的，乙方应向甲方支付违约金10000元／次／项，并有权要求乙方限期整改到位。</w:t>
      </w:r>
    </w:p>
    <w:p w14:paraId="135696B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22.原材料、试件等未经检测即先行使用的，乙方应向甲方支付违约金1000元／次／项，并有权要求乙方限期整改到位。</w:t>
      </w:r>
    </w:p>
    <w:p w14:paraId="328CBB8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23.乙方在施工中使用的钢材必须为大厂生产，不允许使用小厂生产的产品，否则一经发现，甲方有权要求乙方将该材料退场，同时乙方应向甲方支付违约金10000元／次。</w:t>
      </w:r>
    </w:p>
    <w:p w14:paraId="5E5E62D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24.在本合同履行过程中，如乙方对混凝土取样试块未按规定留置的，应向甲方支付违约金2000元／次／项。拆模试块不是同条件养护的，每组乙方应向甲方支付违约金2000元。试块的强度评定结果为不合格的，乙方应向甲方支付违约金500元／次／项。试块的强度出现3次（含）以上的不符合要求的，乙方应向甲方支付违约金1000元／次／项，并承担用回弹、钻心试验等方法确认该班砼构件强度的检测费。混凝土浇捣无坍落度检查及记录或检查不符合要求，乙方应向甲方支付违约金1000元／次／项。</w:t>
      </w:r>
    </w:p>
    <w:p w14:paraId="54AE8D6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25.大体积混凝土施工无测温记录或记录不符合要求的，乙方应向甲方支付违约金2000元。砼浇捣出现孔洞，乙方故意隐瞒且未经甲方鉴定擅自修补者，除返工重补外，还应向甲方支付违约金2000元/处，引起质量隐患的另行处理</w:t>
      </w:r>
    </w:p>
    <w:p w14:paraId="7812F4A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26.成品混凝土构件不按规范规定养护 的，发现一次乙方应向甲方支付违约金2000元，因缺乏养护混凝土出现裂纹或强度偏低者，乙方除按每处2000元向甲方支付违约金外，还要对此进行加固补强或处理。</w:t>
      </w:r>
    </w:p>
    <w:p w14:paraId="6E19950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27.构造柱接头、梁、柱、墙等现浇混凝土构件中含碎砖、水泥袋等杂物的，甲方有权责令凿除加固，并处违约金2000元/处，造成质量隐患的另行处理。</w:t>
      </w:r>
    </w:p>
    <w:p w14:paraId="2E37D17A">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28.现浇结构构件截面尺寸偏差不符合规范规定的，偏差过大者每处乙方应向甲方支付违约金2000 元。</w:t>
      </w:r>
    </w:p>
    <w:p w14:paraId="4235D09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29.土方工程：土方开挖未按专项施工方案作业，未分段分层开挖，每层开挖深度超过方案要求的、放坡不足、存在超挖的、基坑内无有效排水措施的、挖至设计标高后未及时验收封底造成被水浸泡的，乙方应向甲方支付违约金5000元／项，并有权要求乙方限期整改到位。</w:t>
      </w:r>
    </w:p>
    <w:p w14:paraId="4DA51FE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30.支护工程：&lt;1&gt;降排水:未按图纸设计的要求，在基坑开挖之前实施降水的。未按专项方案设置基坑内降水井点、排水沟、集水坑，以及基坑顶部未设置排水沟及沟外侧未做硬地化的，乙方应向甲方支付违约金2000元/次／项；&lt;2&gt;砼护坡：护坡开挖坡度不符设计要求的，土钉（钢花杆杆等）规格、定位、间距、入土层深度超出设计和规范要求的，面层钢筋网钢筋规格、间距和与土钉连接不牢固的，泄水孔未按图设置的，护坡喷砼层厚度不足的，乙方应向甲方支付违约金2000元/次／项；&lt;3&gt;支护桩：灌注桩定位出现较大偏差、桩身底端未达设计标高的，钢筋笼的钢筋规格、间距、根数、与设计不符和箍筋与主筋连接未全数满焊的，桩身经完整性检测出现缩颈、桩身夹泥的，未按要求留置砼试件、养护、试件强度未达设计要求的，乙方应向甲方支付违约金20000元/次／项；&lt;4&gt;冠梁：桩顶残渣、浮土未清理干净的，冠梁、腰梁、支撑梁等的截面尺寸与设计不符或超出允许偏差范围的，钢筋规格数量、连接锚入绑扎与设计不符或超出允许偏差范围的，乙方应向甲方支付违约金3000元／项。乙方除了支付违约金，甲方有权要求乙方限期整改到位。</w:t>
      </w:r>
    </w:p>
    <w:p w14:paraId="3654F1E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31.模板工程： 梁、板、柱模板偏差超出规范要求的，乙方应按甲方要求限期整改，且必须在砼浇捣前整改合格。模板涨皮破损严重的，乙方必须及时更换，不及时更换的按5000元／次向甲方支付违约金，并有权要求乙方限期整改到位。浇筑砼后如出现位移、涨模、下垂、漏浆、夹渣等，偏差较大、情况严重者，乙方应向甲方支付违约金5000元／处，并有权要求乙方限期整改到位。</w:t>
      </w:r>
    </w:p>
    <w:p w14:paraId="0AADDFA0">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32.砌体工程：水泥的出厂合格证、质保书收集及复试报告未按规定执行的，乙方应向甲方支付违约金2000元／项。砌筑砂浆拌和时不挂牌或不按设计配合比，每发现一次(处)乙方应向甲方支付违约金2000 元，并责令改正。填充墙砌体材料未经规定复试而使用的，乙方应向甲方支付违约金5000 元／次，并责令改正。砌体工程的砂浆饱满度抽查三组，其中一组或一组以上不符合规范要求，乙方应向甲方支付违约金2000 元，影响结构安全的另行处理。砌体留直槎、不按规定留拉结筋，或拉结筋不符合规范要求的，每处乙方应向甲方支付违约金5000 元并在甲方要求的期限内改正。如乙方逾期改正的，每逾期一日应向甲方支付违约金1000元。</w:t>
      </w:r>
    </w:p>
    <w:p w14:paraId="52C3C95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砌筑时发现砌块干砖上墙，甲方有权责令乙方改正，且乙方应向甲方支付违约金1000 元，并有权要求乙方限期整改到位。砌体竖向灰缝不允许出现瞎缝、通缝和假缝，否则乙方应按500 元／处向甲方支付违约金，并有权要求乙方限期整改到位。</w:t>
      </w:r>
    </w:p>
    <w:p w14:paraId="4A19E8E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33.墙身开槽没有用机械切割的，乙方应向甲方支付违约金500 元／处。墙体表面留置水平沟槽或横向开槽不符合规范规定的，每处乙方应向甲方支付违约金500元／处，并有权要求乙方限期整改到位。</w:t>
      </w:r>
    </w:p>
    <w:p w14:paraId="45BC2A6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34.屋面工程防水材料送检合格后方可使用，如乙方使用劣质防水材料，未送检即使用，甲方有权限期整改并清退劣质材料，同时乙方应向甲方支付违约金20000元／次。</w:t>
      </w:r>
    </w:p>
    <w:p w14:paraId="48FA283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35.装饰工程</w:t>
      </w:r>
    </w:p>
    <w:p w14:paraId="55C019E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地面标高不准、楼梯踏步台阶步距不准的，甲方有权责令乙方限期整改到位。地坪严重起壳、起裂、起砂面积大于200cm2的，甲方有权责令乙方限期凿除整改，同时乙方应向甲方支付违约金500元／处。如乙方逾期整改的，每逾期一日应向甲方支付违约金 500 元，并有权要求乙方限期整改到位。</w:t>
      </w:r>
    </w:p>
    <w:p w14:paraId="79AA6EA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②凡踢脚线空鼓长度超过30cm的，乙方应向甲方支付违约金500 元／处。多孔砖上安装门窗樘用射钉固定的，乙方应向甲方支付违约金500 元／樘，并有权要求乙方限期整改到位。</w:t>
      </w:r>
    </w:p>
    <w:p w14:paraId="70F1209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门窗型号、规格必须符合设计图纸、规范和合同要求，不符合要求的乙方应退货、重新施工，乙方应向甲方支付违约金10000元／次。门窗安装不牢固、位置不准确、标高不合要求、玻璃嵌缝不密实均匀，开启不灵活，密封性不符合要求，玻璃有气泡、开裂的，甲方有权责令乙方限期整改到位，未按期整改到位的，乙方应向甲方支付违约金500 元/个。铝合金、塑钢门窗边框渗水的，每处乙方应向甲方支付违约金1000 元，并有权要求乙方限期整改到位。</w:t>
      </w:r>
    </w:p>
    <w:p w14:paraId="463BD5B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④外墙面砖、室内瓷砖、地砖起壳空鼓面积超过1m2，每处乙方应向甲方支付违约金500元，并有权要求乙方限期整改到位。</w:t>
      </w:r>
    </w:p>
    <w:p w14:paraId="0B7194D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⑤屋面、卫生间等有防水要求的房间，渗漏不论范围大小，每处乙方应向甲方支付违约金500 元，并有权要求乙方限期整改到位。</w:t>
      </w:r>
    </w:p>
    <w:p w14:paraId="457A550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⑥粉刷层空鼓、开裂、起壳、露网的，甲方有权责令乙方限时整改，如乙方未按期整改到位的，应向甲方支付违约金500 元/个。</w:t>
      </w:r>
    </w:p>
    <w:p w14:paraId="2F43109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⑦粉刷前不湿润墙面、基层不处理报甲方验收的，甲方有权责令限期整改，同时乙方应向甲方支付违约金200元/处。如乙方逾期整改的，每逾期一日应向甲方支付违约金100 元。</w:t>
      </w:r>
    </w:p>
    <w:p w14:paraId="310D1A9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36.给排水与暖通工程</w:t>
      </w:r>
    </w:p>
    <w:p w14:paraId="7F4D2F0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①管道穿过墙壁和楼板没有规范要求设置套管的，每个（处）乙方应向甲方支付违约金500 元，并有权要求乙方限期整改到位。</w:t>
      </w:r>
    </w:p>
    <w:p w14:paraId="505B6FC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②埋地管道未做护理处理，每处乙方应向甲方支付违约金2000 元。金属管道埋地未做防腐处理，每处乙方应向甲方支付违约金2000 元，并有权要求乙方限期整改到位。</w:t>
      </w:r>
    </w:p>
    <w:p w14:paraId="5D3790A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③支架安装前没有按规范要求进行除锈刷漆的，每个（条）乙方应向甲方支付违约金200 元，并有权要求乙方限期整改到位。</w:t>
      </w:r>
    </w:p>
    <w:p w14:paraId="0A752C1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④排水管道的坡度必须符合设计要求，如出现无坡或倒坡的，每处乙方应向甲方支付违约金2000 元，并有权要求乙方限期整改到位。</w:t>
      </w:r>
    </w:p>
    <w:p w14:paraId="07EA2D5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⑤管道穿过结构伸缩缝，抗震缝及沉降缝敷设时，乙方没有按规范要求采用柔性连接，每处乙方应向甲方支付违约金500 元，并有权要求乙方限期整改到位。</w:t>
      </w:r>
    </w:p>
    <w:p w14:paraId="48389ED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⑥水泵安装时进出口的变径管没有使用偏心大小头的，乙方应向甲方支付违约金200 元／个，并有权要求乙方限期整改到位。</w:t>
      </w:r>
    </w:p>
    <w:p w14:paraId="5494AA1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⑦防排烟系统柔性短管的制作材料必须使用不燃材料，否则每处乙方应向甲方支付违约金200元，并有权要求乙方限期整改到位。</w:t>
      </w:r>
    </w:p>
    <w:p w14:paraId="3CA1595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⑧各种承压管道系统和设备应做水压测验，非承压管道系统和设备应做灌水测验，每缺一项乙方应向甲方支付违约金1000 元，并有权要求乙方限期整改到位。</w:t>
      </w:r>
    </w:p>
    <w:p w14:paraId="71A8307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⑨给水管道竣工后，乙方没有对管道进行冲洗和消毒，每项乙方应向甲方支付违约金5000 元，并有权要求乙方限期整改到位。</w:t>
      </w:r>
    </w:p>
    <w:p w14:paraId="06C6440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⑩室外管线施工前，必须进行放线以及管井定位，并经甲方设计管理部门、工程管理部门现场核查后方可施工，如室外管网布设位置有冲突未先经甲方同意随意施工，产生对其它管线的损害，甲方有权责令乙方限期整改并负责赔偿。如乙方逾期整改的，每逾期一日应向甲方支付违约金  500 元。</w:t>
      </w:r>
    </w:p>
    <w:p w14:paraId="64C7497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⑪乙方根据现场实际情况绘制并优化地下车库进行综合管网，并报甲方审核。</w:t>
      </w:r>
    </w:p>
    <w:p w14:paraId="6B61FA2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37.电气安装工程</w:t>
      </w:r>
    </w:p>
    <w:p w14:paraId="04B9FC2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①防雷接地极和避雷引下点的焊接不牢靠，搭接长度不符合规范要求的，甲方有权要求乙方限期整改到位，同时每处乙方应向甲方支付违约金500 元。如乙方逾期整改的，每逾期一日应向甲方支付违约金500元。</w:t>
      </w:r>
    </w:p>
    <w:p w14:paraId="48F7AFE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②金属电缆桥架的接地（PE）或接零（PEN）不符合规范要求的，每处乙方应向甲方支付违约金500 元，并有权要求乙方限期整改到位。</w:t>
      </w:r>
    </w:p>
    <w:p w14:paraId="02DB719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③当灯具距地面高度小于2.4㎜时，灯具的可接近裸露导体必须接地（PE）或接另（PEN）可靠，并应有专用接地螺栓具有标识，每缺一盏乙方应向甲方支付违约金500 元，并有权要求乙方限期整改到位。</w:t>
      </w:r>
    </w:p>
    <w:p w14:paraId="67122C6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④插座接线不符合规范规定连接的，每只乙方应向甲方支付违约金500 元，并有权要求乙方限期整改到位。插座、开关安装高度不统一、不整齐的，甲方有权要求乙方限期整改到位，如超出期限整改或整改未到位的，乙方应向甲方支付违约金2000 元/套间</w:t>
      </w:r>
    </w:p>
    <w:p w14:paraId="4AF0087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⑤配电箱、盒、桥架安装不使用机械开孔的，每个（处）乙方应向甲方支付违约金500 元，并有权要求乙方限期整改到位。</w:t>
      </w:r>
    </w:p>
    <w:p w14:paraId="72AFD60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⑥如进场产品、设备与设计规格型号不一致，甲方有权责令乙方立即退换，乙方应按10000 元/次向甲方支付违约金。</w:t>
      </w:r>
    </w:p>
    <w:p w14:paraId="65E0BC1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⑦乙方施工中如未及时向甲方及时报验的，甲方有权责令补报，同时乙方应向甲方支付违约金1000 元/次。</w:t>
      </w:r>
    </w:p>
    <w:p w14:paraId="1BDBF11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38.</w:t>
      </w:r>
      <w:r>
        <w:rPr>
          <w:rFonts w:hint="eastAsia" w:ascii="方正仿宋_GB2312" w:hAnsi="方正仿宋_GB2312" w:eastAsia="方正仿宋_GB2312" w:cs="方正仿宋_GB2312"/>
          <w:color w:val="auto"/>
          <w:sz w:val="24"/>
          <w:szCs w:val="24"/>
          <w:highlight w:val="none"/>
        </w:rPr>
        <w:t>乙方违章指挥施工拒不整改的，甲方有权视情节严重情况处罚 5000</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10000元。</w:t>
      </w:r>
    </w:p>
    <w:p w14:paraId="2D01B4FE">
      <w:pPr>
        <w:pageBreakBefore w:val="0"/>
        <w:kinsoku/>
        <w:overflowPunct/>
        <w:topLinePunct w:val="0"/>
        <w:autoSpaceDE/>
        <w:autoSpaceDN/>
        <w:bidi w:val="0"/>
        <w:spacing w:beforeAutospacing="0" w:afterAutospacing="0" w:line="540" w:lineRule="exact"/>
        <w:ind w:left="0" w:leftChars="0" w:firstLine="480" w:firstLineChars="200"/>
        <w:rPr>
          <w:rFonts w:hint="eastAsia"/>
          <w:color w:val="auto"/>
          <w:highlight w:val="none"/>
        </w:rPr>
      </w:pPr>
      <w:r>
        <w:rPr>
          <w:rFonts w:hint="eastAsia" w:ascii="方正仿宋_GB2312" w:hAnsi="方正仿宋_GB2312" w:eastAsia="方正仿宋_GB2312" w:cs="方正仿宋_GB2312"/>
          <w:color w:val="auto"/>
          <w:sz w:val="24"/>
          <w:szCs w:val="24"/>
          <w:highlight w:val="none"/>
          <w:lang w:val="en-US" w:eastAsia="zh-CN"/>
        </w:rPr>
        <w:t>39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乙方未按清单内容或方案要求落实相应措施的，甲方有权扣减或扣除相应措施费用。</w:t>
      </w:r>
    </w:p>
    <w:bookmarkEnd w:id="800"/>
    <w:p w14:paraId="3D9C8EB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十四、保险</w:t>
      </w:r>
    </w:p>
    <w:p w14:paraId="50D0EA10">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乙方必须为从事危险作业的职工办理意外伤害保险，并为施工场地内自有人员生命财产和施工机械设备办理保险，支付保险费用。乙方须提供意外伤害险相关资料备查，</w:t>
      </w:r>
      <w:bookmarkStart w:id="801" w:name="OLE_LINK7"/>
      <w:r>
        <w:rPr>
          <w:rFonts w:hint="eastAsia" w:ascii="方正仿宋_GB2312" w:hAnsi="方正仿宋_GB2312" w:eastAsia="方正仿宋_GB2312" w:cs="方正仿宋_GB2312"/>
          <w:color w:val="auto"/>
          <w:sz w:val="24"/>
          <w:szCs w:val="24"/>
          <w:highlight w:val="none"/>
        </w:rPr>
        <w:t>合同签订后一周内，提供保单给甲方核实。</w:t>
      </w:r>
    </w:p>
    <w:bookmarkEnd w:id="801"/>
    <w:p w14:paraId="00DFD391">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保险事故发生时，甲方和乙方有责任采取必要的措施，防止或减少损失。</w:t>
      </w:r>
    </w:p>
    <w:p w14:paraId="1A868EC6">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十五、争议</w:t>
      </w:r>
    </w:p>
    <w:p w14:paraId="3B09476E">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甲方和乙方在履行合同时发生争议，可以自行和解或要求有关主管部门调解，任何一方不愿和解、调解或和解、调解不成的，依法向工程所在地人民法院起诉。</w:t>
      </w:r>
    </w:p>
    <w:p w14:paraId="3BD387A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十六、不可抗力</w:t>
      </w:r>
    </w:p>
    <w:p w14:paraId="12226703">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.1本合同所指不可抗力，是指不能预见、不能避免并不能克服的客观情况，包括但不限于：自然灾害（地震、洪水、雷击、火灾等）、战争或准战争状态、恐怖活动、戒严等公认的不可抗力事件。</w:t>
      </w:r>
    </w:p>
    <w:p w14:paraId="2F5B3509">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2受不可抗力影响的一方应在遇到不可抗力之时起24小时内，将所发生的不可抗力事件情况以电邮、传真等形式通知对方，并在事件发生之日起10日内以特快专递或挂号信件将不可抗力发生地政府部门/机构出具的证明文</w:t>
      </w:r>
      <w:r>
        <w:rPr>
          <w:rFonts w:hint="eastAsia" w:ascii="方正仿宋_GB2312" w:hAnsi="方正仿宋_GB2312" w:eastAsia="方正仿宋_GB2312" w:cs="方正仿宋_GB2312"/>
          <w:color w:val="auto"/>
          <w:sz w:val="24"/>
          <w:szCs w:val="24"/>
          <w:highlight w:val="none"/>
          <w:lang w:eastAsia="zh-CN"/>
        </w:rPr>
        <w:t>件提</w:t>
      </w:r>
      <w:r>
        <w:rPr>
          <w:rFonts w:hint="eastAsia" w:ascii="方正仿宋_GB2312" w:hAnsi="方正仿宋_GB2312" w:eastAsia="方正仿宋_GB2312" w:cs="方正仿宋_GB2312"/>
          <w:color w:val="auto"/>
          <w:sz w:val="24"/>
          <w:szCs w:val="24"/>
          <w:highlight w:val="none"/>
        </w:rPr>
        <w:t>交对方确认。</w:t>
      </w:r>
    </w:p>
    <w:p w14:paraId="322BE92A">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.3当不可抗力停止或消除后，受不可抗力影响的一方应在24小时内以电子邮件、传真等形式通知对方，并在3日内以特快专递或挂号信证实。</w:t>
      </w:r>
    </w:p>
    <w:p w14:paraId="2B8797FF">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.4合同生效后，合同各方的任何一方由于不可抗力事件而影响到本合同履行时，则延长履行合同的期限，这一期限应相当于不可抗力所影响的时间，并可根据情况部分或全部</w:t>
      </w:r>
      <w:r>
        <w:rPr>
          <w:rFonts w:hint="eastAsia" w:ascii="方正仿宋_GB2312" w:hAnsi="方正仿宋_GB2312" w:eastAsia="方正仿宋_GB2312" w:cs="方正仿宋_GB2312"/>
          <w:color w:val="auto"/>
          <w:sz w:val="24"/>
          <w:szCs w:val="24"/>
          <w:highlight w:val="none"/>
          <w:lang w:eastAsia="zh-CN"/>
        </w:rPr>
        <w:t>免于</w:t>
      </w:r>
      <w:r>
        <w:rPr>
          <w:rFonts w:hint="eastAsia" w:ascii="方正仿宋_GB2312" w:hAnsi="方正仿宋_GB2312" w:eastAsia="方正仿宋_GB2312" w:cs="方正仿宋_GB2312"/>
          <w:color w:val="auto"/>
          <w:sz w:val="24"/>
          <w:szCs w:val="24"/>
          <w:highlight w:val="none"/>
        </w:rPr>
        <w:t>承担违约责任，但一方延误履约后发生不可抗力的，不能免除责任。</w:t>
      </w:r>
    </w:p>
    <w:p w14:paraId="03D3976F">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.5如果不可抗力的影响持续达30日或以上时，双方应根据该事件对本合同履行的影响程度协商对本合同的修改或终止。</w:t>
      </w:r>
    </w:p>
    <w:p w14:paraId="3E9AA7F7">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w:t>
      </w:r>
      <w:r>
        <w:rPr>
          <w:rFonts w:hint="eastAsia" w:ascii="方正仿宋_GB2312" w:hAnsi="方正仿宋_GB2312" w:eastAsia="方正仿宋_GB2312" w:cs="方正仿宋_GB2312"/>
          <w:b/>
          <w:color w:val="auto"/>
          <w:sz w:val="24"/>
          <w:szCs w:val="24"/>
          <w:highlight w:val="none"/>
          <w:lang w:val="en-US" w:eastAsia="zh-CN"/>
        </w:rPr>
        <w:t>七</w:t>
      </w:r>
      <w:r>
        <w:rPr>
          <w:rFonts w:hint="eastAsia" w:ascii="方正仿宋_GB2312" w:hAnsi="方正仿宋_GB2312" w:eastAsia="方正仿宋_GB2312" w:cs="方正仿宋_GB2312"/>
          <w:b/>
          <w:color w:val="auto"/>
          <w:sz w:val="24"/>
          <w:szCs w:val="24"/>
          <w:highlight w:val="none"/>
        </w:rPr>
        <w:t>、合同终止</w:t>
      </w:r>
    </w:p>
    <w:p w14:paraId="4BFBF24F">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双方履行完合同全部义务，劳务报酬价款支付完毕，乙方向甲方交付劳务作业成果，并经验收合格后，本合同即告终止。</w:t>
      </w:r>
    </w:p>
    <w:p w14:paraId="221F6881">
      <w:pPr>
        <w:pStyle w:val="16"/>
        <w:keepNext w:val="0"/>
        <w:keepLines w:val="0"/>
        <w:pageBreakBefore w:val="0"/>
        <w:widowControl/>
        <w:numPr>
          <w:ilvl w:val="0"/>
          <w:numId w:val="1"/>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color w:val="0000FF"/>
        </w:rPr>
      </w:pP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79F36EA3">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1.各方通讯方式如下：</w:t>
      </w:r>
    </w:p>
    <w:p w14:paraId="181A0A21">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甲方的通讯地址为：南宁市青秀区凤岭北路 111 号南宁国际旅游中心 C 座 37 层；</w:t>
      </w:r>
    </w:p>
    <w:p w14:paraId="38F9D2E9">
      <w:pPr>
        <w:keepNext w:val="0"/>
        <w:keepLines w:val="0"/>
        <w:pageBreakBefore w:val="0"/>
        <w:kinsoku/>
        <w:wordWrap/>
        <w:overflowPunct/>
        <w:topLinePunct w:val="0"/>
        <w:autoSpaceDE/>
        <w:autoSpaceDN/>
        <w:bidi w:val="0"/>
        <w:adjustRightInd w:val="0"/>
        <w:snapToGrid/>
        <w:spacing w:beforeAutospacing="0" w:afterAutospacing="0" w:line="540" w:lineRule="exact"/>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联系人：XXX ；手机号码XXXXX。</w:t>
      </w:r>
    </w:p>
    <w:p w14:paraId="599A5E78">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乙方的通讯地址为：</w:t>
      </w:r>
      <w:r>
        <w:rPr>
          <w:rFonts w:hint="eastAsia" w:ascii="方正仿宋_GB2312" w:hAnsi="方正仿宋_GB2312" w:eastAsia="方正仿宋_GB2312" w:cs="方正仿宋_GB2312"/>
          <w:color w:val="0000FF"/>
          <w:kern w:val="0"/>
          <w:sz w:val="24"/>
          <w:szCs w:val="24"/>
          <w:highlight w:val="none"/>
          <w:u w:val="single"/>
          <w:lang w:val="en-US" w:eastAsia="zh-CN" w:bidi="ar-SA"/>
        </w:rPr>
        <w:t xml:space="preserve">                   ,</w:t>
      </w:r>
      <w:r>
        <w:rPr>
          <w:rFonts w:hint="eastAsia" w:ascii="方正仿宋_GB2312" w:hAnsi="方正仿宋_GB2312" w:eastAsia="方正仿宋_GB2312" w:cs="方正仿宋_GB2312"/>
          <w:color w:val="0000FF"/>
          <w:kern w:val="0"/>
          <w:sz w:val="24"/>
          <w:szCs w:val="24"/>
          <w:highlight w:val="none"/>
          <w:lang w:val="en-US" w:eastAsia="zh-CN" w:bidi="ar-SA"/>
        </w:rPr>
        <w:t>联系人：XXXXX；手机号码：XXXXXX。</w:t>
      </w:r>
    </w:p>
    <w:p w14:paraId="215A6B6B">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双方确认，本合同载明的各方地址为双方真实有效通讯地址。与签订及履行本合同有关的一切通知、函件或其他法律文件，甲乙双方均应按照上述指定联系人及地址送达。 </w:t>
      </w:r>
    </w:p>
    <w:p w14:paraId="641FF043">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2EC0220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2E2BA72E">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02E87F2F">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u w:val="single"/>
        </w:rPr>
      </w:pPr>
      <w:r>
        <w:rPr>
          <w:rFonts w:hint="eastAsia" w:ascii="方正仿宋_GB2312" w:hAnsi="方正仿宋_GB2312" w:eastAsia="方正仿宋_GB2312" w:cs="方正仿宋_GB2312"/>
          <w:b/>
          <w:color w:val="auto"/>
          <w:sz w:val="24"/>
          <w:szCs w:val="24"/>
          <w:highlight w:val="none"/>
        </w:rPr>
        <w:t>十</w:t>
      </w:r>
      <w:r>
        <w:rPr>
          <w:rFonts w:hint="eastAsia" w:ascii="方正仿宋_GB2312" w:hAnsi="方正仿宋_GB2312" w:eastAsia="方正仿宋_GB2312" w:cs="方正仿宋_GB2312"/>
          <w:b/>
          <w:color w:val="auto"/>
          <w:sz w:val="24"/>
          <w:szCs w:val="24"/>
          <w:highlight w:val="none"/>
          <w:lang w:val="en-US" w:eastAsia="zh-CN"/>
        </w:rPr>
        <w:t>九</w:t>
      </w:r>
      <w:r>
        <w:rPr>
          <w:rFonts w:hint="eastAsia" w:ascii="方正仿宋_GB2312" w:hAnsi="方正仿宋_GB2312" w:eastAsia="方正仿宋_GB2312" w:cs="方正仿宋_GB2312"/>
          <w:b/>
          <w:color w:val="auto"/>
          <w:sz w:val="24"/>
          <w:szCs w:val="24"/>
          <w:highlight w:val="none"/>
        </w:rPr>
        <w:t>、其他条款</w:t>
      </w:r>
    </w:p>
    <w:p w14:paraId="060F193C">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（一）合同签订后，乙方须向甲方提供劳务人员花名册、按时支付劳务人员工资承诺书及考勤表用于核查。</w:t>
      </w:r>
    </w:p>
    <w:p w14:paraId="7ECD5F86">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（二）乙方需向甲方提交如下资料用于核查：</w:t>
      </w:r>
    </w:p>
    <w:p w14:paraId="5AC1217C">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要求每个工人提交有效身份证复印件、手机号码和银行卡复印件。</w:t>
      </w:r>
    </w:p>
    <w:p w14:paraId="2CA418EF">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乙方所招募的工人如从事特种作业，必须按要求持证上岗，并保证证件的真实性及有效性。</w:t>
      </w:r>
    </w:p>
    <w:p w14:paraId="1BA731B6">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乙方所招募的工人必须严格考勤制度。每日上下班使用实名制考勤系统或提交完整人工考勤记录。</w:t>
      </w:r>
    </w:p>
    <w:p w14:paraId="5AC71A89">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工人退场必须签订退场记录。</w:t>
      </w:r>
    </w:p>
    <w:p w14:paraId="0B7D12DC">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建立工人花名册，包含姓名、性别、身份证号码、户口所在地、进场时间、退场时间、合同编号、工资标准（元）、银行卡号及所属银行、手机号码</w:t>
      </w:r>
      <w:r>
        <w:rPr>
          <w:rFonts w:hint="eastAsia" w:ascii="方正仿宋_GB2312" w:hAnsi="方正仿宋_GB2312" w:eastAsia="方正仿宋_GB2312" w:cs="方正仿宋_GB2312"/>
          <w:color w:val="auto"/>
          <w:sz w:val="24"/>
          <w:szCs w:val="24"/>
          <w:highlight w:val="none"/>
          <w:shd w:val="clear" w:color="auto" w:fill="FFFFFF"/>
        </w:rPr>
        <w:t>（以甲方提供的模板为准）</w:t>
      </w:r>
      <w:r>
        <w:rPr>
          <w:rFonts w:hint="eastAsia" w:ascii="方正仿宋_GB2312" w:hAnsi="方正仿宋_GB2312" w:eastAsia="方正仿宋_GB2312" w:cs="方正仿宋_GB2312"/>
          <w:color w:val="auto"/>
          <w:sz w:val="24"/>
          <w:szCs w:val="24"/>
          <w:highlight w:val="none"/>
        </w:rPr>
        <w:t>。</w:t>
      </w:r>
    </w:p>
    <w:p w14:paraId="21496490">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提供每月或每笔（实际应根据合同关于支付的条款执行）的工人工资发放表原件扫描件（以甲方提供的模板为准）。</w:t>
      </w:r>
    </w:p>
    <w:p w14:paraId="262306F0">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每月或每笔（实际应根据合同关于支付的条款执行）工人工资支付证明，支付证明以工资银行流水为主的支付方式。如无银行流水的，甲乙双方应先进行商榷，但支付证明必须提供能体现付款方（真实姓名）、收款方（真实姓名）、金额、转账时间、收款时间、付款单号等信息。</w:t>
      </w:r>
    </w:p>
    <w:p w14:paraId="03663C7F">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乙方必须配合甲方对工人进行三级安全教育及各项交底。</w:t>
      </w:r>
    </w:p>
    <w:p w14:paraId="0F0465D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考勤人名、人数要与工资发放表、工人工资支付证明一致。</w:t>
      </w:r>
    </w:p>
    <w:p w14:paraId="5079FBB7">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乙方所招募的现场劳务人员，进场前需提交有效体检报告给甲方核查</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以甲方的要求为准）</w:t>
      </w:r>
      <w:r>
        <w:rPr>
          <w:rFonts w:hint="eastAsia" w:ascii="方正仿宋_GB2312" w:hAnsi="方正仿宋_GB2312" w:eastAsia="方正仿宋_GB2312" w:cs="方正仿宋_GB2312"/>
          <w:color w:val="auto"/>
          <w:sz w:val="24"/>
          <w:szCs w:val="24"/>
          <w:highlight w:val="none"/>
          <w:lang w:eastAsia="zh-CN"/>
        </w:rPr>
        <w:t>。</w:t>
      </w:r>
    </w:p>
    <w:p w14:paraId="30590CB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十八、</w:t>
      </w:r>
      <w:r>
        <w:rPr>
          <w:rFonts w:hint="eastAsia" w:ascii="方正仿宋_GB2312" w:hAnsi="方正仿宋_GB2312" w:eastAsia="方正仿宋_GB2312" w:cs="方正仿宋_GB2312"/>
          <w:color w:val="auto"/>
          <w:sz w:val="24"/>
          <w:szCs w:val="24"/>
          <w:highlight w:val="none"/>
        </w:rPr>
        <w:t>本合同一式四份，甲方执三份，乙方执一份，双方签字盖章后生效。</w:t>
      </w:r>
    </w:p>
    <w:p w14:paraId="27638CDE">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3E22ECC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w:t>
      </w:r>
    </w:p>
    <w:p w14:paraId="431C48BF">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合同附件一：专业分包清单、工程款支付一览表</w:t>
      </w:r>
    </w:p>
    <w:p w14:paraId="2079EE1B">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合同附件二：安全生产管理协议书；安全文明施工管理办法；安全生产承诺书</w:t>
      </w:r>
    </w:p>
    <w:p w14:paraId="440DB661">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合同附件三： 无欠薪承诺书</w:t>
      </w:r>
    </w:p>
    <w:p w14:paraId="60FBB9AA">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合同附件四：工程建设项目廉政责任书</w:t>
      </w:r>
    </w:p>
    <w:p w14:paraId="16AA18A5">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合同附件五：对乙方的要求及配合事项</w:t>
      </w:r>
    </w:p>
    <w:p w14:paraId="4AA43E76">
      <w:pPr>
        <w:pStyle w:val="8"/>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lang w:val="en-US" w:eastAsia="zh-CN" w:bidi="ar-SA"/>
        </w:rPr>
      </w:pPr>
      <w:r>
        <w:rPr>
          <w:rFonts w:hint="eastAsia" w:ascii="方正仿宋_GB2312" w:hAnsi="方正仿宋_GB2312" w:eastAsia="方正仿宋_GB2312" w:cs="方正仿宋_GB2312"/>
          <w:color w:val="auto"/>
          <w:sz w:val="24"/>
          <w:szCs w:val="24"/>
          <w:highlight w:val="none"/>
          <w:lang w:val="en-US" w:eastAsia="zh-CN" w:bidi="ar-SA"/>
        </w:rPr>
        <w:t>合同附件六：工程质量保修书</w:t>
      </w:r>
    </w:p>
    <w:p w14:paraId="19135AEE">
      <w:pPr>
        <w:pStyle w:val="36"/>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sectPr>
          <w:footerReference r:id="rId3" w:type="default"/>
          <w:pgSz w:w="11906" w:h="16838"/>
          <w:pgMar w:top="1135" w:right="1274" w:bottom="1135" w:left="1418" w:header="851" w:footer="992" w:gutter="0"/>
          <w:cols w:space="720" w:num="1"/>
          <w:docGrid w:type="lines" w:linePitch="312" w:charSpace="0"/>
        </w:sect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（以下无正文）</w:t>
      </w:r>
    </w:p>
    <w:p w14:paraId="6D6ABAAB">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4D16CA2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甲方名称（公章）：南宁轨道地产建筑工程有限责任公司</w:t>
      </w:r>
    </w:p>
    <w:p w14:paraId="65A8B9A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4459BA52">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w:t>
      </w:r>
    </w:p>
    <w:p w14:paraId="7806662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p>
    <w:p w14:paraId="227DAA6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单位地址：南宁市青秀区民族大道168号中房翡翠园紫青庭地下二层商铺</w:t>
      </w:r>
    </w:p>
    <w:p w14:paraId="0438CA2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开户银行：中国建设银行股份有限公司南宁金湖北路支行</w:t>
      </w:r>
    </w:p>
    <w:p w14:paraId="3B37842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银行账号：4500 1604 2640 5070 2251</w:t>
      </w:r>
    </w:p>
    <w:p w14:paraId="4C41E04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联系电话：0771-5863298</w:t>
      </w:r>
    </w:p>
    <w:p w14:paraId="4F271AC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签约地点：南宁市青秀区</w:t>
      </w:r>
    </w:p>
    <w:p w14:paraId="659983C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签约时间： 2025年   月   日</w:t>
      </w:r>
    </w:p>
    <w:p w14:paraId="192DD85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C2959A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BA7EA1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F0C316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3077ED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乙方名称（公章）：</w:t>
      </w:r>
    </w:p>
    <w:p w14:paraId="4D8F682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6F0C99E">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16D5C4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w:t>
      </w:r>
    </w:p>
    <w:p w14:paraId="0918707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p>
    <w:p w14:paraId="3D048239">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单位地址、电话：</w:t>
      </w:r>
    </w:p>
    <w:p w14:paraId="3590CD3A">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335B952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开户银行：</w:t>
      </w:r>
    </w:p>
    <w:p w14:paraId="2171374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48E9BED">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银行账号：</w:t>
      </w:r>
    </w:p>
    <w:p w14:paraId="1AB6EB7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法人联系电话：</w:t>
      </w:r>
    </w:p>
    <w:p w14:paraId="05C8205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2017EBA">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4419D43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0F41DE2">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C089E46">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sectPr>
          <w:type w:val="continuous"/>
          <w:pgSz w:w="11906" w:h="16838"/>
          <w:pgMar w:top="1440" w:right="1800" w:bottom="1440" w:left="1800" w:header="851" w:footer="992" w:gutter="0"/>
          <w:cols w:space="425" w:num="2"/>
          <w:docGrid w:type="lines" w:linePitch="312" w:charSpace="0"/>
        </w:sectPr>
      </w:pPr>
    </w:p>
    <w:p w14:paraId="7B236B3A">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p>
    <w:p w14:paraId="45332F54">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合同附件一：专业分包清单</w:t>
      </w:r>
    </w:p>
    <w:p w14:paraId="75AE8E76">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p>
    <w:tbl>
      <w:tblPr>
        <w:tblStyle w:val="18"/>
        <w:tblW w:w="4997" w:type="pct"/>
        <w:jc w:val="center"/>
        <w:tblLayout w:type="autofit"/>
        <w:tblCellMar>
          <w:top w:w="0" w:type="dxa"/>
          <w:left w:w="108" w:type="dxa"/>
          <w:bottom w:w="0" w:type="dxa"/>
          <w:right w:w="108" w:type="dxa"/>
        </w:tblCellMar>
      </w:tblPr>
      <w:tblGrid>
        <w:gridCol w:w="456"/>
        <w:gridCol w:w="2033"/>
        <w:gridCol w:w="1914"/>
        <w:gridCol w:w="1032"/>
        <w:gridCol w:w="573"/>
        <w:gridCol w:w="1086"/>
        <w:gridCol w:w="1423"/>
      </w:tblGrid>
      <w:tr w14:paraId="3BF67174">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49CB98D2">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序号</w:t>
            </w:r>
          </w:p>
        </w:tc>
        <w:tc>
          <w:tcPr>
            <w:tcW w:w="1194" w:type="pct"/>
            <w:tcBorders>
              <w:top w:val="single" w:color="auto" w:sz="4" w:space="0"/>
              <w:left w:val="single" w:color="auto" w:sz="4" w:space="0"/>
              <w:bottom w:val="single" w:color="auto" w:sz="4" w:space="0"/>
              <w:right w:val="single" w:color="auto" w:sz="4" w:space="0"/>
            </w:tcBorders>
            <w:noWrap w:val="0"/>
            <w:vAlign w:val="center"/>
          </w:tcPr>
          <w:p w14:paraId="6552FB36">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分包内容</w:t>
            </w:r>
          </w:p>
        </w:tc>
        <w:tc>
          <w:tcPr>
            <w:tcW w:w="1124" w:type="pct"/>
            <w:tcBorders>
              <w:top w:val="single" w:color="auto" w:sz="4" w:space="0"/>
              <w:left w:val="single" w:color="auto" w:sz="4" w:space="0"/>
              <w:bottom w:val="single" w:color="auto" w:sz="4" w:space="0"/>
              <w:right w:val="single" w:color="auto" w:sz="4" w:space="0"/>
            </w:tcBorders>
            <w:noWrap w:val="0"/>
            <w:vAlign w:val="center"/>
          </w:tcPr>
          <w:p w14:paraId="425B4DB0">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所含具体工作</w:t>
            </w:r>
          </w:p>
        </w:tc>
        <w:tc>
          <w:tcPr>
            <w:tcW w:w="606" w:type="pct"/>
            <w:tcBorders>
              <w:top w:val="single" w:color="auto" w:sz="4" w:space="0"/>
              <w:left w:val="single" w:color="auto" w:sz="4" w:space="0"/>
              <w:bottom w:val="single" w:color="auto" w:sz="4" w:space="0"/>
              <w:right w:val="single" w:color="auto" w:sz="4" w:space="0"/>
            </w:tcBorders>
            <w:noWrap w:val="0"/>
            <w:vAlign w:val="center"/>
          </w:tcPr>
          <w:p w14:paraId="5C07FEB1">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数量</w:t>
            </w:r>
          </w:p>
        </w:tc>
        <w:tc>
          <w:tcPr>
            <w:tcW w:w="336" w:type="pct"/>
            <w:tcBorders>
              <w:top w:val="single" w:color="auto" w:sz="4" w:space="0"/>
              <w:left w:val="single" w:color="auto" w:sz="4" w:space="0"/>
              <w:bottom w:val="single" w:color="auto" w:sz="4" w:space="0"/>
              <w:right w:val="single" w:color="auto" w:sz="4" w:space="0"/>
            </w:tcBorders>
            <w:noWrap w:val="0"/>
            <w:vAlign w:val="center"/>
          </w:tcPr>
          <w:p w14:paraId="1C8379AF">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w:t>
            </w:r>
          </w:p>
        </w:tc>
        <w:tc>
          <w:tcPr>
            <w:tcW w:w="638" w:type="pct"/>
            <w:tcBorders>
              <w:top w:val="single" w:color="auto" w:sz="4" w:space="0"/>
              <w:left w:val="single" w:color="auto" w:sz="4" w:space="0"/>
              <w:bottom w:val="single" w:color="auto" w:sz="4" w:space="0"/>
              <w:right w:val="single" w:color="auto" w:sz="4" w:space="0"/>
            </w:tcBorders>
            <w:noWrap w:val="0"/>
            <w:vAlign w:val="center"/>
          </w:tcPr>
          <w:p w14:paraId="31A834B1">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综合单价</w:t>
            </w:r>
          </w:p>
          <w:p w14:paraId="3544D210">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（元）</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16E58C09">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小计金额</w:t>
            </w:r>
          </w:p>
          <w:p w14:paraId="5979AC9D">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（元）</w:t>
            </w:r>
          </w:p>
        </w:tc>
      </w:tr>
      <w:tr w14:paraId="533B8FFC">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322224EE">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1194" w:type="pct"/>
            <w:tcBorders>
              <w:top w:val="single" w:color="auto" w:sz="4" w:space="0"/>
              <w:left w:val="single" w:color="auto" w:sz="4" w:space="0"/>
              <w:bottom w:val="single" w:color="auto" w:sz="4" w:space="0"/>
              <w:right w:val="single" w:color="auto" w:sz="4" w:space="0"/>
            </w:tcBorders>
            <w:noWrap w:val="0"/>
            <w:vAlign w:val="center"/>
          </w:tcPr>
          <w:p w14:paraId="7006FC0C">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1124" w:type="pct"/>
            <w:tcBorders>
              <w:top w:val="single" w:color="auto" w:sz="4" w:space="0"/>
              <w:left w:val="single" w:color="auto" w:sz="4" w:space="0"/>
              <w:bottom w:val="single" w:color="auto" w:sz="4" w:space="0"/>
              <w:right w:val="single" w:color="auto" w:sz="4" w:space="0"/>
            </w:tcBorders>
            <w:noWrap w:val="0"/>
            <w:vAlign w:val="center"/>
          </w:tcPr>
          <w:p w14:paraId="5BF5F7A4">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5D0EB101">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7F8E22B7">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15223C22">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22C00909">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r>
      <w:tr w14:paraId="4BC07011">
        <w:tblPrEx>
          <w:tblCellMar>
            <w:top w:w="0" w:type="dxa"/>
            <w:left w:w="108" w:type="dxa"/>
            <w:bottom w:w="0" w:type="dxa"/>
            <w:right w:w="108" w:type="dxa"/>
          </w:tblCellMar>
        </w:tblPrEx>
        <w:trPr>
          <w:trHeight w:val="930" w:hRule="atLeast"/>
          <w:jc w:val="center"/>
        </w:trPr>
        <w:tc>
          <w:tcPr>
            <w:tcW w:w="3525" w:type="pct"/>
            <w:gridSpan w:val="5"/>
            <w:tcBorders>
              <w:top w:val="single" w:color="auto" w:sz="4" w:space="0"/>
              <w:left w:val="single" w:color="auto" w:sz="4" w:space="0"/>
              <w:bottom w:val="single" w:color="auto" w:sz="4" w:space="0"/>
              <w:right w:val="single" w:color="auto" w:sz="4" w:space="0"/>
            </w:tcBorders>
            <w:noWrap w:val="0"/>
            <w:vAlign w:val="center"/>
          </w:tcPr>
          <w:p w14:paraId="02F3DD5F">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合计总金额（大写）：</w:t>
            </w:r>
            <w:r>
              <w:rPr>
                <w:rFonts w:hint="eastAsia" w:ascii="方正仿宋_GB2312" w:hAnsi="方正仿宋_GB2312" w:eastAsia="方正仿宋_GB2312" w:cs="方正仿宋_GB2312"/>
                <w:color w:val="auto"/>
                <w:sz w:val="24"/>
                <w:szCs w:val="24"/>
                <w:highlight w:val="none"/>
                <w:u w:val="single"/>
              </w:rPr>
              <w:t xml:space="preserve">        </w:t>
            </w:r>
          </w:p>
        </w:tc>
        <w:tc>
          <w:tcPr>
            <w:tcW w:w="1474" w:type="pct"/>
            <w:gridSpan w:val="2"/>
            <w:tcBorders>
              <w:top w:val="single" w:color="auto" w:sz="4" w:space="0"/>
              <w:left w:val="single" w:color="auto" w:sz="4" w:space="0"/>
              <w:bottom w:val="single" w:color="000000" w:sz="4" w:space="0"/>
              <w:right w:val="single" w:color="auto" w:sz="4" w:space="0"/>
            </w:tcBorders>
            <w:noWrap w:val="0"/>
            <w:vAlign w:val="center"/>
          </w:tcPr>
          <w:p w14:paraId="73DE1331">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元）</w:t>
            </w:r>
          </w:p>
        </w:tc>
      </w:tr>
    </w:tbl>
    <w:p w14:paraId="2D767209">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35325AC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7FEEE4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95F872A">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05E98F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04E8E975">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15225D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6217C19">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F4D77CB">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789DF17">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4518D12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647E99D8">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1210D409">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0CE8A76F">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3102E9B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317D33D3">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2BA35EE1">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70D8C13C">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工程款支付一览表</w:t>
      </w:r>
    </w:p>
    <w:p w14:paraId="1B3FB6C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tbl>
      <w:tblPr>
        <w:tblStyle w:val="18"/>
        <w:tblW w:w="8429" w:type="dxa"/>
        <w:tblInd w:w="93" w:type="dxa"/>
        <w:tblLayout w:type="fixed"/>
        <w:tblCellMar>
          <w:top w:w="0" w:type="dxa"/>
          <w:left w:w="108" w:type="dxa"/>
          <w:bottom w:w="0" w:type="dxa"/>
          <w:right w:w="108" w:type="dxa"/>
        </w:tblCellMar>
      </w:tblPr>
      <w:tblGrid>
        <w:gridCol w:w="3939"/>
        <w:gridCol w:w="2752"/>
        <w:gridCol w:w="1738"/>
      </w:tblGrid>
      <w:tr w14:paraId="1CAE7775">
        <w:tblPrEx>
          <w:tblCellMar>
            <w:top w:w="0" w:type="dxa"/>
            <w:left w:w="108" w:type="dxa"/>
            <w:bottom w:w="0" w:type="dxa"/>
            <w:right w:w="108" w:type="dxa"/>
          </w:tblCellMar>
        </w:tblPrEx>
        <w:trPr>
          <w:trHeight w:val="660" w:hRule="atLeast"/>
        </w:trPr>
        <w:tc>
          <w:tcPr>
            <w:tcW w:w="8429" w:type="dxa"/>
            <w:gridSpan w:val="3"/>
            <w:tcBorders>
              <w:top w:val="nil"/>
              <w:left w:val="nil"/>
              <w:bottom w:val="nil"/>
              <w:right w:val="nil"/>
            </w:tcBorders>
            <w:noWrap/>
            <w:vAlign w:val="center"/>
          </w:tcPr>
          <w:p w14:paraId="60399078">
            <w:pPr>
              <w:pageBreakBefore w:val="0"/>
              <w:widowControl/>
              <w:kinsoku/>
              <w:overflowPunct/>
              <w:topLinePunct w:val="0"/>
              <w:autoSpaceDE/>
              <w:autoSpaceDN/>
              <w:bidi w:val="0"/>
              <w:spacing w:beforeAutospacing="0" w:afterAutospacing="0" w:line="540" w:lineRule="exact"/>
              <w:ind w:left="0" w:leftChars="0"/>
              <w:jc w:val="center"/>
              <w:textAlignment w:val="center"/>
              <w:rPr>
                <w:rFonts w:hint="eastAsia" w:ascii="方正仿宋_GB2312" w:hAnsi="方正仿宋_GB2312" w:eastAsia="方正仿宋_GB2312" w:cs="方正仿宋_GB2312"/>
                <w:b/>
                <w:bCs/>
                <w:color w:val="auto"/>
                <w:sz w:val="24"/>
                <w:szCs w:val="24"/>
                <w:highlight w:val="none"/>
              </w:rPr>
            </w:pPr>
          </w:p>
        </w:tc>
      </w:tr>
      <w:tr w14:paraId="6B5AC3F2">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367E02E8">
            <w:pPr>
              <w:pageBreakBefore w:val="0"/>
              <w:widowControl/>
              <w:kinsoku/>
              <w:overflowPunct/>
              <w:topLinePunct w:val="0"/>
              <w:autoSpaceDE/>
              <w:autoSpaceDN/>
              <w:bidi w:val="0"/>
              <w:spacing w:beforeAutospacing="0" w:afterAutospacing="0" w:line="540" w:lineRule="exact"/>
              <w:ind w:left="0" w:leftChars="0"/>
              <w:jc w:val="center"/>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工程进度</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3630AC3F">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支付比例</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787E514C">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备注</w:t>
            </w:r>
          </w:p>
        </w:tc>
      </w:tr>
      <w:tr w14:paraId="7C9FFBCF">
        <w:tblPrEx>
          <w:tblCellMar>
            <w:top w:w="0" w:type="dxa"/>
            <w:left w:w="108" w:type="dxa"/>
            <w:bottom w:w="0" w:type="dxa"/>
            <w:right w:w="108" w:type="dxa"/>
          </w:tblCellMar>
        </w:tblPrEx>
        <w:trPr>
          <w:trHeight w:val="182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0FE0108D">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w:t>
            </w:r>
            <w:r>
              <w:rPr>
                <w:rFonts w:hint="eastAsia" w:ascii="方正仿宋_GB2312" w:hAnsi="方正仿宋_GB2312" w:eastAsia="方正仿宋_GB2312" w:cs="方正仿宋_GB2312"/>
                <w:color w:val="FF0000"/>
                <w:sz w:val="24"/>
                <w:szCs w:val="24"/>
                <w:highlight w:val="none"/>
                <w:lang w:val="en-US" w:eastAsia="zh-CN"/>
              </w:rPr>
              <w:t>2</w:t>
            </w:r>
            <w:r>
              <w:rPr>
                <w:rFonts w:hint="eastAsia" w:ascii="方正仿宋_GB2312" w:hAnsi="方正仿宋_GB2312" w:eastAsia="方正仿宋_GB2312" w:cs="方正仿宋_GB2312"/>
                <w:color w:val="FF0000"/>
                <w:sz w:val="24"/>
                <w:szCs w:val="24"/>
                <w:highlight w:val="none"/>
              </w:rPr>
              <w:t>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62910971">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466363A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6083A2C6">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713AB351">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w:t>
            </w:r>
            <w:r>
              <w:rPr>
                <w:rFonts w:hint="eastAsia" w:ascii="方正仿宋_GB2312" w:hAnsi="方正仿宋_GB2312" w:eastAsia="方正仿宋_GB2312" w:cs="方正仿宋_GB2312"/>
                <w:color w:val="FF0000"/>
                <w:sz w:val="24"/>
                <w:szCs w:val="24"/>
                <w:highlight w:val="none"/>
                <w:lang w:val="en-US" w:eastAsia="zh-CN"/>
              </w:rPr>
              <w:t>5</w:t>
            </w:r>
            <w:r>
              <w:rPr>
                <w:rFonts w:hint="eastAsia" w:ascii="方正仿宋_GB2312" w:hAnsi="方正仿宋_GB2312" w:eastAsia="方正仿宋_GB2312" w:cs="方正仿宋_GB2312"/>
                <w:color w:val="FF0000"/>
                <w:sz w:val="24"/>
                <w:szCs w:val="24"/>
                <w:highlight w:val="none"/>
              </w:rPr>
              <w:t>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4C93C2F4">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6C8184E9">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56CDBEB4">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6BB41752">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完成工程形象进度的80％并经甲方书面确认后，甲方在收到乙方的请款报告后20个工作日内，向乙方支付已完成工程量的70%；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0BE2FEDA">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6359B5C3">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4069550B">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36422A91">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lang w:eastAsia="zh-CN"/>
              </w:rPr>
            </w:pPr>
            <w:r>
              <w:rPr>
                <w:rFonts w:hint="eastAsia" w:ascii="方正仿宋_GB2312" w:hAnsi="方正仿宋_GB2312" w:eastAsia="方正仿宋_GB2312" w:cs="方正仿宋_GB2312"/>
                <w:color w:val="FF0000"/>
                <w:sz w:val="24"/>
                <w:szCs w:val="24"/>
                <w:highlight w:val="none"/>
              </w:rPr>
              <w:t>完成工程形象进度的100％并经甲方书面确认后，甲方在收到乙方的请款报告后20个工作日内，向乙方支付已完成工程量的70%</w:t>
            </w:r>
            <w:r>
              <w:rPr>
                <w:rFonts w:hint="eastAsia" w:ascii="方正仿宋_GB2312" w:hAnsi="方正仿宋_GB2312" w:eastAsia="方正仿宋_GB2312" w:cs="方正仿宋_GB2312"/>
                <w:color w:val="FF0000"/>
                <w:sz w:val="24"/>
                <w:szCs w:val="24"/>
                <w:highlight w:val="none"/>
                <w:lang w:eastAsia="zh-CN"/>
              </w:rPr>
              <w:t>。</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3DA4F561">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24F83346">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6488A36B">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15A4E67F">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lang w:val="en-US" w:eastAsia="zh-CN" w:bidi="ar"/>
              </w:rPr>
            </w:pPr>
            <w:r>
              <w:rPr>
                <w:rFonts w:hint="eastAsia" w:ascii="方正仿宋_GB2312" w:hAnsi="方正仿宋_GB2312" w:eastAsia="方正仿宋_GB2312" w:cs="方正仿宋_GB2312"/>
                <w:color w:val="auto"/>
                <w:sz w:val="24"/>
                <w:szCs w:val="24"/>
                <w:highlight w:val="none"/>
                <w:lang w:val="en-US" w:eastAsia="zh-CN" w:bidi="ar"/>
              </w:rPr>
              <w:t>完工款</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20A54FB5">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lang w:bidi="ar"/>
              </w:rPr>
            </w:pPr>
            <w:r>
              <w:rPr>
                <w:rFonts w:hint="eastAsia" w:ascii="方正仿宋_GB2312" w:hAnsi="方正仿宋_GB2312" w:eastAsia="方正仿宋_GB2312" w:cs="方正仿宋_GB2312"/>
                <w:color w:val="auto"/>
                <w:sz w:val="24"/>
                <w:szCs w:val="24"/>
                <w:highlight w:val="none"/>
                <w:lang w:bidi="ar"/>
              </w:rPr>
              <w:t>已完成工程量的</w:t>
            </w:r>
            <w:r>
              <w:rPr>
                <w:rFonts w:hint="eastAsia" w:ascii="方正仿宋_GB2312" w:hAnsi="方正仿宋_GB2312" w:eastAsia="方正仿宋_GB2312" w:cs="方正仿宋_GB2312"/>
                <w:color w:val="auto"/>
                <w:sz w:val="24"/>
                <w:szCs w:val="24"/>
                <w:highlight w:val="none"/>
                <w:lang w:val="en-US" w:eastAsia="zh-CN" w:bidi="ar"/>
              </w:rPr>
              <w:t>9</w:t>
            </w:r>
            <w:r>
              <w:rPr>
                <w:rFonts w:hint="eastAsia" w:ascii="方正仿宋_GB2312" w:hAnsi="方正仿宋_GB2312" w:eastAsia="方正仿宋_GB2312" w:cs="方正仿宋_GB2312"/>
                <w:color w:val="auto"/>
                <w:sz w:val="24"/>
                <w:szCs w:val="24"/>
                <w:highlight w:val="none"/>
                <w:lang w:bidi="ar"/>
              </w:rPr>
              <w:t>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76EDB7A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4577BAD7">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3842843A">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结算款</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533032AC">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结算金额97%</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5E2AAA33">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03849EA7">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5AF927C0">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质保金</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30065538">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结算额3%</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3FEC352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13EAC437">
        <w:tblPrEx>
          <w:tblCellMar>
            <w:top w:w="0" w:type="dxa"/>
            <w:left w:w="108" w:type="dxa"/>
            <w:bottom w:w="0" w:type="dxa"/>
            <w:right w:w="108" w:type="dxa"/>
          </w:tblCellMar>
        </w:tblPrEx>
        <w:trPr>
          <w:trHeight w:val="270" w:hRule="atLeast"/>
        </w:trPr>
        <w:tc>
          <w:tcPr>
            <w:tcW w:w="3939" w:type="dxa"/>
            <w:tcBorders>
              <w:top w:val="nil"/>
              <w:left w:val="nil"/>
              <w:bottom w:val="nil"/>
              <w:right w:val="nil"/>
            </w:tcBorders>
            <w:noWrap/>
            <w:vAlign w:val="center"/>
          </w:tcPr>
          <w:p w14:paraId="63C69AA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c>
          <w:tcPr>
            <w:tcW w:w="2752" w:type="dxa"/>
            <w:tcBorders>
              <w:top w:val="nil"/>
              <w:left w:val="nil"/>
              <w:bottom w:val="nil"/>
              <w:right w:val="nil"/>
            </w:tcBorders>
            <w:noWrap/>
            <w:vAlign w:val="center"/>
          </w:tcPr>
          <w:p w14:paraId="1520FFB3">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c>
          <w:tcPr>
            <w:tcW w:w="1738" w:type="dxa"/>
            <w:tcBorders>
              <w:top w:val="nil"/>
              <w:left w:val="nil"/>
              <w:bottom w:val="nil"/>
              <w:right w:val="nil"/>
            </w:tcBorders>
            <w:noWrap/>
            <w:vAlign w:val="center"/>
          </w:tcPr>
          <w:p w14:paraId="013B36D7">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17926740">
        <w:tblPrEx>
          <w:tblCellMar>
            <w:top w:w="0" w:type="dxa"/>
            <w:left w:w="108" w:type="dxa"/>
            <w:bottom w:w="0" w:type="dxa"/>
            <w:right w:w="108" w:type="dxa"/>
          </w:tblCellMar>
        </w:tblPrEx>
        <w:trPr>
          <w:trHeight w:val="270" w:hRule="atLeast"/>
        </w:trPr>
        <w:tc>
          <w:tcPr>
            <w:tcW w:w="3939" w:type="dxa"/>
            <w:tcBorders>
              <w:top w:val="nil"/>
              <w:left w:val="nil"/>
              <w:bottom w:val="nil"/>
              <w:right w:val="nil"/>
            </w:tcBorders>
            <w:noWrap/>
            <w:vAlign w:val="center"/>
          </w:tcPr>
          <w:p w14:paraId="585953F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c>
          <w:tcPr>
            <w:tcW w:w="2752" w:type="dxa"/>
            <w:tcBorders>
              <w:top w:val="nil"/>
              <w:left w:val="nil"/>
              <w:bottom w:val="nil"/>
              <w:right w:val="nil"/>
            </w:tcBorders>
            <w:noWrap/>
            <w:vAlign w:val="center"/>
          </w:tcPr>
          <w:p w14:paraId="43C21C5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c>
          <w:tcPr>
            <w:tcW w:w="1738" w:type="dxa"/>
            <w:tcBorders>
              <w:top w:val="nil"/>
              <w:left w:val="nil"/>
              <w:bottom w:val="nil"/>
              <w:right w:val="nil"/>
            </w:tcBorders>
            <w:noWrap/>
            <w:vAlign w:val="center"/>
          </w:tcPr>
          <w:p w14:paraId="4F4928E5">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bl>
    <w:p w14:paraId="0DD2C42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合同附件二：</w:t>
      </w:r>
    </w:p>
    <w:p w14:paraId="59CEE9B2">
      <w:pPr>
        <w:pStyle w:val="37"/>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color w:val="auto"/>
          <w:sz w:val="24"/>
          <w:szCs w:val="24"/>
          <w:highlight w:val="none"/>
        </w:rPr>
      </w:pPr>
      <w:bookmarkStart w:id="802" w:name="_Toc453512233"/>
      <w:r>
        <w:rPr>
          <w:rFonts w:hint="eastAsia" w:ascii="方正仿宋_GB2312" w:hAnsi="方正仿宋_GB2312" w:eastAsia="方正仿宋_GB2312" w:cs="方正仿宋_GB2312"/>
          <w:b/>
          <w:color w:val="auto"/>
          <w:sz w:val="24"/>
          <w:szCs w:val="24"/>
          <w:highlight w:val="none"/>
        </w:rPr>
        <w:t>安全生产</w:t>
      </w:r>
      <w:bookmarkEnd w:id="802"/>
      <w:r>
        <w:rPr>
          <w:rFonts w:hint="eastAsia" w:ascii="方正仿宋_GB2312" w:hAnsi="方正仿宋_GB2312" w:eastAsia="方正仿宋_GB2312" w:cs="方正仿宋_GB2312"/>
          <w:b/>
          <w:color w:val="auto"/>
          <w:sz w:val="24"/>
          <w:szCs w:val="24"/>
          <w:highlight w:val="none"/>
        </w:rPr>
        <w:t>管理协议书</w:t>
      </w:r>
    </w:p>
    <w:p w14:paraId="0FEBC9DC">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3DBB56E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甲方（全称）：</w:t>
      </w:r>
      <w:r>
        <w:rPr>
          <w:rFonts w:hint="eastAsia" w:ascii="方正仿宋_GB2312" w:hAnsi="方正仿宋_GB2312" w:eastAsia="方正仿宋_GB2312" w:cs="方正仿宋_GB2312"/>
          <w:color w:val="auto"/>
          <w:sz w:val="24"/>
          <w:szCs w:val="24"/>
          <w:highlight w:val="none"/>
          <w:u w:val="single"/>
        </w:rPr>
        <w:t>南宁轨道地产建筑工程有限责任公司</w:t>
      </w:r>
    </w:p>
    <w:p w14:paraId="5F58A26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color w:val="auto"/>
          <w:sz w:val="24"/>
          <w:szCs w:val="24"/>
          <w:highlight w:val="none"/>
        </w:rPr>
        <w:t>乙方（全称）：</w:t>
      </w:r>
      <w:r>
        <w:rPr>
          <w:rFonts w:hint="eastAsia" w:ascii="方正仿宋_GB2312" w:hAnsi="方正仿宋_GB2312" w:eastAsia="方正仿宋_GB2312" w:cs="方正仿宋_GB2312"/>
          <w:color w:val="auto"/>
          <w:sz w:val="24"/>
          <w:szCs w:val="24"/>
          <w:highlight w:val="none"/>
          <w:u w:val="single"/>
        </w:rPr>
        <w:t xml:space="preserve">        </w:t>
      </w:r>
    </w:p>
    <w:p w14:paraId="6457B60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0A955A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鉴于：</w:t>
      </w:r>
    </w:p>
    <w:p w14:paraId="75BD6AD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1.乙方因</w:t>
      </w:r>
      <w:r>
        <w:rPr>
          <w:rFonts w:hint="eastAsia" w:ascii="方正仿宋_GB2312" w:hAnsi="方正仿宋_GB2312" w:eastAsia="方正仿宋_GB2312" w:cs="方正仿宋_GB2312"/>
          <w:color w:val="auto"/>
          <w:sz w:val="24"/>
          <w:szCs w:val="24"/>
          <w:highlight w:val="none"/>
          <w:u w:val="single"/>
        </w:rPr>
        <w:t xml:space="preserve">          工程</w:t>
      </w:r>
      <w:r>
        <w:rPr>
          <w:rFonts w:hint="eastAsia" w:ascii="方正仿宋_GB2312" w:hAnsi="方正仿宋_GB2312" w:eastAsia="方正仿宋_GB2312" w:cs="方正仿宋_GB2312"/>
          <w:color w:val="auto"/>
          <w:sz w:val="24"/>
          <w:szCs w:val="24"/>
          <w:highlight w:val="none"/>
        </w:rPr>
        <w:t>（以下简称“本工程”）的施工事宜，于</w:t>
      </w:r>
      <w:r>
        <w:rPr>
          <w:rFonts w:hint="eastAsia" w:ascii="方正仿宋_GB2312" w:hAnsi="方正仿宋_GB2312" w:eastAsia="方正仿宋_GB2312" w:cs="方正仿宋_GB2312"/>
          <w:color w:val="auto"/>
          <w:sz w:val="24"/>
          <w:szCs w:val="24"/>
          <w:highlight w:val="none"/>
          <w:u w:val="single"/>
        </w:rPr>
        <w:t>2025</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日与甲方签订了《</w:t>
      </w:r>
      <w:r>
        <w:rPr>
          <w:rFonts w:hint="eastAsia" w:ascii="方正仿宋_GB2312" w:hAnsi="方正仿宋_GB2312" w:eastAsia="方正仿宋_GB2312" w:cs="方正仿宋_GB2312"/>
          <w:color w:val="auto"/>
          <w:sz w:val="24"/>
          <w:szCs w:val="24"/>
          <w:highlight w:val="none"/>
          <w:u w:val="single"/>
        </w:rPr>
        <w:t xml:space="preserve">          专业分包合同</w:t>
      </w:r>
      <w:r>
        <w:rPr>
          <w:rFonts w:hint="eastAsia" w:ascii="方正仿宋_GB2312" w:hAnsi="方正仿宋_GB2312" w:eastAsia="方正仿宋_GB2312" w:cs="方正仿宋_GB2312"/>
          <w:color w:val="auto"/>
          <w:sz w:val="24"/>
          <w:szCs w:val="24"/>
          <w:highlight w:val="none"/>
        </w:rPr>
        <w:t>》（以下简称《</w:t>
      </w:r>
      <w:r>
        <w:rPr>
          <w:rFonts w:hint="eastAsia" w:ascii="方正仿宋_GB2312" w:hAnsi="方正仿宋_GB2312" w:eastAsia="方正仿宋_GB2312" w:cs="方正仿宋_GB2312"/>
          <w:color w:val="auto"/>
          <w:sz w:val="24"/>
          <w:szCs w:val="24"/>
          <w:highlight w:val="none"/>
          <w:lang w:val="en-US" w:eastAsia="zh-CN"/>
        </w:rPr>
        <w:t>专业分包合同</w:t>
      </w:r>
      <w:r>
        <w:rPr>
          <w:rFonts w:hint="eastAsia" w:ascii="方正仿宋_GB2312" w:hAnsi="方正仿宋_GB2312" w:eastAsia="方正仿宋_GB2312" w:cs="方正仿宋_GB2312"/>
          <w:color w:val="auto"/>
          <w:sz w:val="24"/>
          <w:szCs w:val="24"/>
          <w:highlight w:val="none"/>
        </w:rPr>
        <w:t>》）。</w:t>
      </w:r>
    </w:p>
    <w:p w14:paraId="7EAB91B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2.为施工需要，乙方须进入甲方位于</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的施工场地进行施工。</w:t>
      </w:r>
    </w:p>
    <w:p w14:paraId="59A2B6E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191B8F7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为确保工程的施工安全，避免安全事故的发生，依照</w:t>
      </w:r>
      <w:r>
        <w:rPr>
          <w:rFonts w:hint="eastAsia" w:ascii="方正仿宋_GB2312" w:hAnsi="方正仿宋_GB2312" w:eastAsia="方正仿宋_GB2312" w:cs="方正仿宋_GB2312"/>
          <w:color w:val="auto"/>
          <w:kern w:val="0"/>
          <w:sz w:val="24"/>
          <w:szCs w:val="24"/>
          <w:highlight w:val="none"/>
          <w:lang w:val="en-US" w:eastAsia="zh-CN" w:bidi="ar-SA"/>
        </w:rPr>
        <w:t>《中华人民共和国安全生产法》和《建设工程安全生产管理条例》等法律法规，以</w:t>
      </w:r>
      <w:r>
        <w:rPr>
          <w:rFonts w:hint="eastAsia" w:ascii="方正仿宋_GB2312" w:hAnsi="方正仿宋_GB2312" w:eastAsia="方正仿宋_GB2312" w:cs="方正仿宋_GB2312"/>
          <w:color w:val="auto"/>
          <w:sz w:val="24"/>
          <w:szCs w:val="24"/>
          <w:highlight w:val="none"/>
        </w:rPr>
        <w:t>及广西壮族自治区、南宁市有关地方性法规、规章、制度，甲、乙方双方经协商，特签订本协议，以供各方遵照执行：</w:t>
      </w:r>
    </w:p>
    <w:p w14:paraId="1B67E28D">
      <w:pPr>
        <w:pStyle w:val="37"/>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第一条 甲乙双方必须严格按照安全生产、施工管理的法律法规规定，保证本工程安全生产，依法承担建设工程安全生产责任。</w:t>
      </w:r>
    </w:p>
    <w:p w14:paraId="4B065C99">
      <w:pPr>
        <w:pStyle w:val="37"/>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第二条 甲方的权利、义务</w:t>
      </w:r>
    </w:p>
    <w:p w14:paraId="6B8003B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 审核乙方的资质及合同履行能力，审核项目负责人、技术负责人、专职安全管理人员的资质及相关证书。</w:t>
      </w:r>
    </w:p>
    <w:p w14:paraId="1BA05589">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2.2 向乙方移交本工程施工场地，并明确乙方进入施工场地的安全责任。</w:t>
      </w:r>
    </w:p>
    <w:p w14:paraId="3DA48764">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2.3 在工程施工前向乙方提供本工程施工现场及毗邻区域内地上、地下管线资料；气象和水文地质资料；相邻建（构）筑物资料。</w:t>
      </w:r>
    </w:p>
    <w:p w14:paraId="6C6BA4C9">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2.4 不得对乙方提出违反建设工程安全生产法律法规和强制性标准规定的要求。</w:t>
      </w:r>
    </w:p>
    <w:p w14:paraId="1DDDCBF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2.5 不得明示或者暗示乙方购买、租赁、使用不符合安全施工要求的安全防护用具、机械设备、施工机具及配件、消防设施和器材。</w:t>
      </w:r>
    </w:p>
    <w:p w14:paraId="62D818B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 有权对乙方安全生产进行监督检查，对存在的问题和隐患有权制止并责成其改正，同时有权对乙方进行如下处理：</w:t>
      </w:r>
    </w:p>
    <w:p w14:paraId="52C5CB7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2.6.1发生安全事故或工程结构质量事故，乙方必须立即向监理方和甲方报告；隐瞒不报的，甲方有权视情节轻重收取乙方违约金，并承担由此给甲方带来的经济损失。</w:t>
      </w:r>
    </w:p>
    <w:p w14:paraId="11D767D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2.6.2乙方违反操作规程造成重大安全事故的，甲方有权视情节轻重收取乙方违约金， 并承担由此给甲方带来的经济损失，并移交国家政府相关部门进行处罚。</w:t>
      </w:r>
    </w:p>
    <w:p w14:paraId="1928DCD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2.6.3 若甲方对施工过程中存在的安全隐患提出整改意见，但乙方不按要求整改的，甲方有权按5000～10000元∕次的标准收取乙方违约金；若乙方拒不整改的，甲方有权解除《</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》约定追究甲方行使合同解除权时乙方应承担的违约责任，并向有关部门报告。</w:t>
      </w:r>
    </w:p>
    <w:p w14:paraId="4C0E1E8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2.7乙方现场负责人、管理人员、劳务队组等乙方人员不服从甲方管理、管理失职、不利于工程开展工作等行为，甲方有权要求乙方7天内完成更换人员，更换的人员符合甲方的要求。</w:t>
      </w:r>
    </w:p>
    <w:p w14:paraId="7C1CD8E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2.8突发安全或质量事故，甲方有权要求乙方进行应急处置、物资调配、协助等工作。</w:t>
      </w:r>
    </w:p>
    <w:p w14:paraId="4A6F7E5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2.9乙方现场材料不按安全、文明要求堆放的，经甲方要求合理调整，乙方不调整的，甲方有权进行处置，所有后果由乙方承担。</w:t>
      </w:r>
    </w:p>
    <w:p w14:paraId="3632D87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2.10乙方现场存在安全隐患未按甲方、监理要求及时整改的，甲方有权安排人员进行处理，发生所有费用由乙方承担，甲方并有权按1000～5000元∕次的标准收取乙方违约金。</w:t>
      </w:r>
    </w:p>
    <w:p w14:paraId="76F8292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2.11 乙方组织或恶意煽动工人罢工或闹事的，甲方有权解除</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或罚款5000~10000元/次。</w:t>
      </w:r>
    </w:p>
    <w:p w14:paraId="14E4BA00">
      <w:pPr>
        <w:pStyle w:val="37"/>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第三条 乙方的权利、义务</w:t>
      </w:r>
    </w:p>
    <w:p w14:paraId="185A96B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3.1.乙方必须严格执行《南宁轨道地产建筑工程有限责任公司安全文明标准化管理细则》相关要求，作为现场安全文明施工标准。</w:t>
      </w:r>
    </w:p>
    <w:p w14:paraId="224529E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 乙方为本工程施工范畴内的现场安全生产的负责单位，全面负责本工程施工现场的安全生产工作，确保不因工程施工而危及周边建（构）筑物、各种管线、道路交通等公众环境安全及人身财产安全。</w:t>
      </w:r>
    </w:p>
    <w:p w14:paraId="038675D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 依据有关规定、《</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及本协议约定履行施工现场负责单位的权利、义务，与其他和工程有关的施工单位签订安全生产协议书，明确各自在安全生产管理方面的权利、义务，统一管理施工现场临时用电、防护设施、明火作业、疫情防控等，并承担相应的责任。</w:t>
      </w:r>
    </w:p>
    <w:p w14:paraId="0414C73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3.4 《</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并</w:t>
      </w:r>
      <w:r>
        <w:rPr>
          <w:rFonts w:hint="eastAsia" w:ascii="方正仿宋_GB2312" w:hAnsi="方正仿宋_GB2312" w:eastAsia="方正仿宋_GB2312" w:cs="方正仿宋_GB2312"/>
          <w:color w:val="auto"/>
          <w:kern w:val="0"/>
          <w:sz w:val="24"/>
          <w:szCs w:val="24"/>
          <w:highlight w:val="none"/>
          <w:lang w:val="en-US" w:eastAsia="zh-CN" w:bidi="ar-SA"/>
        </w:rPr>
        <w:t>每月</w:t>
      </w:r>
      <w:r>
        <w:rPr>
          <w:rFonts w:hint="eastAsia" w:ascii="方正仿宋_GB2312" w:hAnsi="方正仿宋_GB2312" w:eastAsia="方正仿宋_GB2312" w:cs="方正仿宋_GB2312"/>
          <w:color w:val="auto"/>
          <w:sz w:val="24"/>
          <w:szCs w:val="24"/>
          <w:highlight w:val="none"/>
        </w:rPr>
        <w:t>向甲方报备，同时提交具有代表性的相关票据复印件备查。</w:t>
      </w:r>
    </w:p>
    <w:p w14:paraId="21CD266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3.5 结合所承担工程项目的实际情况，制定应对包括自然灾害在内的各种突发事</w:t>
      </w:r>
      <w:r>
        <w:rPr>
          <w:rFonts w:hint="eastAsia" w:ascii="方正仿宋_GB2312" w:hAnsi="方正仿宋_GB2312" w:eastAsia="方正仿宋_GB2312" w:cs="方正仿宋_GB2312"/>
          <w:color w:val="auto"/>
          <w:sz w:val="24"/>
          <w:szCs w:val="24"/>
          <w:highlight w:val="none"/>
          <w:lang w:eastAsia="zh-CN"/>
        </w:rPr>
        <w:t>件的</w:t>
      </w:r>
      <w:r>
        <w:rPr>
          <w:rFonts w:hint="eastAsia" w:ascii="方正仿宋_GB2312" w:hAnsi="方正仿宋_GB2312" w:eastAsia="方正仿宋_GB2312" w:cs="方正仿宋_GB2312"/>
          <w:color w:val="auto"/>
          <w:sz w:val="24"/>
          <w:szCs w:val="24"/>
          <w:highlight w:val="none"/>
        </w:rPr>
        <w:t>应急救援预案，建立应急救援组织，配备应急救援人员和必要的应急救援器材、设备，并定期组织演练。发生突发事件时应立即进行紧急处置以避免事态扩大，并应按有关法律法规和强制性标准的要求立即上报甲方，统一由甲方逐级上报，并按甲方指挥执行。</w:t>
      </w:r>
    </w:p>
    <w:p w14:paraId="63E5FE0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3.6 按照《</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》的约定对施工人员进行管理并购买保险，若在施工过程中出现人身、财产损害之情形的，概由乙方负责赔偿。</w:t>
      </w:r>
    </w:p>
    <w:p w14:paraId="1126C10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3.7 建立健全并落实本工程的安全生产责任制度、各项安全生产规章制度和操作规程，设立安全生产管理机构，确定主管安全的负责人，配备专业齐全且不少于1名的专职安全生产管理人员。</w:t>
      </w:r>
    </w:p>
    <w:p w14:paraId="6328634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3.8 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》的约定承担相应法律责任。</w:t>
      </w:r>
    </w:p>
    <w:p w14:paraId="31BA82D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3.9配合甲方完善各种资料的收集、归档，并要求施工前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7ACA6B98">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3.10 进行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6ED175C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3.11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14462B1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3.12 对甲方提供的地质勘查、市政管线、相邻建（构）筑物等相关资料的准确性进行核查，如果发现资料与实际不符，应当立即向甲方和监理方报告，并要求补充相关资料。施工作业前必须对地下管线进行物探。</w:t>
      </w:r>
    </w:p>
    <w:p w14:paraId="25B5976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3.13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67E139B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3.14乙方施工前，须认真审阅经甲方书面确认并提供的施工图纸。如发现设计图纸与规范要求不符或设计图纸标注不明时，应立即与甲方联系，配合甲方与设计单位明确做法，并及时形成文字记录。对有关安全施工的技术要求向施工作业班组、作业人员做出详细说明，由双方签字确认。</w:t>
      </w:r>
    </w:p>
    <w:p w14:paraId="4B2C455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3.15 做好工程及周边环境的监控量测工作，施工前应制订监控量测方案，监控量测方案及其布点应符合设计和相关标准要求。监控量测数据应准确可靠，并及时绘制曲线图表。出现异常情况时，应立即报告甲方并采取有效措施予以处理。</w:t>
      </w:r>
    </w:p>
    <w:p w14:paraId="3D2A7CD9">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3.16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5D6FC58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3.17 根据不同施工阶段和周围环境及季节、气候的变化，采取相应的安全施工措施；根据有关规定，落实各项文明施工和环境保护措施；施工现场暂时停止施工的，应当做好现场防护及承担由此产生的费用。</w:t>
      </w:r>
    </w:p>
    <w:p w14:paraId="312CE6B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3.18 施工现场使用的安全防护用具、车辆、机械设备和施工机具及配件应符合国家标准或行业标准；起重机械、大中型机械设备必须符合国家标准，应当具有生产制造单位的生产（制造）许可证、产品合格证，以及相应资质的检测机构出具的在有效检测期内的检测合格证明，机龄为3年以内，并经甲方、监理方进场查验合格后方可使用；使用中应设有专人管理，定期进行检查、维修和保养；不得使用存在安全隐患或国家规定应该报废和淘汰的车辆、设备、机具、设施。</w:t>
      </w:r>
    </w:p>
    <w:p w14:paraId="626EF0B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3.19 按有关规定在施工现场安装、拆卸施工起重机械和设施等，必须委托具有相应资质的单位进行操作，且应当事先编制拆装方案、制定安全施工措施，经甲方、监理审批通过后方可实施。并由专业技术人员现场监督。</w:t>
      </w:r>
    </w:p>
    <w:p w14:paraId="138E74D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3.20 认真执行国家、建筑行业和广西壮族自治区、南宁市关于安全生产的规范、标准和有关规定，做好施工现场实体防护，并在施工现场的各个危险部位设置符合国家标准的明显的安全警示标志。</w:t>
      </w:r>
    </w:p>
    <w:p w14:paraId="263A4B8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3.21 施工人员进场必须佩戴合格的劳动安全防护用品、</w:t>
      </w:r>
      <w:r>
        <w:rPr>
          <w:rFonts w:hint="eastAsia" w:ascii="方正仿宋_GB2312" w:hAnsi="方正仿宋_GB2312" w:eastAsia="方正仿宋_GB2312" w:cs="方正仿宋_GB2312"/>
          <w:color w:val="auto"/>
          <w:kern w:val="0"/>
          <w:sz w:val="24"/>
          <w:szCs w:val="24"/>
          <w:highlight w:val="none"/>
          <w:lang w:val="en-US" w:eastAsia="zh-CN" w:bidi="ar-SA"/>
        </w:rPr>
        <w:t>反光背心</w:t>
      </w:r>
      <w:r>
        <w:rPr>
          <w:rFonts w:hint="eastAsia" w:ascii="方正仿宋_GB2312" w:hAnsi="方正仿宋_GB2312" w:eastAsia="方正仿宋_GB2312" w:cs="方正仿宋_GB2312"/>
          <w:color w:val="auto"/>
          <w:sz w:val="24"/>
          <w:szCs w:val="24"/>
          <w:highlight w:val="none"/>
        </w:rPr>
        <w:t>，且应该规定正确使用，防止发生物体打击，高空物体坠落事故。</w:t>
      </w:r>
    </w:p>
    <w:p w14:paraId="47CF955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3.22 对施工中的特种作业，作业人员必须取得相应的从业资格且携带特种作业操作证上岗操作并建立台账。</w:t>
      </w:r>
    </w:p>
    <w:p w14:paraId="4436734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3.23 严格按照《建设工程施工现场消防安全技术规范》的要求，制定各项消防安全管理制度和操作规程并予以落实。施工现场成立消防领导小组，确定消防安全责任人，做到“谁主管、谁负责”。乙方为第一责任人全面负责施工现场的消防工作。</w:t>
      </w:r>
    </w:p>
    <w:p w14:paraId="4F225C8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3.24 按有关法律法规和强制性标准要求设置消防通道、消防水源、配备消防设施和灭火器材，并在施工现场入口处设置明显标志。</w:t>
      </w:r>
    </w:p>
    <w:p w14:paraId="60C8EE9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3.25 施工现场禁止流动吸烟、禁止随地吐痰、乱丢烟头及其他杂物，保持工作现场的整洁。</w:t>
      </w:r>
    </w:p>
    <w:p w14:paraId="60E2010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3.26 电焊工、气焊工、高空作业人员必须持证上岗，作业时要按规定开具用火证，配备看火人员和灭火器具，作业后必须确认无火源隐患后方可离去。</w:t>
      </w:r>
    </w:p>
    <w:p w14:paraId="5A4965E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3.27 氧气瓶、乙炔瓶工作间距不小于5米，两瓶与明火作业距离不小于10米。禁止氧气瓶、乙炔瓶存放，禁止使用液化气石油气“钢瓶”。</w:t>
      </w:r>
    </w:p>
    <w:p w14:paraId="5437B608">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3.28 施工现场使用的电气设备、用电设施等必须符合防火要求。所有配电箱均采用合格产品，不能使用旧配电箱，临时用电必须符合安全使用要求，安装过载保护装置，电闸箱内不准使用易燃、可燃材料。严禁超负荷使用电气设备。现场配备专业持证上岗电工。</w:t>
      </w:r>
    </w:p>
    <w:p w14:paraId="7362D29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3.29 施工材料的存放、使用要符合安全、文明、防火要求。不使用的周转性材料每周清运出场。库房要采用非燃材料支搭，易燃易爆物品必须专库储存，分类单独存放，保持通风，用电符合防火规定。不准在现场、库房内调配油漆、烯料。</w:t>
      </w:r>
    </w:p>
    <w:p w14:paraId="466DAB74">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3.30 宿舍及集装箱不准作为仓库使用，不准存放易燃、可燃材料，因施工需要进入工程内的可燃材料，要根据工程计划限量进入并采取可靠的防火措施及明显的防火标志并有专人负责。废弃材料应及时清除。</w:t>
      </w:r>
    </w:p>
    <w:p w14:paraId="577E3F7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3.31 施工现场及生活区严禁明火取暖，宿舍内不得使用电暖器、电热毯、热得快等大功率电器。</w:t>
      </w:r>
    </w:p>
    <w:p w14:paraId="3C3FC278">
      <w:pPr>
        <w:pStyle w:val="37"/>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第四条 违约责任</w:t>
      </w:r>
    </w:p>
    <w:p w14:paraId="0909C92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4.1 若在《</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7DB711E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4.2 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节轻重收取乙方违约金，乙方还应赔偿甲方所受损失，赔偿范围包括但不限于诉讼费、甲方聘请律师的费用、差旅费、鉴定费、公证费、甲方向第三方赔偿的款项、行政罚款以及解决纠纷所产生的其他费用。同时未付款项甲方不再支付，且剩余的履约保证金、工程质量保证金甲方有权不予退还。</w:t>
      </w:r>
    </w:p>
    <w:p w14:paraId="1A61D5B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4.3 除本协议具体条款另有约定外，若乙方违反本协议约定的义务之一的，甲方有权</w:t>
      </w:r>
      <w:r>
        <w:rPr>
          <w:rFonts w:hint="eastAsia" w:ascii="方正仿宋_GB2312" w:hAnsi="方正仿宋_GB2312" w:eastAsia="方正仿宋_GB2312" w:cs="方正仿宋_GB2312"/>
          <w:color w:val="auto"/>
          <w:sz w:val="24"/>
          <w:szCs w:val="24"/>
          <w:highlight w:val="none"/>
          <w:lang w:eastAsia="zh-CN"/>
        </w:rPr>
        <w:t>按照</w:t>
      </w:r>
      <w:r>
        <w:rPr>
          <w:rFonts w:hint="eastAsia" w:ascii="方正仿宋_GB2312" w:hAnsi="方正仿宋_GB2312" w:eastAsia="方正仿宋_GB2312" w:cs="方正仿宋_GB2312"/>
          <w:color w:val="auto"/>
          <w:sz w:val="24"/>
          <w:szCs w:val="24"/>
          <w:highlight w:val="none"/>
        </w:rPr>
        <w:t>《安全文明施工管理办法》（详见“安全协议附件”）对乙方进行处理，并扣除相应的违约金。</w:t>
      </w:r>
    </w:p>
    <w:p w14:paraId="3E92CA58">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4.4 在施工期间，乙方执行本协议的同时，还必须遵守并执行甲方的《安全文明施工管理办法》；如本协议与甲方《安全文明施工管理办法》存在冲突的，</w:t>
      </w:r>
      <w:r>
        <w:rPr>
          <w:rFonts w:hint="eastAsia" w:ascii="方正仿宋_GB2312" w:hAnsi="方正仿宋_GB2312" w:eastAsia="方正仿宋_GB2312" w:cs="方正仿宋_GB2312"/>
          <w:color w:val="auto"/>
          <w:sz w:val="24"/>
          <w:szCs w:val="24"/>
          <w:highlight w:val="none"/>
          <w:lang w:eastAsia="zh-CN"/>
        </w:rPr>
        <w:t>按照</w:t>
      </w:r>
      <w:r>
        <w:rPr>
          <w:rFonts w:hint="eastAsia" w:ascii="方正仿宋_GB2312" w:hAnsi="方正仿宋_GB2312" w:eastAsia="方正仿宋_GB2312" w:cs="方正仿宋_GB2312"/>
          <w:color w:val="auto"/>
          <w:sz w:val="24"/>
          <w:szCs w:val="24"/>
          <w:highlight w:val="none"/>
        </w:rPr>
        <w:t>《安全文明施工管理办法》的规定执行，但乙方应付的违约金以本协议及《安全文明施工管理办法》中的较高标准为准。</w:t>
      </w:r>
    </w:p>
    <w:p w14:paraId="0A9CDAAD">
      <w:pPr>
        <w:pStyle w:val="37"/>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第五条 本协议若与国家和广西壮族自治区、南宁市的有关法律法规规定不符时，</w:t>
      </w:r>
      <w:r>
        <w:rPr>
          <w:rFonts w:hint="eastAsia" w:ascii="方正仿宋_GB2312" w:hAnsi="方正仿宋_GB2312" w:eastAsia="方正仿宋_GB2312" w:cs="方正仿宋_GB2312"/>
          <w:b/>
          <w:color w:val="auto"/>
          <w:sz w:val="24"/>
          <w:szCs w:val="24"/>
          <w:highlight w:val="none"/>
          <w:lang w:eastAsia="zh-CN"/>
        </w:rPr>
        <w:t>按照</w:t>
      </w:r>
      <w:r>
        <w:rPr>
          <w:rFonts w:hint="eastAsia" w:ascii="方正仿宋_GB2312" w:hAnsi="方正仿宋_GB2312" w:eastAsia="方正仿宋_GB2312" w:cs="方正仿宋_GB2312"/>
          <w:b/>
          <w:color w:val="auto"/>
          <w:sz w:val="24"/>
          <w:szCs w:val="24"/>
          <w:highlight w:val="none"/>
        </w:rPr>
        <w:t>国家和广西壮族自治区、南宁市的有关法律法规执行。</w:t>
      </w:r>
    </w:p>
    <w:p w14:paraId="75AE9A79">
      <w:pPr>
        <w:pStyle w:val="37"/>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第六条 本协议未尽之事项，由甲乙双方协商处理并另行签订补充协议。</w:t>
      </w:r>
    </w:p>
    <w:p w14:paraId="5DCF2BC0">
      <w:pPr>
        <w:pStyle w:val="37"/>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第七条 本协议作为甲方、乙方双方签订的《</w:t>
      </w:r>
      <w:r>
        <w:rPr>
          <w:rFonts w:hint="eastAsia" w:ascii="方正仿宋_GB2312" w:hAnsi="方正仿宋_GB2312" w:eastAsia="方正仿宋_GB2312" w:cs="方正仿宋_GB2312"/>
          <w:b/>
          <w:color w:val="auto"/>
          <w:sz w:val="24"/>
          <w:szCs w:val="24"/>
          <w:highlight w:val="none"/>
          <w:lang w:eastAsia="zh-CN"/>
        </w:rPr>
        <w:t>专业分包合同</w:t>
      </w:r>
      <w:r>
        <w:rPr>
          <w:rFonts w:hint="eastAsia" w:ascii="方正仿宋_GB2312" w:hAnsi="方正仿宋_GB2312" w:eastAsia="方正仿宋_GB2312" w:cs="方正仿宋_GB2312"/>
          <w:b/>
          <w:color w:val="auto"/>
          <w:sz w:val="24"/>
          <w:szCs w:val="24"/>
          <w:highlight w:val="none"/>
        </w:rPr>
        <w:t>》的附件，与《</w:t>
      </w:r>
      <w:r>
        <w:rPr>
          <w:rFonts w:hint="eastAsia" w:ascii="方正仿宋_GB2312" w:hAnsi="方正仿宋_GB2312" w:eastAsia="方正仿宋_GB2312" w:cs="方正仿宋_GB2312"/>
          <w:b/>
          <w:color w:val="auto"/>
          <w:sz w:val="24"/>
          <w:szCs w:val="24"/>
          <w:highlight w:val="none"/>
          <w:lang w:eastAsia="zh-CN"/>
        </w:rPr>
        <w:t>专业分包合同</w:t>
      </w:r>
      <w:r>
        <w:rPr>
          <w:rFonts w:hint="eastAsia" w:ascii="方正仿宋_GB2312" w:hAnsi="方正仿宋_GB2312" w:eastAsia="方正仿宋_GB2312" w:cs="方正仿宋_GB2312"/>
          <w:b/>
          <w:color w:val="auto"/>
          <w:sz w:val="24"/>
          <w:szCs w:val="24"/>
          <w:highlight w:val="none"/>
        </w:rPr>
        <w:t>》同时生效和终止。</w:t>
      </w:r>
    </w:p>
    <w:p w14:paraId="2C96D0B9">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C6FB5D4">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甲方：南宁轨道地产建筑工程有限责任公司     乙方： </w:t>
      </w:r>
    </w:p>
    <w:p w14:paraId="209EA72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436E88C2">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　　　　　　                    法定代表人：</w:t>
      </w:r>
    </w:p>
    <w:p w14:paraId="16F9B83E">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或委托代理人：                              或委托代理人：</w:t>
      </w:r>
    </w:p>
    <w:p w14:paraId="7B45C0D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44A0B58">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安全协议附件：</w:t>
      </w:r>
    </w:p>
    <w:p w14:paraId="35E29EFF">
      <w:pPr>
        <w:pStyle w:val="37"/>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安全文明施工管理办法</w:t>
      </w:r>
    </w:p>
    <w:p w14:paraId="77A24B16">
      <w:pPr>
        <w:pStyle w:val="37"/>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bCs/>
          <w:color w:val="auto"/>
          <w:sz w:val="24"/>
          <w:szCs w:val="24"/>
          <w:highlight w:val="none"/>
        </w:rPr>
      </w:pPr>
    </w:p>
    <w:p w14:paraId="798FAEC9">
      <w:pPr>
        <w:pStyle w:val="37"/>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第一章 总则</w:t>
      </w:r>
    </w:p>
    <w:p w14:paraId="4E14A3CF">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第一条 为了加强施工现场安全生产和文明施工工作，提高工程质量、安全生产和文明施工管理水平，杜绝违章施工、野蛮施工等不良行为，保护建设成果，避免安全、质量事故的发生，依据</w:t>
      </w:r>
      <w:r>
        <w:rPr>
          <w:rFonts w:hint="eastAsia" w:ascii="方正仿宋_GB2312" w:hAnsi="方正仿宋_GB2312" w:eastAsia="方正仿宋_GB2312" w:cs="方正仿宋_GB2312"/>
          <w:color w:val="auto"/>
          <w:kern w:val="0"/>
          <w:sz w:val="24"/>
          <w:szCs w:val="24"/>
          <w:highlight w:val="none"/>
          <w:lang w:val="en-US" w:eastAsia="zh-CN" w:bidi="ar-SA"/>
        </w:rPr>
        <w:t>《中华人民共和国安全生产法》</w:t>
      </w:r>
      <w:r>
        <w:rPr>
          <w:rFonts w:hint="eastAsia" w:ascii="方正仿宋_GB2312" w:hAnsi="方正仿宋_GB2312" w:eastAsia="方正仿宋_GB2312" w:cs="方正仿宋_GB2312"/>
          <w:color w:val="auto"/>
          <w:sz w:val="24"/>
          <w:szCs w:val="24"/>
          <w:highlight w:val="none"/>
        </w:rPr>
        <w:t>《建设工程安全生产管理条例》《南宁市建设工程施工现场管理若干规定》《南宁市建设工程安全防护、文明施工措施费用管理规定》《</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》，以及上级建设主管部门的其他有关法律法规文件，特制定本办法。</w:t>
      </w:r>
    </w:p>
    <w:p w14:paraId="3D1E7692">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第二条  除乙方与甲方另有约定外，乙方在施工过程中如有违反安全生产和文明施工行为的，甲方有权按本办法对乙方及乙方施工现场各级管理人员、施工人员进行处理。</w:t>
      </w:r>
    </w:p>
    <w:p w14:paraId="4822A76C">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第三条  除非甲方与乙方有特别约定或者在本办法中有特别注明，否则在落实处理措施的同时，乙方还应当对存在安全隐患的部位拆除重做，或经甲方同意后进行加固处理、整改，直到满足安全生产和文明施工要求为止，因此产生的费用由乙方承担。若因此造成工期延误的，乙方还应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》的约定承担违约责任。</w:t>
      </w:r>
    </w:p>
    <w:p w14:paraId="7C88D6C0">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25C28432">
      <w:pPr>
        <w:pStyle w:val="37"/>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第二章  机构及职责</w:t>
      </w:r>
    </w:p>
    <w:p w14:paraId="64B575AF">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第四条  乙方的项目经理（项目负责人）是代表乙方全面负责工程施工质量、安全生产及文明施工的第一责任人，负责带领项目部人员履行施工方职责，包括：</w:t>
      </w:r>
    </w:p>
    <w:p w14:paraId="2F58F9F7">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（一）依据备案的施工图设计文件和工程建设强制性标准组织施工；</w:t>
      </w:r>
    </w:p>
    <w:p w14:paraId="0B440451">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（二）在深基坑、桩基础、地基基础、高大模板、主体结构、重要结构部位等分项、分部工程验收及竣工验收时到场并履行相关质量安全监督管理职责；</w:t>
      </w:r>
    </w:p>
    <w:p w14:paraId="2BBF289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（三）按要求签署相关质量、安全等验收文件；</w:t>
      </w:r>
    </w:p>
    <w:p w14:paraId="5182FB9D">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（四）其他依法应当履行的职责。</w:t>
      </w:r>
    </w:p>
    <w:p w14:paraId="3F3FFD04">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第五条  乙方的专职安全生产管理人员负责对安全生产进行现场监督检查。发现安全事故隐患，应当及时向项目负责人和安全生产管理机构报告；对违章指挥、违章操作等行为应当立即制止。</w:t>
      </w:r>
    </w:p>
    <w:p w14:paraId="4A351EE5">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第六条  甲方的项目经理（项目负责人）是甲方对施工质量、安全生产及文明施工实施管理的第一责任人，负责代表甲方在施工现场对工程质量、进度、投资和安全生产、文明施工进行管理。</w:t>
      </w:r>
    </w:p>
    <w:p w14:paraId="51D5CEAF">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第七条  若乙方违反本办法，甲方需对乙方进行扣款处理的，由甲方现场管理人员发出《罚款通知单》，详细注明扣款依据、违规事实。</w:t>
      </w:r>
    </w:p>
    <w:p w14:paraId="0AA8C08A">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57264192">
      <w:pPr>
        <w:pStyle w:val="37"/>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第三章  管理内容</w:t>
      </w:r>
    </w:p>
    <w:p w14:paraId="735120FD">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第八条  乙方须在开工前做好施工现场的平面布置和临时设施，并配合甲方协助建设方办理施工许可证。</w:t>
      </w:r>
    </w:p>
    <w:p w14:paraId="6A524ED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第九条  乙方必须配合甲方完成上级建设主管部门的有关规定，配合甲方在施工现场明显位置张挂</w:t>
      </w:r>
      <w:r>
        <w:rPr>
          <w:rFonts w:hint="eastAsia" w:ascii="方正仿宋_GB2312" w:hAnsi="方正仿宋_GB2312" w:eastAsia="方正仿宋_GB2312" w:cs="方正仿宋_GB2312"/>
          <w:color w:val="auto"/>
          <w:kern w:val="0"/>
          <w:sz w:val="24"/>
          <w:szCs w:val="24"/>
          <w:highlight w:val="none"/>
          <w:lang w:val="en-US" w:eastAsia="zh-CN" w:bidi="ar-SA"/>
        </w:rPr>
        <w:t>公示标牌。</w:t>
      </w:r>
      <w:r>
        <w:rPr>
          <w:rFonts w:hint="eastAsia" w:ascii="方正仿宋_GB2312" w:hAnsi="方正仿宋_GB2312" w:eastAsia="方正仿宋_GB2312" w:cs="方正仿宋_GB2312"/>
          <w:color w:val="auto"/>
          <w:sz w:val="24"/>
          <w:szCs w:val="24"/>
          <w:highlight w:val="none"/>
        </w:rPr>
        <w:t>第十条  工程施工现场应封闭施工，施工围墙应为砖砌围墙或</w:t>
      </w:r>
      <w:r>
        <w:rPr>
          <w:rFonts w:hint="eastAsia" w:ascii="方正仿宋_GB2312" w:hAnsi="方正仿宋_GB2312" w:eastAsia="方正仿宋_GB2312" w:cs="方正仿宋_GB2312"/>
          <w:color w:val="auto"/>
          <w:kern w:val="0"/>
          <w:sz w:val="24"/>
          <w:szCs w:val="24"/>
          <w:highlight w:val="none"/>
          <w:lang w:val="en-US" w:eastAsia="zh-CN" w:bidi="ar-SA"/>
        </w:rPr>
        <w:t>硬质</w:t>
      </w:r>
      <w:r>
        <w:rPr>
          <w:rFonts w:hint="eastAsia" w:ascii="方正仿宋_GB2312" w:hAnsi="方正仿宋_GB2312" w:eastAsia="方正仿宋_GB2312" w:cs="方正仿宋_GB2312"/>
          <w:color w:val="auto"/>
          <w:sz w:val="24"/>
          <w:szCs w:val="24"/>
          <w:highlight w:val="none"/>
        </w:rPr>
        <w:t>围挡。</w:t>
      </w:r>
    </w:p>
    <w:p w14:paraId="608EBDF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第十条  乙方应对相关区域（包括但不限于施工办公区域、材料堆场、材料加工场地、工地大门或主要出入口等）做硬底处理，工地主要出入口应当设置混凝土冲洗平台、沉淀池和冲洗设备，并定期清理，保持良好的排水系统。如未按上述要求处理或设置，或施工车辆污染工程所在的小区（或建设方区域）路面但乙方不及时清理且不听从劝告的或收到其他行政单位投诉的，扣款2000元∕次。</w:t>
      </w:r>
    </w:p>
    <w:p w14:paraId="65241E5E">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第十一条  施工区域内应有切实可行的临时排水措施，周边应当埋设合理的排水管（施工前提供施工平面布置给甲方审批）；外架周边应采用砖砌明沟排水。如乙方在施工中造成下水道和其他地下管线堵塞或损坏的，乙方立即疏通或修复。如不及时整改对工地周围的单位和居民财产造成损失的或遭受投诉的，乙方除应承担经济赔偿责任外，扣款2000元∕次。</w:t>
      </w:r>
    </w:p>
    <w:p w14:paraId="318A5B42">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第十二条  乙方在施工过程中应采取有效防尘措施，控制扬尘作业，尤其是土方施工作业，应遵循“谁污染谁清理、谁破坏谁修复”的原则进行处理。晴天乙方应洒水降尘，雨天乙方应及时清理泥浆，如乙方不及时洒水且造成尘土飞扬的，扣款500元∕日；不及时清理泥浆、积水造成道路损坏的，乙方必须及时修复，并扣款1000元∕日。</w:t>
      </w:r>
    </w:p>
    <w:p w14:paraId="1C8F58C5">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第十三条  乙方应采取有效措施保护临近施工现场周边及建成区的绿化、道路、供电、照明等公共设施以及各种管线的安全。在小区内进行土方开挖时，应事先知会有关单位，摸清原管线的布置情况并做好标识，迁移地上植物，严禁野蛮施工。如造成原管线、绿化植物损坏的，乙方除了负责修复及赔偿因此造成的损失外，甲方还有权对施工方扣款5000元∕次。</w:t>
      </w:r>
    </w:p>
    <w:p w14:paraId="443C7005">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第十四条  乙方应加强成品的保护意识，不轻易破坏路面，不允许在建成道路上拌浆，污染路面，否则扣款 500元∕次。</w:t>
      </w:r>
    </w:p>
    <w:p w14:paraId="5BA3ED94">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第十五条  在同一栋楼内进行交叉施工过程中应互相配合，注重成品保护意识，不得随意破坏他人成果。否则乙方除承担修复责任外，甲方还有权对施工方扣款500～1000元∕次。</w:t>
      </w:r>
    </w:p>
    <w:p w14:paraId="26D04A6A">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第十六条  施工现场和在建的房屋内严禁随意大小便，一经发现扣款1000元∕处。</w:t>
      </w:r>
    </w:p>
    <w:p w14:paraId="10BD247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第十七条  施工完成后乙方必须及时清理建筑垃圾、残渣及废水，如不清理或清理不及时造成排污管道堵塞的，扣款1000元∕次。</w:t>
      </w:r>
      <w:r>
        <w:rPr>
          <w:rFonts w:hint="eastAsia" w:ascii="方正仿宋_GB2312" w:hAnsi="方正仿宋_GB2312" w:eastAsia="方正仿宋_GB2312" w:cs="方正仿宋_GB2312"/>
          <w:color w:val="auto"/>
          <w:kern w:val="0"/>
          <w:sz w:val="24"/>
          <w:szCs w:val="24"/>
          <w:highlight w:val="none"/>
          <w:lang w:val="en-US" w:eastAsia="zh-CN" w:bidi="ar-SA"/>
        </w:rPr>
        <w:t>乙方应当采取装车、装袋运送等有效措施清理室内建筑垃圾，严禁从高处向下抛洒建筑垃圾。否则，扣款200元/次；情节严重、不听劝告的，扣款1000元/次。</w:t>
      </w:r>
    </w:p>
    <w:p w14:paraId="5C81C8B9">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第十八条  工程竣工验收通过后7天内，乙方应将周转材料清出场外，拆除工地围栏、安全防护设施和其他临时设施，并将工地及四周环境清理整洁，做到工完、料净、场地清，以便甲方配合建设方安排配套工程进场施工。若不及时清理、拆除而影响建设方配套工程施工的，扣款10000元∕次，同时甲方有权委托第三方进行清理，相关费用由乙方承担。</w:t>
      </w:r>
    </w:p>
    <w:p w14:paraId="0E6C54B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第十九条  施工生活区应当整洁卫生，地面需硬化处理，设置排污设施，乙方应加强生活区“五小”设施（指办公室、食堂、厕所、浴室、宿舍）的管理，否则扣款500～1000元∕月：</w:t>
      </w:r>
    </w:p>
    <w:p w14:paraId="4A7C9025">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（一）统一设置集体食堂，食堂必须取得《卫生许可证》，食堂的从业人员应当取得健康证明，食堂内的灶台、内墙均应粘贴瓷砖；</w:t>
      </w:r>
    </w:p>
    <w:p w14:paraId="3C723F91">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滋生。</w:t>
      </w:r>
    </w:p>
    <w:p w14:paraId="0D8C19EC">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（三）生活区宿舍及集装箱不准作为仓库使用，不准存放易燃、可燃材料。</w:t>
      </w:r>
    </w:p>
    <w:p w14:paraId="12929865">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（四）生活区严禁明火取暖，宿舍内不得使用电暖器、电热毯、热得快等大功率电器。</w:t>
      </w:r>
    </w:p>
    <w:p w14:paraId="4AFB9E85">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第二十条  乙方如有下列情形之一的，甲方有权责成乙方立即整改。如乙方未按要求整改的，扣款500元∕次：</w:t>
      </w:r>
    </w:p>
    <w:p w14:paraId="3CB8E82F">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（一）未在施工现场入口处、施工起重机械、临时用电设施、脚手架、出入通道口、楼梯口、电梯井口、孔洞口、基坑边沿、爆破物及有害危险气体和液体存放处等危险部位设置明显的安全警示标志；</w:t>
      </w:r>
    </w:p>
    <w:p w14:paraId="5708C88B">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（二）未在施工现场布置中设安全通道，或不能确保出入口安全、畅通的；</w:t>
      </w:r>
    </w:p>
    <w:p w14:paraId="35A74538">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（三）未能按有关法律法规和强制性标准要求设置消防通道、消防水源、配备消防设施和灭火器材，并在施工现场入口处设置明显消防通道标志的；</w:t>
      </w:r>
    </w:p>
    <w:p w14:paraId="04C42B49">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（四）未能按有关安全管理规定对人员进出进行管理，</w:t>
      </w:r>
      <w:r>
        <w:rPr>
          <w:rFonts w:hint="eastAsia" w:ascii="方正仿宋_GB2312" w:hAnsi="方正仿宋_GB2312" w:eastAsia="方正仿宋_GB2312" w:cs="方正仿宋_GB2312"/>
          <w:color w:val="auto"/>
          <w:kern w:val="0"/>
          <w:sz w:val="24"/>
          <w:szCs w:val="24"/>
          <w:highlight w:val="none"/>
          <w:lang w:val="en-US" w:eastAsia="zh-CN" w:bidi="ar-SA"/>
        </w:rPr>
        <w:t>家属、小孩等非施工人员</w:t>
      </w:r>
      <w:r>
        <w:rPr>
          <w:rFonts w:hint="eastAsia" w:ascii="方正仿宋_GB2312" w:hAnsi="方正仿宋_GB2312" w:eastAsia="方正仿宋_GB2312" w:cs="方正仿宋_GB2312"/>
          <w:color w:val="auto"/>
          <w:sz w:val="24"/>
          <w:szCs w:val="24"/>
          <w:highlight w:val="none"/>
        </w:rPr>
        <w:t>随意进出施工现场的。</w:t>
      </w:r>
    </w:p>
    <w:p w14:paraId="7EEA236A">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第二十一条  建筑工程多层及高层建筑物应设置全封闭安全防护设施。建筑立面围挡要求：外脚手架杆件必须涂防锈漆，全面涂黄色漆；临边防护栏杆、剪刀撑、安全门及挡脚板则必须涂红、白相间警示色。破损的安全网应及时更换，再次使用的安全网应冲洗干净。</w:t>
      </w:r>
    </w:p>
    <w:p w14:paraId="26E03EE4">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（一）主体施工至二层施工方仍不搭设脚手架</w:t>
      </w:r>
      <w:r>
        <w:rPr>
          <w:rFonts w:hint="eastAsia" w:ascii="方正仿宋_GB2312" w:hAnsi="方正仿宋_GB2312" w:eastAsia="方正仿宋_GB2312" w:cs="方正仿宋_GB2312"/>
          <w:color w:val="auto"/>
          <w:kern w:val="0"/>
          <w:sz w:val="24"/>
          <w:szCs w:val="24"/>
          <w:highlight w:val="none"/>
          <w:lang w:val="en-US" w:eastAsia="zh-CN" w:bidi="ar-SA"/>
        </w:rPr>
        <w:t>或外架搭设高度未高出作业面1.2米及以上的，</w:t>
      </w:r>
      <w:r>
        <w:rPr>
          <w:rFonts w:hint="eastAsia" w:ascii="方正仿宋_GB2312" w:hAnsi="方正仿宋_GB2312" w:eastAsia="方正仿宋_GB2312" w:cs="方正仿宋_GB2312"/>
          <w:color w:val="auto"/>
          <w:sz w:val="24"/>
          <w:szCs w:val="24"/>
          <w:highlight w:val="none"/>
        </w:rPr>
        <w:t>甲方有权责成乙方立即整改；如乙方未按要求整改的，扣款2000元/日∕栋；</w:t>
      </w:r>
    </w:p>
    <w:p w14:paraId="04B01399">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（二）乙方未按规定设置安全门，或安全网不及时张挂，或安全网存在破损不符合要求的，拒不按要求整改者，甲方有权责成乙方立即整改；如乙方未按要求整改的，扣款1000元/日。</w:t>
      </w:r>
    </w:p>
    <w:p w14:paraId="12E3EA32">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第二十二条  乙方在施工现场安装、拆卸施工起重机械和设施等，必须委托具有相应资质的单位进行操作，且应当事先编制拆装方案、制定安全施工措施，并由专业技术人员现场监督。否则，扣款500～1000元/次。</w:t>
      </w:r>
    </w:p>
    <w:p w14:paraId="307B72E7">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第二十三条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21BC61DB">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第二十四条 乙方必须严格遵守安全技术操作规程，施工现场使用的电气设备必须符合防火要求，严禁超负荷使用电气设备，</w:t>
      </w:r>
      <w:r>
        <w:rPr>
          <w:rFonts w:hint="eastAsia" w:ascii="方正仿宋_GB2312" w:hAnsi="方正仿宋_GB2312" w:eastAsia="方正仿宋_GB2312" w:cs="方正仿宋_GB2312"/>
          <w:color w:val="auto"/>
          <w:kern w:val="0"/>
          <w:sz w:val="24"/>
          <w:szCs w:val="24"/>
          <w:highlight w:val="none"/>
          <w:lang w:val="en-US" w:eastAsia="zh-CN" w:bidi="ar-SA"/>
        </w:rPr>
        <w:t>施工现场临时用电必须采用TN-S接零保护系统，符合“三级配电两级保护”， 开关箱配备必须达到“一机一闸一漏”的要求。配电箱、开关箱、漏电断路器等临时用电产品，必须是经国家强制性产品3C认证且符合《南宁轨道地产建筑工程有限责任公司安全文明标准化管理细则》标准。现场使用的插排必须为带漏保型插排，漏电保护器漏电分断时间≤0.1s，电缆应套牛筋软管保护，软管接头采用红色防水电工胶布捆绑严密。</w:t>
      </w:r>
      <w:r>
        <w:rPr>
          <w:rFonts w:hint="eastAsia" w:ascii="方正仿宋_GB2312" w:hAnsi="方正仿宋_GB2312" w:eastAsia="方正仿宋_GB2312" w:cs="方正仿宋_GB2312"/>
          <w:color w:val="auto"/>
          <w:sz w:val="24"/>
          <w:szCs w:val="24"/>
          <w:highlight w:val="none"/>
        </w:rPr>
        <w:t>如乙方违反上述施工用电操作规程的，乙方应立即整改，否则扣款500</w:t>
      </w:r>
      <w:r>
        <w:rPr>
          <w:rFonts w:hint="eastAsia" w:ascii="方正仿宋_GB2312" w:hAnsi="方正仿宋_GB2312" w:eastAsia="方正仿宋_GB2312" w:cs="方正仿宋_GB2312"/>
          <w:color w:val="auto"/>
          <w:kern w:val="0"/>
          <w:sz w:val="24"/>
          <w:szCs w:val="24"/>
          <w:highlight w:val="none"/>
          <w:lang w:val="en-US" w:eastAsia="zh-CN" w:bidi="ar-SA"/>
        </w:rPr>
        <w:t>-1000</w:t>
      </w:r>
      <w:r>
        <w:rPr>
          <w:rFonts w:hint="eastAsia" w:ascii="方正仿宋_GB2312" w:hAnsi="方正仿宋_GB2312" w:eastAsia="方正仿宋_GB2312" w:cs="方正仿宋_GB2312"/>
          <w:color w:val="auto"/>
          <w:sz w:val="24"/>
          <w:szCs w:val="24"/>
          <w:highlight w:val="none"/>
        </w:rPr>
        <w:t xml:space="preserve">元/次。 </w:t>
      </w:r>
    </w:p>
    <w:p w14:paraId="630D90B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第二十五条  对施工中的特种作业，作业人员必须取得相应的从业资格且携带特种作业操作证上岗操作；电焊工、气焊工、防水施工必须持证上岗，作业时应按规定开具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施工现场禁止吸烟、禁止随地吐痰、乱丢烟头及其他杂物，保持工作现场的整洁，否则乙方应立即纠正。违反上述规定且不听劝告者，扣款200元/人/次。</w:t>
      </w:r>
    </w:p>
    <w:p w14:paraId="7B1801F1">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第二十六条  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甲方有权责令乙方及时整改，否则扣款200元/次。</w:t>
      </w:r>
    </w:p>
    <w:p w14:paraId="46C821BA">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第二十七条  严禁乙方在施工期间使用电梯，否则扣款5000元/次。</w:t>
      </w:r>
    </w:p>
    <w:p w14:paraId="5E62B8C6">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第二十八条  若甲方对施工过程中存在的安全隐患提出整改意见，但乙方不按要求整改的，扣款5000～10000元∕次。</w:t>
      </w:r>
    </w:p>
    <w:p w14:paraId="090F6246">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第二十九条 发生安全事故或工程结构质量事故，乙方须立即向甲方报告；隐瞒不报的，扣款1000～5000元∕次。</w:t>
      </w:r>
    </w:p>
    <w:p w14:paraId="5309FC5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第三十条 乙方违反操作规程造成重大安全事故的，甲方有权按合同总造价20%的标准收取乙方违约金。</w:t>
      </w:r>
    </w:p>
    <w:p w14:paraId="65CD8E1E">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第三十一条 因乙方安全文明施工、质量等问题导致被上级有关部门下发停工令或处罚的，扣款2000-5000元/次。</w:t>
      </w:r>
    </w:p>
    <w:p w14:paraId="421BD20D">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第三十二条 因乙方施工人员违规操作引起火灾，未造成严重后果的，扣款5000-10000元/次。如造成严重后果或人员伤亡的，乙方承担由此引发的一切经济责任和法律责任。</w:t>
      </w:r>
    </w:p>
    <w:p w14:paraId="3D2AEAC6">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第三十三条 爬架、吊篮等按相关法律法规需要验收的，未经验收合格投入使用，扣款200-5000元/次。</w:t>
      </w:r>
    </w:p>
    <w:p w14:paraId="6D86F37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第三十四条 除以上情况外，施工现场其他方面存在较大安全隐患的，扣款500-5000元/次。</w:t>
      </w:r>
    </w:p>
    <w:p w14:paraId="4439DFA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kern w:val="0"/>
          <w:sz w:val="24"/>
          <w:szCs w:val="24"/>
          <w:highlight w:val="none"/>
        </w:rPr>
      </w:pPr>
    </w:p>
    <w:p w14:paraId="10FC4E09">
      <w:pPr>
        <w:pStyle w:val="37"/>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第四章 附则</w:t>
      </w:r>
    </w:p>
    <w:p w14:paraId="52A2C1C5">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第三十五条 本办法解释权归甲方。</w:t>
      </w:r>
    </w:p>
    <w:p w14:paraId="5F917B38">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第三十六条 本办法自发文之日起执行。</w:t>
      </w:r>
    </w:p>
    <w:p w14:paraId="3E211140">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1192F495">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0187C543">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1F53D382">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48485D78">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308A95D">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52A6A3C">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4BB50D57">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59FE175">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366FE176">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6B1AB699">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4CEC7C04">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D1BCD56">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2F10A242">
      <w:pPr>
        <w:pStyle w:val="37"/>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2D571B1">
      <w:pPr>
        <w:pStyle w:val="37"/>
        <w:pageBreakBefore w:val="0"/>
        <w:kinsoku/>
        <w:overflowPunct/>
        <w:topLinePunct w:val="0"/>
        <w:autoSpaceDE/>
        <w:autoSpaceDN/>
        <w:bidi w:val="0"/>
        <w:spacing w:beforeAutospacing="0" w:afterAutospacing="0" w:line="540" w:lineRule="exact"/>
        <w:jc w:val="both"/>
        <w:rPr>
          <w:rFonts w:hint="eastAsia" w:ascii="方正仿宋_GB2312" w:hAnsi="方正仿宋_GB2312" w:eastAsia="方正仿宋_GB2312" w:cs="方正仿宋_GB2312"/>
          <w:color w:val="auto"/>
          <w:sz w:val="24"/>
          <w:szCs w:val="24"/>
          <w:highlight w:val="none"/>
        </w:rPr>
      </w:pPr>
    </w:p>
    <w:p w14:paraId="1E8421EB">
      <w:pPr>
        <w:pageBreakBefore w:val="0"/>
        <w:widowControl/>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drawing>
          <wp:anchor distT="0" distB="0" distL="114300" distR="114300" simplePos="0" relativeHeight="251659264" behindDoc="0" locked="0" layoutInCell="1" allowOverlap="1">
            <wp:simplePos x="0" y="0"/>
            <wp:positionH relativeFrom="column">
              <wp:posOffset>280035</wp:posOffset>
            </wp:positionH>
            <wp:positionV relativeFrom="paragraph">
              <wp:posOffset>-5080</wp:posOffset>
            </wp:positionV>
            <wp:extent cx="400050" cy="476250"/>
            <wp:effectExtent l="0" t="0" r="0" b="0"/>
            <wp:wrapNone/>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7"/>
                    <a:stretch>
                      <a:fillRect/>
                    </a:stretch>
                  </pic:blipFill>
                  <pic:spPr>
                    <a:xfrm>
                      <a:off x="0" y="0"/>
                      <a:ext cx="400050" cy="476250"/>
                    </a:xfrm>
                    <a:prstGeom prst="rect">
                      <a:avLst/>
                    </a:prstGeom>
                    <a:noFill/>
                    <a:ln>
                      <a:noFill/>
                    </a:ln>
                  </pic:spPr>
                </pic:pic>
              </a:graphicData>
            </a:graphic>
          </wp:anchor>
        </w:drawing>
      </w:r>
      <w:r>
        <w:rPr>
          <w:rFonts w:hint="eastAsia" w:ascii="方正仿宋_GB2312" w:hAnsi="方正仿宋_GB2312" w:eastAsia="方正仿宋_GB2312" w:cs="方正仿宋_GB2312"/>
          <w:color w:val="auto"/>
          <w:sz w:val="24"/>
          <w:szCs w:val="24"/>
          <w:highlight w:val="none"/>
        </w:rPr>
        <w:t xml:space="preserve">                  南宁轨道地产建筑工程有限责任公司</w:t>
      </w:r>
    </w:p>
    <w:p w14:paraId="620DCE3D">
      <w:pPr>
        <w:pageBreakBefore w:val="0"/>
        <w:tabs>
          <w:tab w:val="left" w:pos="3496"/>
          <w:tab w:val="center" w:pos="5254"/>
        </w:tabs>
        <w:kinsoku/>
        <w:overflowPunct/>
        <w:topLinePunct w:val="0"/>
        <w:autoSpaceDE/>
        <w:autoSpaceDN/>
        <w:bidi w:val="0"/>
        <w:spacing w:beforeAutospacing="0" w:afterAutospacing="0" w:line="540" w:lineRule="exact"/>
        <w:ind w:left="0" w:leftChars="0" w:firstLine="6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ab/>
      </w:r>
      <w:r>
        <w:rPr>
          <w:rFonts w:hint="eastAsia" w:ascii="方正仿宋_GB2312" w:hAnsi="方正仿宋_GB2312" w:eastAsia="方正仿宋_GB2312" w:cs="方正仿宋_GB2312"/>
          <w:b/>
          <w:bCs/>
          <w:color w:val="auto"/>
          <w:sz w:val="24"/>
          <w:szCs w:val="24"/>
          <w:highlight w:val="none"/>
          <w:u w:val="double"/>
        </w:rPr>
        <w:t xml:space="preserve">安全生产承诺书 </w:t>
      </w:r>
    </w:p>
    <w:tbl>
      <w:tblPr>
        <w:tblStyle w:val="18"/>
        <w:tblW w:w="8093"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6242"/>
      </w:tblGrid>
      <w:tr w14:paraId="748D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851" w:type="dxa"/>
            <w:noWrap w:val="0"/>
            <w:vAlign w:val="center"/>
          </w:tcPr>
          <w:p w14:paraId="1E974E86">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工程项目</w:t>
            </w:r>
          </w:p>
        </w:tc>
        <w:tc>
          <w:tcPr>
            <w:tcW w:w="6242" w:type="dxa"/>
            <w:noWrap w:val="0"/>
            <w:vAlign w:val="center"/>
          </w:tcPr>
          <w:p w14:paraId="459285FE">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1BB6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851" w:type="dxa"/>
            <w:noWrap w:val="0"/>
            <w:vAlign w:val="center"/>
          </w:tcPr>
          <w:p w14:paraId="36FA4850">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施工队（组）</w:t>
            </w:r>
          </w:p>
        </w:tc>
        <w:tc>
          <w:tcPr>
            <w:tcW w:w="6242" w:type="dxa"/>
            <w:noWrap w:val="0"/>
            <w:vAlign w:val="center"/>
          </w:tcPr>
          <w:p w14:paraId="0C72DB80">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7721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093" w:type="dxa"/>
            <w:gridSpan w:val="2"/>
            <w:noWrap w:val="0"/>
            <w:vAlign w:val="center"/>
          </w:tcPr>
          <w:p w14:paraId="72EB9982">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承诺内容</w:t>
            </w:r>
          </w:p>
        </w:tc>
      </w:tr>
      <w:tr w14:paraId="0FE1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0" w:hRule="atLeast"/>
        </w:trPr>
        <w:tc>
          <w:tcPr>
            <w:tcW w:w="8093" w:type="dxa"/>
            <w:gridSpan w:val="2"/>
            <w:noWrap w:val="0"/>
            <w:vAlign w:val="center"/>
          </w:tcPr>
          <w:p w14:paraId="71BF9DEB">
            <w:pPr>
              <w:pageBreakBefore w:val="0"/>
              <w:kinsoku/>
              <w:overflowPunct/>
              <w:topLinePunct w:val="0"/>
              <w:autoSpaceDE/>
              <w:autoSpaceDN/>
              <w:bidi w:val="0"/>
              <w:spacing w:beforeAutospacing="0" w:afterAutospacing="0" w:line="540" w:lineRule="exact"/>
              <w:ind w:firstLine="482"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 xml:space="preserve">本人作为参建人员，我郑重承诺在以后的施工中将做到以下要求： </w:t>
            </w:r>
          </w:p>
          <w:p w14:paraId="4895D1F4">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1.严格遵守南宁轨道地产建筑工程有限责任公司《南宁轨道地产建筑工程有限责任公司安全生产制度》《安全质量管理办法》及本队组与公司签订的施工劳务合同相关质量、安全、文明条款。</w:t>
            </w:r>
          </w:p>
          <w:p w14:paraId="61A04B59">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2.严格遵守南宁轨道地产建筑工程有限责任公司项目部所涉及的质量、安全、文明等管理办法、要求，服从南宁轨道地产建筑工程有限责任公司项目部的管理。</w:t>
            </w:r>
          </w:p>
          <w:p w14:paraId="1D808CD0">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3.在开工前主动接受项目部的安全三级教育，办理完成相关资料手续。自觉接受公司、项目部、班组的安全交底和技术交底，并经项目部管理人员同意后方可施工。</w:t>
            </w:r>
          </w:p>
          <w:p w14:paraId="01FBD3B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4.进入施工现场按照公司规定统一着装，如穿反光马甲。正确佩戴劳动防护用品，如安全帽要系好下颚带，高处作业佩戴安全带且高挂低用后施工等。做到“不伤害自己、不伤害别人、不被别人伤害”。</w:t>
            </w:r>
          </w:p>
          <w:p w14:paraId="6F4F41D5">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5.严格遵守本岗位的安全生产操作规程，严格遵守劳动、操作、工艺、施工和工作纪律。</w:t>
            </w:r>
          </w:p>
          <w:p w14:paraId="4E964D09">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6.遵守消防管理的各项法律、规章、制度、规定，不在施工现场抽烟，不乱丢烟头，按项目部、施工工程要求到指定的吸烟区域吸烟。</w:t>
            </w:r>
          </w:p>
          <w:p w14:paraId="4C43FCF8">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7.不私自使用明火作业，必须向项目部申请动火作业审批，经同意后方可动火作业，须动火作业申请的内容有电焊、氧割、烘烤、焚烧、使用明火等。</w:t>
            </w:r>
          </w:p>
          <w:p w14:paraId="15F275AD">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8.配合项目部或公司各种消防演习，学会使用各种灭火器材的使用方法。</w:t>
            </w:r>
          </w:p>
          <w:p w14:paraId="2E0FB0CD">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9.严格执行各种维修、有限空间作业、临时用电等作业的安全管理制度和规定，不违章作业，确保作业安全。</w:t>
            </w:r>
          </w:p>
          <w:p w14:paraId="1394E804">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特殊工种：建筑电工；金属焊接和切割（包括焊工和切割工）；建筑架子工；建筑起重机械司机（塔式起重机、施工升降机、汽车吊）；建筑施工现场内机动车司机（挖掘机、装载机、翻斗车、推土机、压路机、平地机、沥青混凝土摊铺机）；建筑起重信号司索工；桩机操作工；混凝土输送泵操作工；建筑起重机械安装拆卸工；高处作业吊篮安装拆卸工；登高架设作业（含2米以上登高架设、拆除、维修工、高层建（构）筑物表面清洗工）等特种作业人员，必须持证上岗，无证人员不得参与特殊工种施工。</w:t>
            </w:r>
          </w:p>
          <w:p w14:paraId="046DD7CF">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11.不私自操作施工升降机、施工电梯。</w:t>
            </w:r>
          </w:p>
          <w:p w14:paraId="2DF7A460">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12.不私自破坏、移动、拆除现场安全文明防护设施。</w:t>
            </w:r>
          </w:p>
          <w:p w14:paraId="43BD4CC7">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13.不去无安全防护措施或安全措施不到位的工作面施工。</w:t>
            </w:r>
          </w:p>
          <w:p w14:paraId="3637AF0F">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14.不酒后上岗、施工。</w:t>
            </w:r>
          </w:p>
          <w:p w14:paraId="0409571B">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15.施工现场不打闹、打架、不追逐或其他有危险的行为。</w:t>
            </w:r>
          </w:p>
          <w:p w14:paraId="30EB8629">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16.严格按照项目部要求，施工现场应做到工完场清，不随意丢垃圾，包括建筑垃圾和生活垃圾，不产生扬尘、噪音，保持作业环境整洁，不得私自把污水、泥水排入市政管网，达到创城创卫相关工作要求和安全文明。</w:t>
            </w:r>
          </w:p>
          <w:p w14:paraId="3EB71514">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17.主动制止同事的不安全行为，对发现事故隐患或者其他不安全因素，立即向现场管理人员或者项目负责人报告；接到报告的人员应配合项目方及时予以处理。</w:t>
            </w:r>
          </w:p>
          <w:p w14:paraId="7D34981F">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18.不得聚众到项目部、公司闹事，有需要解决的事情必须通过班组长或代表向项目部负责人反映或沟通、解决。</w:t>
            </w:r>
          </w:p>
          <w:p w14:paraId="7E7F3DCD">
            <w:pPr>
              <w:pStyle w:val="5"/>
              <w:pageBreakBefore w:val="0"/>
              <w:kinsoku/>
              <w:overflowPunct/>
              <w:topLinePunct w:val="0"/>
              <w:autoSpaceDE/>
              <w:autoSpaceDN/>
              <w:bidi w:val="0"/>
              <w:spacing w:before="0" w:beforeLines="0" w:beforeAutospacing="0" w:after="0" w:afterLines="0" w:afterAutospacing="0" w:line="540" w:lineRule="exact"/>
              <w:ind w:left="0" w:leftChars="0" w:firstLine="56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19.严格执行项目部分包人员违章退场机制，如本人不服从管理，或存在经项目部判定为严重违章行为的，项目部可将本人清退出场。</w:t>
            </w:r>
          </w:p>
          <w:p w14:paraId="1D87549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对于以上承诺，本人已接受过南宁轨道地产建筑工程有限责任公司对本人岗位的安全教育，并熟知安全承诺书内容，愿认真执行，如违反本承诺，愿承担相应责任，并无条件立即退出该项目施工作业。</w:t>
            </w:r>
          </w:p>
          <w:p w14:paraId="62C5411B">
            <w:pPr>
              <w:pageBreakBefore w:val="0"/>
              <w:kinsoku/>
              <w:overflowPunct/>
              <w:topLinePunct w:val="0"/>
              <w:autoSpaceDE/>
              <w:autoSpaceDN/>
              <w:bidi w:val="0"/>
              <w:spacing w:beforeAutospacing="0" w:afterAutospacing="0" w:line="540" w:lineRule="exact"/>
              <w:ind w:left="0" w:leftChars="0" w:firstLine="559" w:firstLineChars="232"/>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color w:val="auto"/>
                <w:sz w:val="24"/>
                <w:szCs w:val="24"/>
                <w:highlight w:val="none"/>
              </w:rPr>
              <w:t>承诺人员签字、手印：</w:t>
            </w:r>
          </w:p>
          <w:p w14:paraId="6EAD7E90">
            <w:pPr>
              <w:pStyle w:val="16"/>
              <w:pageBreakBefore w:val="0"/>
              <w:widowControl/>
              <w:shd w:val="clear" w:color="auto" w:fill="FFFFFF"/>
              <w:kinsoku/>
              <w:overflowPunct/>
              <w:topLinePunct w:val="0"/>
              <w:autoSpaceDE/>
              <w:autoSpaceDN/>
              <w:bidi w:val="0"/>
              <w:spacing w:before="0" w:beforeAutospacing="0" w:after="0" w:afterAutospacing="0" w:line="540" w:lineRule="exact"/>
              <w:rPr>
                <w:rFonts w:hint="eastAsia" w:ascii="方正仿宋_GB2312" w:hAnsi="方正仿宋_GB2312" w:eastAsia="方正仿宋_GB2312" w:cs="方正仿宋_GB2312"/>
                <w:color w:val="auto"/>
                <w:sz w:val="24"/>
                <w:szCs w:val="24"/>
                <w:highlight w:val="none"/>
              </w:rPr>
            </w:pPr>
          </w:p>
        </w:tc>
      </w:tr>
    </w:tbl>
    <w:p w14:paraId="52A79E52">
      <w:pPr>
        <w:pStyle w:val="37"/>
        <w:pageBreakBefore w:val="0"/>
        <w:kinsoku/>
        <w:overflowPunct/>
        <w:topLinePunct w:val="0"/>
        <w:autoSpaceDE/>
        <w:autoSpaceDN/>
        <w:bidi w:val="0"/>
        <w:spacing w:beforeAutospacing="0" w:afterAutospacing="0" w:line="540" w:lineRule="exact"/>
        <w:jc w:val="both"/>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合同附件三： 无欠薪承诺书</w:t>
      </w:r>
    </w:p>
    <w:p w14:paraId="40B5459C">
      <w:pPr>
        <w:pageBreakBefore w:val="0"/>
        <w:kinsoku/>
        <w:overflowPunct/>
        <w:topLinePunct w:val="0"/>
        <w:autoSpaceDE/>
        <w:autoSpaceDN/>
        <w:bidi w:val="0"/>
        <w:adjustRightInd/>
        <w:spacing w:beforeAutospacing="0" w:afterAutospacing="0" w:line="540" w:lineRule="exact"/>
        <w:ind w:left="0" w:leftChars="0"/>
        <w:jc w:val="center"/>
        <w:textAlignment w:val="auto"/>
        <w:rPr>
          <w:rFonts w:hint="eastAsia" w:ascii="方正仿宋_GB2312" w:hAnsi="方正仿宋_GB2312" w:eastAsia="方正仿宋_GB2312" w:cs="方正仿宋_GB2312"/>
          <w:b/>
          <w:bCs/>
          <w:color w:val="auto"/>
          <w:kern w:val="2"/>
          <w:sz w:val="24"/>
          <w:szCs w:val="24"/>
          <w:highlight w:val="none"/>
        </w:rPr>
      </w:pPr>
      <w:r>
        <w:rPr>
          <w:rFonts w:hint="eastAsia" w:ascii="方正仿宋_GB2312" w:hAnsi="方正仿宋_GB2312" w:eastAsia="方正仿宋_GB2312" w:cs="方正仿宋_GB2312"/>
          <w:b/>
          <w:bCs/>
          <w:color w:val="auto"/>
          <w:kern w:val="2"/>
          <w:sz w:val="24"/>
          <w:szCs w:val="24"/>
          <w:highlight w:val="none"/>
        </w:rPr>
        <w:t>无欠薪承诺书</w:t>
      </w:r>
    </w:p>
    <w:p w14:paraId="1861C1DC">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项目名称：</w:t>
      </w:r>
    </w:p>
    <w:p w14:paraId="1EBC13C6">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项目地址：</w:t>
      </w:r>
    </w:p>
    <w:p w14:paraId="4299CEA9">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p>
    <w:p w14:paraId="09CAC4F8">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南宁轨道地产建筑工程有限责任公司：</w:t>
      </w:r>
    </w:p>
    <w:p w14:paraId="57DB6816">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为切实维护施工工人合法权益，规范工程建设领域劳动用工和工资支付行为，就</w:t>
      </w:r>
      <w:r>
        <w:rPr>
          <w:rFonts w:hint="eastAsia" w:ascii="方正仿宋_GB2312" w:hAnsi="方正仿宋_GB2312" w:eastAsia="方正仿宋_GB2312" w:cs="方正仿宋_GB2312"/>
          <w:color w:val="auto"/>
          <w:kern w:val="2"/>
          <w:sz w:val="24"/>
          <w:szCs w:val="24"/>
          <w:highlight w:val="none"/>
          <w:u w:val="single"/>
        </w:rPr>
        <w:t xml:space="preserve">       </w:t>
      </w:r>
      <w:r>
        <w:rPr>
          <w:rFonts w:hint="eastAsia" w:ascii="方正仿宋_GB2312" w:hAnsi="方正仿宋_GB2312" w:eastAsia="方正仿宋_GB2312" w:cs="方正仿宋_GB2312"/>
          <w:color w:val="auto"/>
          <w:kern w:val="2"/>
          <w:sz w:val="24"/>
          <w:szCs w:val="24"/>
          <w:highlight w:val="none"/>
        </w:rPr>
        <w:t>项目根治欠薪工作承诺如下：</w:t>
      </w:r>
    </w:p>
    <w:p w14:paraId="4901708C">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一、依法与招用的农民工先签订劳务合同后进场施工；在施工现场如实建立所有施工人员花名册、考勤册、工资册等实名管理台账，记录施工人员姓名、身份证号码、教育培训、劳动考勤、工资结算等信息。</w:t>
      </w:r>
    </w:p>
    <w:p w14:paraId="53EAD8DF">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二、按时足额将本工程项目农民工工资直接划入施工工人个人工资账户，不以任何理由拖欠工资，确保无欠薪。</w:t>
      </w:r>
    </w:p>
    <w:p w14:paraId="43ECA46E">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三、不发生因拖欠农民工工资引发的群体性事件；不发生因拖欠农民工工资引发的极端事件。</w:t>
      </w:r>
    </w:p>
    <w:p w14:paraId="50317644">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四、主动接受、配合行业主管部门和劳动保障监察执法机构的监督检查、对工资支付违法行为的处理处罚，积极配合有关部门对欠薪投诉举报、信访、群体性事件、极端事件的调查处置。自愿接受有关部门根据劳动保障守法诚信等级评价、重大劳动保障违法行为社会公布、拖欠农民工工资“黑名单”、建筑市场“黑名单”等管理政策开展的对欠薪失信行为的监管和联合惩戒。</w:t>
      </w:r>
    </w:p>
    <w:p w14:paraId="18930835">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四、若发生拖欠或克扣农民工工资行为，造成上访投诉或群体性事件，我公司愿意接受相关部门依照有关规定作出的处理和处罚决定。</w:t>
      </w:r>
    </w:p>
    <w:p w14:paraId="36A02E24">
      <w:pPr>
        <w:pageBreakBefore w:val="0"/>
        <w:kinsoku/>
        <w:overflowPunct/>
        <w:topLinePunct w:val="0"/>
        <w:autoSpaceDE/>
        <w:autoSpaceDN/>
        <w:bidi w:val="0"/>
        <w:adjustRightInd/>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 xml:space="preserve">                       专业分包企业（公章）： </w:t>
      </w:r>
    </w:p>
    <w:p w14:paraId="4FF68A2D">
      <w:pPr>
        <w:pageBreakBefore w:val="0"/>
        <w:kinsoku/>
        <w:overflowPunct/>
        <w:topLinePunct w:val="0"/>
        <w:autoSpaceDE/>
        <w:autoSpaceDN/>
        <w:bidi w:val="0"/>
        <w:adjustRightInd/>
        <w:spacing w:beforeAutospacing="0" w:afterAutospacing="0" w:line="540" w:lineRule="exact"/>
        <w:ind w:left="0" w:leftChars="0" w:firstLine="480" w:firstLineChars="200"/>
        <w:jc w:val="left"/>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 xml:space="preserve">                                 法定代表人： </w:t>
      </w:r>
    </w:p>
    <w:p w14:paraId="25A84343">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年   月   日</w:t>
      </w:r>
    </w:p>
    <w:p w14:paraId="3CBE76C6">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合同附件四：工程建设项目廉政责任书</w:t>
      </w:r>
    </w:p>
    <w:p w14:paraId="1A16DEE8">
      <w:pPr>
        <w:pageBreakBefore w:val="0"/>
        <w:tabs>
          <w:tab w:val="left" w:pos="640"/>
        </w:tabs>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工程建设项目廉政责任书</w:t>
      </w:r>
    </w:p>
    <w:p w14:paraId="66D70D6C">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1B0085CA">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工程项目名称：</w:t>
      </w:r>
    </w:p>
    <w:p w14:paraId="3B136861">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工程项目地址：</w:t>
      </w:r>
      <w:r>
        <w:rPr>
          <w:rFonts w:hint="eastAsia" w:ascii="方正仿宋_GB2312" w:hAnsi="方正仿宋_GB2312" w:eastAsia="方正仿宋_GB2312" w:cs="方正仿宋_GB2312"/>
          <w:color w:val="auto"/>
          <w:sz w:val="24"/>
          <w:szCs w:val="24"/>
          <w:highlight w:val="none"/>
          <w:lang w:val="en-US" w:eastAsia="zh-CN"/>
        </w:rPr>
        <w:t xml:space="preserve"> </w:t>
      </w:r>
    </w:p>
    <w:p w14:paraId="732C6699">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w:t>
      </w:r>
    </w:p>
    <w:p w14:paraId="2B966997">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w:t>
      </w:r>
    </w:p>
    <w:p w14:paraId="0C284984">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54A326B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第一条  甲乙双方的责任</w:t>
      </w:r>
    </w:p>
    <w:p w14:paraId="0BBCAD1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（一）应严格遵守国家关于市场准入、项目招标投标、工程建设、施工安装和市场活动等有关法律法规、相关政策，以及廉政建设的各项规定。</w:t>
      </w:r>
    </w:p>
    <w:p w14:paraId="35EE8A3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（二）严格执行建设工程项目承发包合同文件，自觉按合同办事。</w:t>
      </w:r>
    </w:p>
    <w:p w14:paraId="345EA786">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4F18266C">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1015AA25">
      <w:pPr>
        <w:pageBreakBefore w:val="0"/>
        <w:tabs>
          <w:tab w:val="left" w:pos="640"/>
        </w:tabs>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第二条  甲方的责任</w:t>
      </w:r>
    </w:p>
    <w:p w14:paraId="6EFDC36E">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甲方及甲方相关工作人员，在工程建设的事前、事中、事后应遵守以下规定：</w:t>
      </w:r>
    </w:p>
    <w:p w14:paraId="712BD136">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（一）不准向乙方和相关单位索要或接受回扣、礼金、有价证券、贵重物品和好处费、感谢费等。</w:t>
      </w:r>
    </w:p>
    <w:p w14:paraId="47ECBDF4">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不准以任何理由向乙方和相关单位无偿或以明显低于市场价格借用房屋、车辆、金钱或其他贵重物品等。</w:t>
      </w:r>
    </w:p>
    <w:p w14:paraId="60BFC141">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（二）不准在乙方和相关单位报销任何应由甲方或个人支付的费用。</w:t>
      </w:r>
    </w:p>
    <w:p w14:paraId="69DEFBC4">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（三）不准要求、暗示或接受乙方和相关单位为个人装修住房、婚丧嫁娶、配偶子女的工作安排以及出国（境）、旅游等提供方便。</w:t>
      </w:r>
    </w:p>
    <w:p w14:paraId="0133CA0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（四）不准参加乙方和相关单位安排的有可能影响公正执行工作任务的宴请和健身、娱乐等活动。</w:t>
      </w:r>
    </w:p>
    <w:p w14:paraId="79D1A2E1">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（五）不准向乙方介绍或为配偶、子女、亲属介绍参与同甲方工程项目工程</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有关的设备和材料采购、工程和劳务分包等经济活动。不得以任何理由向乙方和相关单位推荐分包单位和要求乙方购买项目工程</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规定以外的材料、设备等。</w:t>
      </w:r>
    </w:p>
    <w:p w14:paraId="52BD81A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第三条  乙方的责任</w:t>
      </w:r>
    </w:p>
    <w:p w14:paraId="1C23C69F">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1E8A6937">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（一）不准以任何理由向甲方、相关单位及其工作人员赠送礼金、有价证券、贵重物品及回扣、好处费、感谢费等。</w:t>
      </w:r>
    </w:p>
    <w:p w14:paraId="0B797F10">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不准以任何理由向甲方、相关单位及其工作人员无偿或以明显低于市场价格出借房屋、车辆、金钱或其他贵重物品等。</w:t>
      </w:r>
    </w:p>
    <w:p w14:paraId="6E6FA99D">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（二）不准以任何理由为甲方和相关单位及其工作人员报销应由甲方或个人支付的费用。</w:t>
      </w:r>
    </w:p>
    <w:p w14:paraId="099B9407">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（三）不准明示或暗示为甲方、相关单位或个人装修住房、婚丧嫁娶、配偶子女的工作安排以及出国（境）、旅游等提供方便。</w:t>
      </w:r>
    </w:p>
    <w:p w14:paraId="5786ECE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（四）不准以任何理由为甲方、相关单位或个人组织安排有可能影响公正执行工作任务的宴请、健身、娱乐等活动。</w:t>
      </w:r>
    </w:p>
    <w:p w14:paraId="596B4AC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（五）乙方（民企或个体）接受甲方监管单位的监管、监督执行。</w:t>
      </w:r>
    </w:p>
    <w:p w14:paraId="75601745">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第四条  违约责任</w:t>
      </w:r>
    </w:p>
    <w:p w14:paraId="59DE2C0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490253D1">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3CE6C209">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第五条  本责任书经双方法定代表人或授权代表签字并加盖双方单位公章后立即生效。</w:t>
      </w:r>
    </w:p>
    <w:p w14:paraId="3294CBE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第六条  本责任书的有效期为双方签署之日起至该工程项目竣工验收合格时止。</w:t>
      </w:r>
    </w:p>
    <w:p w14:paraId="7CC27C58">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第七条  本责任书一式四份，由甲乙双方各执一份，送交甲乙双方的监督单位各一份。</w:t>
      </w:r>
    </w:p>
    <w:p w14:paraId="11DDD5CD">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05A8F10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2C6C4EB7">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甲方单位：（盖章）           乙方单位：（盖章）</w:t>
      </w:r>
    </w:p>
    <w:p w14:paraId="3276435C">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2A8605A6">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03AFE34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法定代表人或                  法定代表人或</w:t>
      </w:r>
    </w:p>
    <w:p w14:paraId="54B212AC">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授权代表（签字）：             授权代表（签字）：</w:t>
      </w:r>
    </w:p>
    <w:p w14:paraId="198DEE6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w:t>
      </w:r>
    </w:p>
    <w:p w14:paraId="76B91636">
      <w:pPr>
        <w:pageBreakBefore w:val="0"/>
        <w:tabs>
          <w:tab w:val="left" w:pos="640"/>
        </w:tabs>
        <w:kinsoku/>
        <w:overflowPunct/>
        <w:topLinePunct w:val="0"/>
        <w:autoSpaceDE/>
        <w:autoSpaceDN/>
        <w:bidi w:val="0"/>
        <w:spacing w:beforeAutospacing="0" w:afterAutospacing="0" w:line="540" w:lineRule="exact"/>
        <w:ind w:left="0" w:leftChars="0" w:firstLine="960" w:firstLineChars="4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年   月   日                  年   月   日</w:t>
      </w:r>
    </w:p>
    <w:p w14:paraId="6F5075C3">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428EF7A0">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合同附件五：对乙方的要求及配合事项</w:t>
      </w:r>
    </w:p>
    <w:p w14:paraId="35BBD0C7">
      <w:pPr>
        <w:pStyle w:val="37"/>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一、 乙方文件</w:t>
      </w:r>
    </w:p>
    <w:p w14:paraId="0A75E89D">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需要由乙方提供的文件，包括但不限于：施工组织设计方案等；</w:t>
      </w:r>
    </w:p>
    <w:p w14:paraId="6415F2B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乙方提供的文件的期限为：开工前3天；</w:t>
      </w:r>
    </w:p>
    <w:p w14:paraId="5B7C5B9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乙方提供的文件的数量为：一式5份 ；</w:t>
      </w:r>
    </w:p>
    <w:p w14:paraId="508BDBF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乙方提供的文件的形式为：纸质5份+电子版1份，纸质版本与电子版本同时提供；</w:t>
      </w:r>
    </w:p>
    <w:p w14:paraId="6587F7FC">
      <w:pPr>
        <w:pStyle w:val="37"/>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二、 交通运输</w:t>
      </w:r>
    </w:p>
    <w:p w14:paraId="1E16B1D6">
      <w:pPr>
        <w:pStyle w:val="37"/>
        <w:pageBreakBefore w:val="0"/>
        <w:kinsoku/>
        <w:overflowPunct/>
        <w:topLinePunct w:val="0"/>
        <w:autoSpaceDE/>
        <w:autoSpaceDN/>
        <w:bidi w:val="0"/>
        <w:spacing w:beforeAutospacing="0" w:afterAutospacing="0" w:line="540" w:lineRule="exact"/>
        <w:ind w:left="0" w:leftChars="0" w:firstLine="480" w:firstLineChars="200"/>
        <w:outlineLvl w:val="4"/>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（一）出入现场的权利</w:t>
      </w:r>
    </w:p>
    <w:p w14:paraId="213BC59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关于出入现场的权利的约定：由乙方按甲方要求负责取得出入施工现场所需的批准手续和全部权利，以及取得因施工所需修建道路、桥梁以及其他基础设施的权利，相关手续费用和建设费用甲方不再额外支付。</w:t>
      </w:r>
    </w:p>
    <w:p w14:paraId="65666B9F">
      <w:pPr>
        <w:pStyle w:val="37"/>
        <w:keepNext/>
        <w:keepLines/>
        <w:pageBreakBefore w:val="0"/>
        <w:kinsoku/>
        <w:overflowPunct/>
        <w:topLinePunct w:val="0"/>
        <w:autoSpaceDE/>
        <w:autoSpaceDN/>
        <w:bidi w:val="0"/>
        <w:spacing w:beforeAutospacing="0" w:afterAutospacing="0" w:line="540" w:lineRule="exact"/>
        <w:ind w:left="0" w:leftChars="0" w:firstLine="480"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color w:val="auto"/>
          <w:sz w:val="24"/>
          <w:szCs w:val="24"/>
          <w:highlight w:val="none"/>
        </w:rPr>
        <w:t>（二） 场内交通</w:t>
      </w:r>
    </w:p>
    <w:p w14:paraId="0E4884E7">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关于场外交通和场内交通的边界的约定：</w:t>
      </w:r>
      <w:r>
        <w:rPr>
          <w:rFonts w:hint="eastAsia" w:ascii="方正仿宋_GB2312" w:hAnsi="方正仿宋_GB2312" w:eastAsia="方正仿宋_GB2312" w:cs="方正仿宋_GB2312"/>
          <w:color w:val="auto"/>
          <w:sz w:val="24"/>
          <w:szCs w:val="24"/>
          <w:highlight w:val="none"/>
        </w:rPr>
        <w:t>项目用地红线为界。</w:t>
      </w:r>
    </w:p>
    <w:p w14:paraId="207B3EB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关于甲方向乙方提供满足工程施工需要的场内道路和交通设施的约定：由乙方根据施工现场实际情况自行考虑，费用自理。  </w:t>
      </w:r>
    </w:p>
    <w:p w14:paraId="736D3F7B">
      <w:pPr>
        <w:pStyle w:val="37"/>
        <w:pageBreakBefore w:val="0"/>
        <w:kinsoku/>
        <w:overflowPunct/>
        <w:topLinePunct w:val="0"/>
        <w:autoSpaceDE/>
        <w:autoSpaceDN/>
        <w:bidi w:val="0"/>
        <w:spacing w:beforeAutospacing="0" w:afterAutospacing="0" w:line="540" w:lineRule="exact"/>
        <w:ind w:left="0" w:leftChars="0" w:firstLine="480" w:firstLineChars="200"/>
        <w:jc w:val="left"/>
        <w:outlineLvl w:val="4"/>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（三）超大件和超重件的运输</w:t>
      </w:r>
    </w:p>
    <w:p w14:paraId="419A3CBB">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运输超大件或超重件所需的道路和桥梁临时加固改造费用和其他有关费用由乙方承担。</w:t>
      </w:r>
    </w:p>
    <w:p w14:paraId="10AE584E">
      <w:pPr>
        <w:pStyle w:val="37"/>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3" w:name="_Toc373743618"/>
      <w:bookmarkStart w:id="804" w:name="_Toc406360303"/>
      <w:r>
        <w:rPr>
          <w:rFonts w:hint="eastAsia" w:ascii="方正仿宋_GB2312" w:hAnsi="方正仿宋_GB2312" w:eastAsia="方正仿宋_GB2312" w:cs="方正仿宋_GB2312"/>
          <w:b/>
          <w:bCs/>
          <w:color w:val="auto"/>
          <w:kern w:val="44"/>
          <w:sz w:val="24"/>
          <w:szCs w:val="24"/>
          <w:highlight w:val="none"/>
        </w:rPr>
        <w:t>三、工程量清单错误的修正</w:t>
      </w:r>
      <w:bookmarkEnd w:id="803"/>
      <w:bookmarkEnd w:id="804"/>
    </w:p>
    <w:p w14:paraId="0135BC8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出现工程量清单错误时，是否调整合同价格：可调整，但乙方认为工程量清单缺项、漏项的，需要在合同签订后15天内以书面形式提出，并提交给甲方，否则视为工程量清单无误，合同价格不予调整。</w:t>
      </w:r>
    </w:p>
    <w:p w14:paraId="5F264E7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因工程量清单缺项、漏项导致的工期变化均不允许调整总工期及节点工期。</w:t>
      </w:r>
    </w:p>
    <w:p w14:paraId="47631DE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工程量清单中的缺项、漏项均为乙方的必要工作，乙方需无条件执行。无论工程量清单项目中的工程量变化多少均不调整合同清单单价</w:t>
      </w:r>
      <w:r>
        <w:rPr>
          <w:rFonts w:hint="eastAsia" w:ascii="方正仿宋_GB2312" w:hAnsi="方正仿宋_GB2312" w:eastAsia="方正仿宋_GB2312" w:cs="方正仿宋_GB2312"/>
          <w:color w:val="auto"/>
          <w:kern w:val="0"/>
          <w:sz w:val="24"/>
          <w:szCs w:val="24"/>
          <w:highlight w:val="none"/>
        </w:rPr>
        <w:t>。</w:t>
      </w:r>
    </w:p>
    <w:p w14:paraId="6E868DCC">
      <w:pPr>
        <w:pStyle w:val="37"/>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5" w:name="_Toc406360309"/>
      <w:bookmarkStart w:id="806" w:name="_Toc373743624"/>
      <w:r>
        <w:rPr>
          <w:rFonts w:hint="eastAsia" w:ascii="方正仿宋_GB2312" w:hAnsi="方正仿宋_GB2312" w:eastAsia="方正仿宋_GB2312" w:cs="方正仿宋_GB2312"/>
          <w:b/>
          <w:bCs/>
          <w:color w:val="auto"/>
          <w:kern w:val="44"/>
          <w:sz w:val="24"/>
          <w:szCs w:val="24"/>
          <w:highlight w:val="none"/>
        </w:rPr>
        <w:t>四、乙方的一般义务</w:t>
      </w:r>
      <w:bookmarkEnd w:id="805"/>
      <w:bookmarkEnd w:id="806"/>
    </w:p>
    <w:p w14:paraId="79470C04">
      <w:pPr>
        <w:pStyle w:val="37"/>
        <w:pageBreakBefore w:val="0"/>
        <w:kinsoku/>
        <w:overflowPunct/>
        <w:topLinePunct w:val="0"/>
        <w:autoSpaceDE/>
        <w:autoSpaceDN/>
        <w:bidi w:val="0"/>
        <w:spacing w:beforeAutospacing="0" w:afterAutospacing="0" w:line="540" w:lineRule="exact"/>
        <w:ind w:left="240" w:leftChars="0" w:hanging="240" w:hangingChars="1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（1）</w:t>
      </w:r>
      <w:r>
        <w:rPr>
          <w:rFonts w:hint="eastAsia" w:ascii="方正仿宋_GB2312" w:hAnsi="方正仿宋_GB2312" w:eastAsia="方正仿宋_GB2312" w:cs="方正仿宋_GB2312"/>
          <w:color w:val="auto"/>
          <w:sz w:val="24"/>
          <w:szCs w:val="24"/>
          <w:highlight w:val="none"/>
        </w:rPr>
        <w:t>竣工结算审核</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①结算方式：按甲方与乙方共同确认的乙方实际完成工程量乘以中标的</w:t>
      </w:r>
    </w:p>
    <w:p w14:paraId="1972184F">
      <w:pPr>
        <w:pStyle w:val="37"/>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固定综合单价进行结算。</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②乙方提交结算资料时间：工程完工后20天内，乙方提交四套完整的竣工</w:t>
      </w:r>
    </w:p>
    <w:p w14:paraId="0528F6A5">
      <w:pPr>
        <w:pStyle w:val="37"/>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结算资料给甲方项目部进行审核（包括但不限于完整合格的竣工图、完整合格的</w:t>
      </w:r>
    </w:p>
    <w:p w14:paraId="3605880A">
      <w:pPr>
        <w:pStyle w:val="37"/>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签证单及原始记录、工期汇总说明、水电费用缴清收据、罚款单缴清证明等，具</w:t>
      </w:r>
    </w:p>
    <w:p w14:paraId="2B0EB451">
      <w:pPr>
        <w:pStyle w:val="37"/>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体以甲方实际要求为准），甲方审核过程如需修改或补充资料，乙方必须无条件</w:t>
      </w:r>
    </w:p>
    <w:p w14:paraId="4874B18E">
      <w:pPr>
        <w:pStyle w:val="37"/>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按照甲方要求时限修改及提供合格的相关资料。</w:t>
      </w:r>
    </w:p>
    <w:p w14:paraId="3D126B50">
      <w:pPr>
        <w:pStyle w:val="37"/>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③若乙方不按时向甲方项目部提交结算资料，每逾期一天应按本合同暂定</w:t>
      </w:r>
    </w:p>
    <w:p w14:paraId="4B31AC6E">
      <w:pPr>
        <w:pStyle w:val="37"/>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总价款的万分之五向甲方支付违约金，因此造成甲方损失的，乙方还应负责赔偿；逾期超过20天的，甲方有权根据自行搜集的资料单方进行结算。如乙方超过上述期限其仍未提交完整且合格的结算资料的，甲方有权根据乙方提供的不完整的结算资料进行结算（逾期提供的资料不再列入结算范围），</w:t>
      </w:r>
      <w:r>
        <w:rPr>
          <w:rFonts w:hint="eastAsia" w:ascii="方正仿宋_GB2312" w:hAnsi="方正仿宋_GB2312" w:eastAsia="方正仿宋_GB2312" w:cs="方正仿宋_GB2312"/>
          <w:color w:val="auto"/>
          <w:sz w:val="24"/>
          <w:szCs w:val="24"/>
          <w:highlight w:val="none"/>
          <w:lang w:eastAsia="zh-CN"/>
        </w:rPr>
        <w:t>依次</w:t>
      </w:r>
      <w:r>
        <w:rPr>
          <w:rFonts w:hint="eastAsia" w:ascii="方正仿宋_GB2312" w:hAnsi="方正仿宋_GB2312" w:eastAsia="方正仿宋_GB2312" w:cs="方正仿宋_GB2312"/>
          <w:color w:val="auto"/>
          <w:sz w:val="24"/>
          <w:szCs w:val="24"/>
          <w:highlight w:val="none"/>
        </w:rPr>
        <w:t>结算的数据即为工程最终的结算结果，乙方应予以认可并无条件配合甲方办理工程竣工后的一切手续。</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④甲方在收到乙方的竣工结算资料后，在审核过程中向乙方提出审核意见的，乙方收到甲方的审核意见后有异议的，应在5天内向甲方书面反馈并进行核对；若乙方收到甲方的审核意见后5天内不向甲方提出书面反馈并开始核对的，则视为乙方已经确认甲方的结算审核意见。</w:t>
      </w:r>
    </w:p>
    <w:p w14:paraId="472356AE">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⑤如乙方在上述期限内与甲方进行核对的，应在开始核对之日起20天内完成核对并签字盖章；如在20天内未能完成核对的，甲方有权根据资料单方进行结算，该单方结算的数据即为工程最终的结算结果，乙方应予以认可并无条件配合甲方办理工程竣工后的一切手续，否则乙方应按甲方单方结算造价的5%向甲方支付违约金。</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⑥核对过程中，乙方可以增加证明结算金额合理性的依据性结算资料，但不能因为增加送审资料而调整上报金额，送审结算书中若有遗漏项目均作为让利给甲方，不作增加调整。</w:t>
      </w:r>
    </w:p>
    <w:p w14:paraId="59F727BF">
      <w:pPr>
        <w:pStyle w:val="37"/>
        <w:pageBreakBefore w:val="0"/>
        <w:kinsoku/>
        <w:overflowPunct/>
        <w:topLinePunct w:val="0"/>
        <w:autoSpaceDE/>
        <w:autoSpaceDN/>
        <w:bidi w:val="0"/>
        <w:spacing w:beforeAutospacing="0" w:afterAutospacing="0" w:line="540" w:lineRule="exact"/>
        <w:ind w:left="0" w:leftChars="0" w:firstLine="480" w:firstLineChars="200"/>
        <w:outlineLvl w:val="4"/>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（2）乙方应履行的其他义务：</w:t>
      </w:r>
    </w:p>
    <w:p w14:paraId="197DA08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①施工场地周围地下管线和邻近建筑物、构筑物（含文物保护建筑）、古树名木的保护要求及费用承担：乙方施工时应探明并负责保护，因此产生的费用由乙方承担。施工时如损坏地下管线、邻近建筑物、构筑物，所发生费用由乙方承担。</w:t>
      </w:r>
    </w:p>
    <w:p w14:paraId="64FDB0A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sz w:val="24"/>
          <w:szCs w:val="24"/>
          <w:highlight w:val="none"/>
        </w:rPr>
        <w:t>取土场及弃土场由乙方自行解决，但不得违反相关管理规定，并由乙方承担相关费用。</w:t>
      </w:r>
    </w:p>
    <w:p w14:paraId="105C909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③乙方要配合甲方的赶工要求，且不能以此为由要求增加包括但不限于赶工费等一切费用。</w:t>
      </w:r>
    </w:p>
    <w:p w14:paraId="08725F3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Cs/>
          <w:color w:val="auto"/>
          <w:sz w:val="24"/>
          <w:szCs w:val="24"/>
          <w:highlight w:val="none"/>
        </w:rPr>
        <w:t>④</w:t>
      </w:r>
      <w:r>
        <w:rPr>
          <w:rFonts w:hint="eastAsia" w:ascii="方正仿宋_GB2312" w:hAnsi="方正仿宋_GB2312" w:eastAsia="方正仿宋_GB2312" w:cs="方正仿宋_GB2312"/>
          <w:color w:val="auto"/>
          <w:sz w:val="24"/>
          <w:szCs w:val="24"/>
          <w:highlight w:val="none"/>
        </w:rPr>
        <w:t>应提供计划、报表的名称及完成时间：乙方开工前3天提供符合甲方工期要求的整体进度计划，并在施工工程中每周日向甲方提供上一周工程进度报表、下一周进度计划（必须符合总体进度计划要求）以及赶工措施各一式两份，否则甲方可暂停支付工程款直至乙方提供报表、进度表、赶工措施为止，且甲方无需承担逾期付款的违约责任。</w:t>
      </w:r>
    </w:p>
    <w:p w14:paraId="20A1869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⑤承担施工安全保卫工作及施工照明的责任和要求：乙方应采取一切合理的预防措施，防止人员伤亡、财产损失事故，费用由乙方承担。</w:t>
      </w:r>
    </w:p>
    <w:p w14:paraId="4432D23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⑥</w:t>
      </w:r>
      <w:r>
        <w:rPr>
          <w:rFonts w:hint="eastAsia" w:ascii="方正仿宋_GB2312" w:hAnsi="方正仿宋_GB2312" w:eastAsia="方正仿宋_GB2312" w:cs="方正仿宋_GB2312"/>
          <w:color w:val="auto"/>
          <w:sz w:val="24"/>
          <w:szCs w:val="24"/>
          <w:highlight w:val="none"/>
        </w:rPr>
        <w:t>现场办公和生活房屋及设施的要求：合同签订后3天内，乙方必须在现场设立</w:t>
      </w:r>
      <w:r>
        <w:rPr>
          <w:rFonts w:hint="eastAsia" w:ascii="方正仿宋_GB2312" w:hAnsi="方正仿宋_GB2312" w:eastAsia="方正仿宋_GB2312" w:cs="方正仿宋_GB2312"/>
          <w:bCs/>
          <w:color w:val="auto"/>
          <w:sz w:val="24"/>
          <w:szCs w:val="24"/>
          <w:highlight w:val="none"/>
        </w:rPr>
        <w:t>临时办公场所（选定的场所必须经甲方同意），按合同要求配置相关管理团队人员（专职），以及为完成合同内容需要配备的施工及管理工具，包括但不限于GPS、水平仪、全站仪等。</w:t>
      </w:r>
    </w:p>
    <w:p w14:paraId="5E5540D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⑦需乙方办理的有关施工场地交通、环卫和施工噪音管理等手续：由乙方办理和负责承担费用。</w:t>
      </w:r>
    </w:p>
    <w:p w14:paraId="4373A91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⑧已完工工程成品保护的特殊要求及费用承担：</w:t>
      </w:r>
      <w:r>
        <w:rPr>
          <w:rFonts w:hint="eastAsia" w:ascii="方正仿宋_GB2312" w:hAnsi="方正仿宋_GB2312" w:eastAsia="方正仿宋_GB2312" w:cs="方正仿宋_GB2312"/>
          <w:bCs/>
          <w:color w:val="auto"/>
          <w:sz w:val="24"/>
          <w:szCs w:val="24"/>
          <w:highlight w:val="none"/>
        </w:rPr>
        <w:t>工程未交付建设单位之前，由乙方负责对工程进行维护并承担费用；若在乙方维护期间发生损坏的，乙方负责出资修复并保证在甲方提出之日起3天内修复完毕，否则应按合同约定承担工期延误的违约责任；工程交付建设单位之后，如仍需乙方对工程进行维护的（乙方合同内质保及养护范围除外），双方另行签订补充协议</w:t>
      </w:r>
      <w:r>
        <w:rPr>
          <w:rFonts w:hint="eastAsia" w:ascii="方正仿宋_GB2312" w:hAnsi="方正仿宋_GB2312" w:eastAsia="方正仿宋_GB2312" w:cs="方正仿宋_GB2312"/>
          <w:color w:val="auto"/>
          <w:sz w:val="24"/>
          <w:szCs w:val="24"/>
          <w:highlight w:val="none"/>
        </w:rPr>
        <w:t>。</w:t>
      </w:r>
    </w:p>
    <w:p w14:paraId="3A510029">
      <w:pPr>
        <w:pStyle w:val="37"/>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⑨施工场地清洁卫生的要求：乙方应确保施工现场及周围环境的清洁、卫生符合法律法规、规章和有关规定的标准。工程交付甲方前应负责拆除、清除施工过程中形成或遗留的临时设施、垃圾等不必要设施、遗留物；如由于施工造成环境污染的，其责任和费用均由乙方承担。工程交付甲方前由乙方对项目进行全面清理，以达到交付要求，费用分摊由乙方与分包商自行协商，达不成一致意见的，按该费用所占合同暂定总价款的比例进行费用分摊。</w:t>
      </w:r>
    </w:p>
    <w:p w14:paraId="78562FB4">
      <w:pPr>
        <w:pStyle w:val="37"/>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⑩乙方应积极配合其他专业分包队伍（包括但不限于管网施工）的交叉施工。为保证工作面施工要求及施工安全要求所采取的措施所发生的费用均由乙方承担。</w:t>
      </w:r>
    </w:p>
    <w:p w14:paraId="7B13363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⑪乙方承建的工程在竣工验收前，如甲方要求乙方对其承建工程以外的已竣工验收并移交给甲方的所有分包项目（包括但不限于管网工程、围墙工程等）进行看管的，乙方应负责接收并承担看管责任。看管费由乙方自行承担。</w:t>
      </w:r>
    </w:p>
    <w:p w14:paraId="14CCDBE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⑫乙方承建的工程竣工并经建设单位五方验收，再经接收单位（包括但不限于建设单位、物业公司、商业公司等）进场验收提出整改意见，乙方完成整改且经甲方及接收单位确认合格后工程方达到交付条件。如甲方要求乙方对该工程进行看管的，则乙方应代甲方看管承建工程及承建工程以外的已竣工验收并移交给甲方的所有分包项目（包括但不限于管网工程、围墙工程等），直至甲方将该工程移交给接收人之日止，看管费由乙方自行承担。</w:t>
      </w:r>
    </w:p>
    <w:p w14:paraId="50A636A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乙方看管承建工程至移交接收单位之日的，乙方应负责将承建工程移交接收单位，签订移交单（一式四份，作为结算资料一部分）。</w:t>
      </w:r>
    </w:p>
    <w:p w14:paraId="2E545B9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在看管维护期间不得将项目成品设施设备（包括但不限于房屋钥匙等）转交第三人使用或保管，如有违约，乙方应按10000元/次向甲方支付违约金；如在乙方看管期间发现无关人员在看管项目内随意进出的，乙方应按10000元/次向甲方支付违约金。</w:t>
      </w:r>
    </w:p>
    <w:p w14:paraId="2AF66856">
      <w:pPr>
        <w:pStyle w:val="39"/>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⑬乙方应积极配合管道燃气施工单位在承包范围内的管道燃气设施建设，提供用水用电服务。燃气施工单位施工期间所需乙方配合的费用已包含在签约合同价中，甲方不再另行支付。</w:t>
      </w:r>
    </w:p>
    <w:p w14:paraId="6FA80D5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⑭</w:t>
      </w:r>
      <w:r>
        <w:rPr>
          <w:rFonts w:hint="eastAsia" w:ascii="方正仿宋_GB2312" w:hAnsi="方正仿宋_GB2312" w:eastAsia="方正仿宋_GB2312" w:cs="方正仿宋_GB2312"/>
          <w:color w:val="auto"/>
          <w:kern w:val="0"/>
          <w:sz w:val="24"/>
          <w:szCs w:val="24"/>
          <w:highlight w:val="none"/>
        </w:rPr>
        <w:t>施工场地、水电运输通道及施工便道的修建和维护、清场、恢复等费用：由乙方承担。</w:t>
      </w:r>
    </w:p>
    <w:p w14:paraId="2063083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⑮</w:t>
      </w:r>
      <w:r>
        <w:rPr>
          <w:rFonts w:hint="eastAsia" w:ascii="方正仿宋_GB2312" w:hAnsi="方正仿宋_GB2312" w:eastAsia="方正仿宋_GB2312" w:cs="方正仿宋_GB2312"/>
          <w:color w:val="auto"/>
          <w:kern w:val="0"/>
          <w:sz w:val="24"/>
          <w:szCs w:val="24"/>
          <w:highlight w:val="none"/>
        </w:rPr>
        <w:t>双方约定乙方应做的其他工作及责任：</w:t>
      </w:r>
    </w:p>
    <w:p w14:paraId="39A222A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配合甲方做好响应政府文件（包括且不限于创建文明城市、创建卫生城市、“两会一节”的围墙广告制作和更换）、安全文明宣传、工地围墙广告的制作安装更换、领导检查、宣传治理“五乱”、清洁乡村等工作，相关费用由乙方承担，甲方不再另行支付。</w:t>
      </w:r>
    </w:p>
    <w:p w14:paraId="47D9199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2）配合甲方做好响应政府文件（包括且不限于中考、高考、“两会一节”、创城创卫、环保督察、异常恶劣天气）等项目停工安排，相关工期乙方已在投标时充分考虑，甲方不再办理工期签证。</w:t>
      </w:r>
    </w:p>
    <w:p w14:paraId="2F7E44B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3）本工程施工场地范围内水、电设施的使用、维护、拆除、恢复等由乙方负责，以上费用乙方已在投标报价中综合考虑且已包括在合同暂定含税总价款中，甲方无需另行向乙方支付。</w:t>
      </w:r>
    </w:p>
    <w:p w14:paraId="728F658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4）乙方的临时占地（含项目部驻地等）租用</w:t>
      </w:r>
      <w:r>
        <w:rPr>
          <w:rFonts w:hint="eastAsia" w:ascii="方正仿宋_GB2312" w:hAnsi="方正仿宋_GB2312" w:eastAsia="方正仿宋_GB2312" w:cs="方正仿宋_GB2312"/>
          <w:color w:val="auto"/>
          <w:kern w:val="0"/>
          <w:sz w:val="24"/>
          <w:szCs w:val="24"/>
          <w:highlight w:val="none"/>
          <w:lang w:eastAsia="zh-CN"/>
        </w:rPr>
        <w:t>费用</w:t>
      </w:r>
      <w:r>
        <w:rPr>
          <w:rFonts w:hint="eastAsia" w:ascii="方正仿宋_GB2312" w:hAnsi="方正仿宋_GB2312" w:eastAsia="方正仿宋_GB2312" w:cs="方正仿宋_GB2312"/>
          <w:color w:val="auto"/>
          <w:kern w:val="0"/>
          <w:sz w:val="24"/>
          <w:szCs w:val="24"/>
          <w:highlight w:val="none"/>
        </w:rPr>
        <w:t>（含拆迁补偿）、临时用地的环保、恢复，以及施工范围内临时性占地的青苗补偿和地面附着物发生的费用均由乙方负责，发生的一切费用已包含在乙方的投标报价中且已包括在合同暂定含税总价款中，甲方亦无需另行向乙方支付。</w:t>
      </w:r>
    </w:p>
    <w:p w14:paraId="74B7CFE8">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5）乙方应按甲方的指示负责拆除拆迁残留基础和构筑物等，清除本工程施工范围的零星拆迁垃圾、杂物以及场地中的树根等，所需费用由乙方承担。</w:t>
      </w:r>
    </w:p>
    <w:p w14:paraId="0682A26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6）乙方应允许交叉施工单位在本合同乙方施工场地上架设施工用电、用水线路，线路走向由甲方会同各方协商确定。</w:t>
      </w:r>
    </w:p>
    <w:p w14:paraId="6CCEE06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充分理解有一些设施（如施工道路）将会由一个以上的施工单位共同使用，如果在使用过程中发生相互干扰，应立即通知甲方代表，并服从甲方代表的决定。如乙方的现场设施（如施工道路）由其他施工单位临时使用导致的工期增加，甲方不予调整合同工期。</w:t>
      </w:r>
    </w:p>
    <w:p w14:paraId="3C43247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8）凡属于需要乙方交付给其他施工单位的工作面以及与其他施工单位交叉作业的工作面，乙方必须服从甲方代表的决定，按规定的完工日期完成并将清理好的工作面移交给相应施工单位。</w:t>
      </w:r>
    </w:p>
    <w:p w14:paraId="42490E2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9）乙方应为甲方代表对施工现场的检查监督提供必要的配合，并对这种配合对施工的影响应有充分地考虑。</w:t>
      </w:r>
    </w:p>
    <w:p w14:paraId="59B8BC7F">
      <w:pPr>
        <w:pStyle w:val="37"/>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kern w:val="0"/>
          <w:sz w:val="24"/>
          <w:szCs w:val="24"/>
          <w:highlight w:val="none"/>
        </w:rPr>
      </w:pPr>
      <w:r>
        <w:rPr>
          <w:rFonts w:hint="eastAsia" w:ascii="方正仿宋_GB2312" w:hAnsi="方正仿宋_GB2312" w:eastAsia="方正仿宋_GB2312" w:cs="方正仿宋_GB2312"/>
          <w:b/>
          <w:color w:val="auto"/>
          <w:kern w:val="0"/>
          <w:sz w:val="24"/>
          <w:szCs w:val="24"/>
          <w:highlight w:val="none"/>
        </w:rPr>
        <w:t>10）上述5）～8）项工作而产生的费用已包括在本合同有关单价和总价中，甲方无须再另行向乙方支付。</w:t>
      </w:r>
    </w:p>
    <w:p w14:paraId="22A7D7B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11）经过城市道路的施工车辆，必须按交警、城管、环保、环卫等部门的规定执行。施工车辆的营运手续办理、清洗等一切费用由乙方承担。由于车辆带泥或洒漏造成的道路、环境等污染，其责任和费用均由乙方承担。</w:t>
      </w:r>
    </w:p>
    <w:p w14:paraId="770CE13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12）土料场（消纳场）由乙方自行解决，并负责按甲方要求的时限提供经检测合格的土料。土石方工程乙方以单项包干价的方式计入投标报价，不再调整。投标时乙方已充分考虑土石方开挖、外运、回填的相关费用（包括运距、弃土场、办理渣土外运证等），甲方不再另行支付。投标时乙方已充分考虑场地内的表土清理及地上、地下建筑拆除后垃圾清运费用，且已包括在合同暂定含税总价款中，甲方不再另行支付。</w:t>
      </w:r>
    </w:p>
    <w:p w14:paraId="0C5204C9">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13）乙方应负责施工场内交通管制和协调通行工作。连接施工场内外道路出口处须设洗车场，对从施工场地进入市区道路的所有车辆进行清洗，并派专人在出口处负责看守，严禁与工程施工无关的人员及车辆进出施工场地。如场内交通由两个以上标段共同通行时，所发生的费用由乙方负责协调有关标段共同承担。如无法协调的，则由乙方负责处理并承担相应费用。如乙方违反以上规定的，由此所造成的一切后果及责任由乙方负责。</w:t>
      </w:r>
    </w:p>
    <w:p w14:paraId="32E7797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14）在合同履行期间，与施工场地有关的临时交通道路（含施工场地与外部公共交通道路连接的临时交通道路）和交通设施的修建、维修、养护和交通管理工作由乙方承担，并由乙方承担一切费用。</w:t>
      </w:r>
    </w:p>
    <w:p w14:paraId="2CB07CE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15）乙方在使用本合同工程所使用的公共道路、水源、公共设施等时，必须保障甲方及其他人的合法权益免受损害，否则由乙方自费维修及赔偿。</w:t>
      </w:r>
    </w:p>
    <w:p w14:paraId="4AC07189">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16）乙方的施工管理区及施工场地应设有临时的污水处理设施和施工排水设施，生活、施工垃圾等应妥当处置，施工材料（如涂料、化学品等）应妥善存放，并设有防雨、防风等措施，由此产生的费用由乙方承担。</w:t>
      </w:r>
    </w:p>
    <w:p w14:paraId="5C31F65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17）乙方在验收合格后 7 天内，必须将乙方自身施工所产生的建筑垃圾、生活垃圾、余土、周转材料、施工机具、设备基座和地下基础、各种临时设施等清运出项目红线外。并负责运至政府指定消纳场，保证项目用地范围内的地面标高达到原地坪标高，甲方不再另行支付费用。如超出上述时间乙方不完成上述工作的，甲方有权安排第三方进行清运，费用由乙方承担，乙方同意甲方从结算工程款中扣除该项款项。乙方确认在签订本合同前已充分了解项目现场，若因项目需要占道施工，甲方配合乙方办理占道手续，产生的占道费用和道路恢复费用由乙方负责。</w:t>
      </w:r>
    </w:p>
    <w:p w14:paraId="0C3175B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18）因乙方原因造成工程停工或因工期延误造成其他损失的，乙方除应按本合同约定向甲方承担违约责任外，还应赔偿甲方所受的直接和间接损失。</w:t>
      </w:r>
    </w:p>
    <w:p w14:paraId="5597655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19）乙方应积极配合甲方办理工程结算、竣工备案等相关手续，否则乙方应按本合同约定向甲方承担违约责任，并对甲方所受损失进行赔偿。</w:t>
      </w:r>
    </w:p>
    <w:p w14:paraId="737BB4D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20）乙方应负责对其施工人员进行管理，并承担由此产生的工资、福利及其他费用，同时应采取预防措施防止其施工人员发生违法或妨碍治安的行为，维护社会治安和保护工程附近的单位或个人财产免遭上述人员行为的破坏，否则由此造成的后果和费用均由乙方承担。</w:t>
      </w:r>
    </w:p>
    <w:p w14:paraId="37B7041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21）乙方应按安全施工管理有关规定配备安全管理机构及合格的安全管理人员，负责处理施工人员的安全保护，防止事故发生。如因乙方原因引发安全事故或事件，造成人员伤亡、财产损失的，一切法律后果及责任由乙方承担。</w:t>
      </w:r>
    </w:p>
    <w:p w14:paraId="3BFA9CC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22）乙方在施工期间应协调好与邻近相关单位（含居民、农民）的关系，避免发生矛盾与冲突，否则由此造成的一切后果及责任由乙方承担。</w:t>
      </w:r>
    </w:p>
    <w:p w14:paraId="0E89938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23）乙方应自行安装独立的水表、电表对其在施工期间所使用的水、电予以计量，并负责对水、电相关设施的保管、维护，若有丢失、损坏的，乙方应负责赔偿及修复；乙方自行加装的水电表均需经甲方工程管理部门同意；同时乙方应每月缴纳双方确认的该工程发生的水、电费用，并分摊甲方总水、电表至乙方分水、电表间的用水、用电损耗（分摊数量按施工期间各施工单位使用的水、电量比例来分摊）和甲方因转售自来水与水务公司销售自来水产生的增值税税费差额，施工水电表的分摊表由甲方按月制作，乙方授权本工程项目经理签字并盖公章确认，并由甲方在乙方的施工进度款中扣回（但乙方仍须向甲方提供全额工程款发票）；该工程全部水电费清单作为工程结算资料附件，乙方应在双方进行工程结算时一并提交甲方。=</w:t>
      </w:r>
    </w:p>
    <w:p w14:paraId="6C9798E9">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24）涉及质量、安全（节能检测、静载试验、门窗三性检测、室内环境检测、防雷检测、消防检测、沉降检测、电水系统联动检测）等所有检测所涉及的费用，由甲方承担。乙方应给予与检测相关的配合工作，相关配合费用综合考虑在投标报价中，且已包括在合同暂定含税总价款中，甲方不再另行支付。</w:t>
      </w:r>
    </w:p>
    <w:p w14:paraId="68A5ED7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25）乙方同意与包括但不限于甲方、总承包单位、监理人、建设单位签订《安全生产管理协议书》。</w:t>
      </w:r>
    </w:p>
    <w:p w14:paraId="6BD3D9D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lang w:val="zh-CN"/>
        </w:rPr>
        <w:t>①乙方为本工程施工现场安全生产的总负责单位，全面负责本工程施工现场的安全生产工作，确保不因工程施工而危及周边建（构）筑物、各种管线、道路交通等公众环境安全及人身财产安全。</w:t>
      </w:r>
    </w:p>
    <w:p w14:paraId="148EB51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kern w:val="0"/>
          <w:sz w:val="24"/>
          <w:szCs w:val="24"/>
          <w:highlight w:val="none"/>
          <w:lang w:val="zh-CN"/>
        </w:rPr>
        <w:t>依据有关规定、本合同及《安全生产管理协议书》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4912582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③本合同</w:t>
      </w:r>
      <w:r>
        <w:rPr>
          <w:rFonts w:hint="eastAsia" w:ascii="方正仿宋_GB2312" w:hAnsi="方正仿宋_GB2312" w:eastAsia="方正仿宋_GB2312" w:cs="方正仿宋_GB2312"/>
          <w:color w:val="auto"/>
          <w:kern w:val="0"/>
          <w:sz w:val="24"/>
          <w:szCs w:val="24"/>
          <w:highlight w:val="none"/>
          <w:lang w:val="zh-CN"/>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0572814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④</w:t>
      </w:r>
      <w:r>
        <w:rPr>
          <w:rFonts w:hint="eastAsia" w:ascii="方正仿宋_GB2312" w:hAnsi="方正仿宋_GB2312" w:eastAsia="方正仿宋_GB2312" w:cs="方正仿宋_GB2312"/>
          <w:color w:val="auto"/>
          <w:kern w:val="0"/>
          <w:sz w:val="24"/>
          <w:szCs w:val="24"/>
          <w:highlight w:val="none"/>
          <w:lang w:val="zh-CN"/>
        </w:rPr>
        <w:t>结合所承担工程项目的实际情况，制定应对包括自然灾害在内的各种突发事件的应急救援预案，建立应急救援组织，配备应急救援人员和必要的应急救援器材、设备，并定期组织演练。发生突发事件时应立即进行紧急处置以避免事态扩大，并应按有关法律法规和强制性标准的要求立即上报，且同时通知甲方。</w:t>
      </w:r>
    </w:p>
    <w:p w14:paraId="501BFCA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⑤</w:t>
      </w:r>
      <w:r>
        <w:rPr>
          <w:rFonts w:hint="eastAsia" w:ascii="方正仿宋_GB2312" w:hAnsi="方正仿宋_GB2312" w:eastAsia="方正仿宋_GB2312" w:cs="方正仿宋_GB2312"/>
          <w:color w:val="auto"/>
          <w:kern w:val="0"/>
          <w:sz w:val="24"/>
          <w:szCs w:val="24"/>
          <w:highlight w:val="none"/>
          <w:lang w:val="zh-CN"/>
        </w:rPr>
        <w:t>按照本合同及《安全生产管理协议书》的约定对施工人员进行管理并购买保险，若在施工过程中出现人身、财产损害之情形的，概由乙方负责赔偿。</w:t>
      </w:r>
    </w:p>
    <w:p w14:paraId="2DB1A1B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⑥</w:t>
      </w:r>
      <w:r>
        <w:rPr>
          <w:rFonts w:hint="eastAsia" w:ascii="方正仿宋_GB2312" w:hAnsi="方正仿宋_GB2312" w:eastAsia="方正仿宋_GB2312" w:cs="方正仿宋_GB2312"/>
          <w:color w:val="auto"/>
          <w:kern w:val="0"/>
          <w:sz w:val="24"/>
          <w:szCs w:val="24"/>
          <w:highlight w:val="none"/>
          <w:lang w:val="zh-CN"/>
        </w:rPr>
        <w:t>建立健全并落实本工程的安全生产责任制度、各项安全生产规章制度和操作规程，设立安全生产管理机构，确定主管安全的负责人，配备专业齐全</w:t>
      </w:r>
      <w:r>
        <w:rPr>
          <w:rFonts w:hint="eastAsia" w:ascii="方正仿宋_GB2312" w:hAnsi="方正仿宋_GB2312" w:eastAsia="方正仿宋_GB2312" w:cs="方正仿宋_GB2312"/>
          <w:color w:val="auto"/>
          <w:kern w:val="0"/>
          <w:sz w:val="24"/>
          <w:szCs w:val="24"/>
          <w:highlight w:val="none"/>
        </w:rPr>
        <w:t>的</w:t>
      </w:r>
      <w:r>
        <w:rPr>
          <w:rFonts w:hint="eastAsia" w:ascii="方正仿宋_GB2312" w:hAnsi="方正仿宋_GB2312" w:eastAsia="方正仿宋_GB2312" w:cs="方正仿宋_GB2312"/>
          <w:color w:val="auto"/>
          <w:kern w:val="0"/>
          <w:sz w:val="24"/>
          <w:szCs w:val="24"/>
          <w:highlight w:val="none"/>
          <w:lang w:val="zh-CN"/>
        </w:rPr>
        <w:t>专职安全生产管理人员。</w:t>
      </w:r>
    </w:p>
    <w:p w14:paraId="10A95B1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⑦</w:t>
      </w:r>
      <w:r>
        <w:rPr>
          <w:rFonts w:hint="eastAsia" w:ascii="方正仿宋_GB2312" w:hAnsi="方正仿宋_GB2312" w:eastAsia="方正仿宋_GB2312" w:cs="方正仿宋_GB2312"/>
          <w:color w:val="auto"/>
          <w:kern w:val="0"/>
          <w:sz w:val="24"/>
          <w:szCs w:val="24"/>
          <w:highlight w:val="none"/>
          <w:lang w:val="zh-CN"/>
        </w:rPr>
        <w:t>乙方配置的项目负责人、技术负责人、专职安全生产管理人员须具有相应的执业资格（其中乙方的项目负责人、专职安全生产管理人员应取得建设主管部门颁发的安全生产考核合格证）。上述人员应报甲方及监理人审核，未经甲方书面同意不得随意更换，否则乙方应按本合同及《安全生产管理协议书》的约定承担</w:t>
      </w:r>
      <w:r>
        <w:rPr>
          <w:rFonts w:hint="eastAsia" w:ascii="方正仿宋_GB2312" w:hAnsi="方正仿宋_GB2312" w:eastAsia="方正仿宋_GB2312" w:cs="方正仿宋_GB2312"/>
          <w:color w:val="auto"/>
          <w:kern w:val="0"/>
          <w:sz w:val="24"/>
          <w:szCs w:val="24"/>
          <w:highlight w:val="none"/>
        </w:rPr>
        <w:t>相应责任。</w:t>
      </w:r>
    </w:p>
    <w:p w14:paraId="72745C1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⑧</w:t>
      </w:r>
      <w:r>
        <w:rPr>
          <w:rFonts w:hint="eastAsia" w:ascii="方正仿宋_GB2312" w:hAnsi="方正仿宋_GB2312" w:eastAsia="方正仿宋_GB2312" w:cs="方正仿宋_GB2312"/>
          <w:color w:val="auto"/>
          <w:kern w:val="0"/>
          <w:sz w:val="24"/>
          <w:szCs w:val="24"/>
          <w:highlight w:val="none"/>
          <w:lang w:val="zh-CN"/>
        </w:rPr>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40629A5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⑨</w:t>
      </w:r>
      <w:r>
        <w:rPr>
          <w:rFonts w:hint="eastAsia" w:ascii="方正仿宋_GB2312" w:hAnsi="方正仿宋_GB2312" w:eastAsia="方正仿宋_GB2312" w:cs="方正仿宋_GB2312"/>
          <w:color w:val="auto"/>
          <w:kern w:val="0"/>
          <w:sz w:val="24"/>
          <w:szCs w:val="24"/>
          <w:highlight w:val="none"/>
          <w:lang w:val="zh-CN"/>
        </w:rPr>
        <w:t xml:space="preserve">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2F30831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⑩</w:t>
      </w:r>
      <w:r>
        <w:rPr>
          <w:rFonts w:hint="eastAsia" w:ascii="方正仿宋_GB2312" w:hAnsi="方正仿宋_GB2312" w:eastAsia="方正仿宋_GB2312" w:cs="方正仿宋_GB2312"/>
          <w:color w:val="auto"/>
          <w:kern w:val="0"/>
          <w:sz w:val="24"/>
          <w:szCs w:val="24"/>
          <w:highlight w:val="none"/>
          <w:lang w:val="zh-CN"/>
        </w:rPr>
        <w:t>接受甲方和监理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对质量安全生产的监督管理，对甲方、监理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及有关方面在质量安全检查中要求进行整改的质量安全隐患和不符合安全要求、不规范的行为，立即进行改正。参加甲方、监理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组织的质量安全评比活动，并按活动规则接受奖惩。</w:t>
      </w:r>
    </w:p>
    <w:p w14:paraId="7980FFD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bCs/>
          <w:color w:val="auto"/>
          <w:sz w:val="24"/>
          <w:szCs w:val="24"/>
          <w:highlight w:val="none"/>
        </w:rPr>
        <w:t>⑪</w:t>
      </w:r>
      <w:r>
        <w:rPr>
          <w:rFonts w:hint="eastAsia" w:ascii="方正仿宋_GB2312" w:hAnsi="方正仿宋_GB2312" w:eastAsia="方正仿宋_GB2312" w:cs="方正仿宋_GB2312"/>
          <w:color w:val="auto"/>
          <w:kern w:val="0"/>
          <w:sz w:val="24"/>
          <w:szCs w:val="24"/>
          <w:highlight w:val="none"/>
          <w:lang w:val="zh-CN"/>
        </w:rPr>
        <w:t>对甲方提供的地质勘查、市政管线、相邻建（构）筑物等相关资料的准确性进行核查，如果发现资料与实际不符，应当立即向甲方和监理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报告，并要求补充相关资料。施工作业前必须对地下管线进行物探。</w:t>
      </w:r>
    </w:p>
    <w:p w14:paraId="16FB994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⑫</w:t>
      </w:r>
      <w:r>
        <w:rPr>
          <w:rFonts w:hint="eastAsia" w:ascii="方正仿宋_GB2312" w:hAnsi="方正仿宋_GB2312" w:eastAsia="方正仿宋_GB2312" w:cs="方正仿宋_GB2312"/>
          <w:color w:val="auto"/>
          <w:kern w:val="0"/>
          <w:sz w:val="24"/>
          <w:szCs w:val="24"/>
          <w:highlight w:val="none"/>
          <w:lang w:val="zh-CN"/>
        </w:rPr>
        <w:t>根据有关规范、规程、标准及甲方提供的相关资料，制定有针对性的施工组织设计（</w:t>
      </w:r>
      <w:r>
        <w:rPr>
          <w:rFonts w:hint="eastAsia" w:ascii="方正仿宋_GB2312" w:hAnsi="方正仿宋_GB2312" w:eastAsia="方正仿宋_GB2312" w:cs="方正仿宋_GB2312"/>
          <w:color w:val="auto"/>
          <w:kern w:val="0"/>
          <w:sz w:val="24"/>
          <w:szCs w:val="24"/>
          <w:highlight w:val="none"/>
        </w:rPr>
        <w:t>开工前3天提供给甲方）</w:t>
      </w:r>
      <w:r>
        <w:rPr>
          <w:rFonts w:hint="eastAsia" w:ascii="方正仿宋_GB2312" w:hAnsi="方正仿宋_GB2312" w:eastAsia="方正仿宋_GB2312" w:cs="方正仿宋_GB2312"/>
          <w:color w:val="auto"/>
          <w:kern w:val="0"/>
          <w:sz w:val="24"/>
          <w:szCs w:val="24"/>
          <w:highlight w:val="none"/>
          <w:lang w:val="zh-CN"/>
        </w:rPr>
        <w:t>，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116DE0A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⑬</w:t>
      </w:r>
      <w:r>
        <w:rPr>
          <w:rFonts w:hint="eastAsia" w:ascii="方正仿宋_GB2312" w:hAnsi="方正仿宋_GB2312" w:eastAsia="方正仿宋_GB2312" w:cs="方正仿宋_GB2312"/>
          <w:color w:val="auto"/>
          <w:kern w:val="0"/>
          <w:sz w:val="24"/>
          <w:szCs w:val="24"/>
          <w:highlight w:val="none"/>
          <w:lang w:val="zh-CN"/>
        </w:rPr>
        <w:t>乙方施工前，须认真审阅经甲方书面确认并提供的施工图纸。如发现设计图纸与规范要求不符或设计图纸标注不明时，应立即与甲方、设计单位、监理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联系，并及时形成文字记录。对有关安全施工的技术要求向施工作业班组、作业人员作出详细说明，由双方签字确认。</w:t>
      </w:r>
    </w:p>
    <w:p w14:paraId="1809A99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⑭</w:t>
      </w:r>
      <w:r>
        <w:rPr>
          <w:rFonts w:hint="eastAsia" w:ascii="方正仿宋_GB2312" w:hAnsi="方正仿宋_GB2312" w:eastAsia="方正仿宋_GB2312" w:cs="方正仿宋_GB2312"/>
          <w:color w:val="auto"/>
          <w:kern w:val="0"/>
          <w:sz w:val="24"/>
          <w:szCs w:val="24"/>
          <w:highlight w:val="none"/>
          <w:lang w:val="zh-CN"/>
        </w:rPr>
        <w:t>做好工程及周边环境的监控量测工作，施工前应制订监控量测方案，监控量测方案及其布点应符合设计和相关标准要求。监控量测数据应准确可靠，并及时绘制曲线图表。出现异常情况时，应立即报告甲方、监理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并采取有效措施予以处理。</w:t>
      </w:r>
    </w:p>
    <w:p w14:paraId="1E6FE484">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⑮</w:t>
      </w:r>
      <w:r>
        <w:rPr>
          <w:rFonts w:hint="eastAsia" w:ascii="方正仿宋_GB2312" w:hAnsi="方正仿宋_GB2312" w:eastAsia="方正仿宋_GB2312" w:cs="方正仿宋_GB2312"/>
          <w:color w:val="auto"/>
          <w:kern w:val="0"/>
          <w:sz w:val="24"/>
          <w:szCs w:val="24"/>
          <w:highlight w:val="none"/>
          <w:lang w:val="zh-CN"/>
        </w:rPr>
        <w:t>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w:t>
      </w:r>
      <w:r>
        <w:rPr>
          <w:rFonts w:hint="eastAsia" w:ascii="方正仿宋_GB2312" w:hAnsi="方正仿宋_GB2312" w:eastAsia="方正仿宋_GB2312" w:cs="方正仿宋_GB2312"/>
          <w:color w:val="auto"/>
          <w:kern w:val="0"/>
          <w:sz w:val="24"/>
          <w:szCs w:val="24"/>
          <w:highlight w:val="none"/>
        </w:rPr>
        <w:t>甲方</w:t>
      </w:r>
      <w:r>
        <w:rPr>
          <w:rFonts w:hint="eastAsia" w:ascii="方正仿宋_GB2312" w:hAnsi="方正仿宋_GB2312" w:eastAsia="方正仿宋_GB2312" w:cs="方正仿宋_GB2312"/>
          <w:color w:val="auto"/>
          <w:kern w:val="0"/>
          <w:sz w:val="24"/>
          <w:szCs w:val="24"/>
          <w:highlight w:val="none"/>
          <w:lang w:val="zh-CN"/>
        </w:rPr>
        <w:t>联系，确定解决方案。</w:t>
      </w:r>
    </w:p>
    <w:p w14:paraId="5FF780C4">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⑯</w:t>
      </w:r>
      <w:r>
        <w:rPr>
          <w:rFonts w:hint="eastAsia" w:ascii="方正仿宋_GB2312" w:hAnsi="方正仿宋_GB2312" w:eastAsia="方正仿宋_GB2312" w:cs="方正仿宋_GB2312"/>
          <w:color w:val="auto"/>
          <w:kern w:val="0"/>
          <w:sz w:val="24"/>
          <w:szCs w:val="24"/>
          <w:highlight w:val="none"/>
          <w:lang w:val="zh-CN"/>
        </w:rPr>
        <w:t>根据不同施工阶段和周围环境及季节、气候的变化，采取相应的安全施工措施；根据有关规定，落实各项文明施工和环境保护措施；施工现场暂时停止施工的，应当做好现场防护及承担由此产生的费用。</w:t>
      </w:r>
    </w:p>
    <w:p w14:paraId="000EAE1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⑰</w:t>
      </w:r>
      <w:r>
        <w:rPr>
          <w:rFonts w:hint="eastAsia" w:ascii="方正仿宋_GB2312" w:hAnsi="方正仿宋_GB2312" w:eastAsia="方正仿宋_GB2312" w:cs="方正仿宋_GB2312"/>
          <w:color w:val="auto"/>
          <w:kern w:val="0"/>
          <w:sz w:val="24"/>
          <w:szCs w:val="24"/>
          <w:highlight w:val="none"/>
          <w:lang w:val="zh-CN"/>
        </w:rPr>
        <w:t>施工现场使用的安全防护用具、车辆、机械设备和施工机具及配件应符合国家标准或行业标准；起重机械、大型机械设备必须符合国家标准，应当具有生产制造单位的生产（制造）许可证、产品合格证，以及相应资质的检测机构出具的在有效检测期内的检测合格证明，并经甲方、监理</w:t>
      </w:r>
      <w:r>
        <w:rPr>
          <w:rFonts w:hint="eastAsia" w:ascii="方正仿宋_GB2312" w:hAnsi="方正仿宋_GB2312" w:eastAsia="方正仿宋_GB2312" w:cs="方正仿宋_GB2312"/>
          <w:color w:val="auto"/>
          <w:kern w:val="0"/>
          <w:sz w:val="24"/>
          <w:szCs w:val="24"/>
          <w:highlight w:val="none"/>
        </w:rPr>
        <w:t>单位</w:t>
      </w:r>
      <w:r>
        <w:rPr>
          <w:rFonts w:hint="eastAsia" w:ascii="方正仿宋_GB2312" w:hAnsi="方正仿宋_GB2312" w:eastAsia="方正仿宋_GB2312" w:cs="方正仿宋_GB2312"/>
          <w:color w:val="auto"/>
          <w:kern w:val="0"/>
          <w:sz w:val="24"/>
          <w:szCs w:val="24"/>
          <w:highlight w:val="none"/>
          <w:lang w:val="zh-CN"/>
        </w:rPr>
        <w:t>进场查验合格后方可使用；使用中应设有专人管理，定期进行检查、维修和保养；不得使用存在安全隐患或国家规定应该报废和淘汰的车辆、设备、机具、设施。</w:t>
      </w:r>
    </w:p>
    <w:p w14:paraId="1E71ACE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⑱</w:t>
      </w:r>
      <w:r>
        <w:rPr>
          <w:rFonts w:hint="eastAsia" w:ascii="方正仿宋_GB2312" w:hAnsi="方正仿宋_GB2312" w:eastAsia="方正仿宋_GB2312" w:cs="方正仿宋_GB2312"/>
          <w:color w:val="auto"/>
          <w:kern w:val="0"/>
          <w:sz w:val="24"/>
          <w:szCs w:val="24"/>
          <w:highlight w:val="none"/>
          <w:lang w:val="zh-CN"/>
        </w:rPr>
        <w:t>按有关规定在施工现场安装、拆卸施工起重机械和设施等，必须委托具有相应资质的单位进行操作，且应当事先编制拆装方案、制定安全施工措施，并由专业技术人员现场监督。</w:t>
      </w:r>
    </w:p>
    <w:p w14:paraId="71D5756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⑲</w:t>
      </w:r>
      <w:r>
        <w:rPr>
          <w:rFonts w:hint="eastAsia" w:ascii="方正仿宋_GB2312" w:hAnsi="方正仿宋_GB2312" w:eastAsia="方正仿宋_GB2312" w:cs="方正仿宋_GB2312"/>
          <w:color w:val="auto"/>
          <w:kern w:val="0"/>
          <w:sz w:val="24"/>
          <w:szCs w:val="24"/>
          <w:highlight w:val="none"/>
          <w:lang w:val="zh-CN"/>
        </w:rPr>
        <w:t>认真执行国家、建筑行业和广西壮族自治区、南宁市关于安全生产的规范、标准和有关规定，做好施工现场实体防护，并在施工现场的各个危险部位设置符合国家标准的明显的安全警示标志。</w:t>
      </w:r>
    </w:p>
    <w:p w14:paraId="66CB3DC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⑳</w:t>
      </w:r>
      <w:r>
        <w:rPr>
          <w:rFonts w:hint="eastAsia" w:ascii="方正仿宋_GB2312" w:hAnsi="方正仿宋_GB2312" w:eastAsia="方正仿宋_GB2312" w:cs="方正仿宋_GB2312"/>
          <w:color w:val="auto"/>
          <w:kern w:val="0"/>
          <w:sz w:val="24"/>
          <w:szCs w:val="24"/>
          <w:highlight w:val="none"/>
          <w:lang w:val="zh-CN"/>
        </w:rPr>
        <w:t>施工人员进场必须佩戴施工证，且应该规定正确使用合格的安全防护用具，防止发生物体打击，高空物体坠落事故。</w:t>
      </w:r>
    </w:p>
    <w:p w14:paraId="36A6632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㉑</w:t>
      </w:r>
      <w:r>
        <w:rPr>
          <w:rFonts w:hint="eastAsia" w:ascii="方正仿宋_GB2312" w:hAnsi="方正仿宋_GB2312" w:eastAsia="方正仿宋_GB2312" w:cs="方正仿宋_GB2312"/>
          <w:color w:val="auto"/>
          <w:kern w:val="0"/>
          <w:sz w:val="24"/>
          <w:szCs w:val="24"/>
          <w:highlight w:val="none"/>
          <w:lang w:val="zh-CN"/>
        </w:rPr>
        <w:t>对施工中的特种作业，作业人员必须取得相应的从业资格且携带特种作业操作证上岗操作。</w:t>
      </w:r>
    </w:p>
    <w:p w14:paraId="6955834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㉒</w:t>
      </w:r>
      <w:r>
        <w:rPr>
          <w:rFonts w:hint="eastAsia" w:ascii="方正仿宋_GB2312" w:hAnsi="方正仿宋_GB2312" w:eastAsia="方正仿宋_GB2312" w:cs="方正仿宋_GB2312"/>
          <w:color w:val="auto"/>
          <w:kern w:val="0"/>
          <w:sz w:val="24"/>
          <w:szCs w:val="24"/>
          <w:highlight w:val="none"/>
          <w:lang w:val="zh-CN"/>
        </w:rPr>
        <w:t>严格按照《建设工程施工现场消防安全技术规范》的要求，制定各项消防安全管理制度和操作规程并予以落实。施工现场成立消防领导小组，确定消防安全责任人，做到“谁主管、谁负责”。施工单位项目负责人为第一责任人全面负责施工现场的消防工作。</w:t>
      </w:r>
    </w:p>
    <w:p w14:paraId="1A34FC38">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㉓按照</w:t>
      </w:r>
      <w:r>
        <w:rPr>
          <w:rFonts w:hint="eastAsia" w:ascii="方正仿宋_GB2312" w:hAnsi="方正仿宋_GB2312" w:eastAsia="方正仿宋_GB2312" w:cs="方正仿宋_GB2312"/>
          <w:color w:val="auto"/>
          <w:kern w:val="0"/>
          <w:sz w:val="24"/>
          <w:szCs w:val="24"/>
          <w:highlight w:val="none"/>
          <w:lang w:val="zh-CN"/>
        </w:rPr>
        <w:t>有关法律法规和强制性标准要求设置消防通道、消防水源、配备消防设施和灭火器材，并在施工现场入口处设置明显标志。</w:t>
      </w:r>
    </w:p>
    <w:p w14:paraId="279D92B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㉔</w:t>
      </w:r>
      <w:r>
        <w:rPr>
          <w:rFonts w:hint="eastAsia" w:ascii="方正仿宋_GB2312" w:hAnsi="方正仿宋_GB2312" w:eastAsia="方正仿宋_GB2312" w:cs="方正仿宋_GB2312"/>
          <w:color w:val="auto"/>
          <w:kern w:val="0"/>
          <w:sz w:val="24"/>
          <w:szCs w:val="24"/>
          <w:highlight w:val="none"/>
          <w:lang w:val="zh-CN"/>
        </w:rPr>
        <w:t>施工现场禁止流动吸烟、禁止随地吐痰、乱丢烟头及其他杂物，保持工作现场的整洁。</w:t>
      </w:r>
    </w:p>
    <w:p w14:paraId="29A13EF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㉕</w:t>
      </w:r>
      <w:r>
        <w:rPr>
          <w:rFonts w:hint="eastAsia" w:ascii="方正仿宋_GB2312" w:hAnsi="方正仿宋_GB2312" w:eastAsia="方正仿宋_GB2312" w:cs="方正仿宋_GB2312"/>
          <w:color w:val="auto"/>
          <w:kern w:val="0"/>
          <w:sz w:val="24"/>
          <w:szCs w:val="24"/>
          <w:highlight w:val="none"/>
          <w:lang w:val="zh-CN"/>
        </w:rPr>
        <w:t>电焊工、气焊工、防水工必须持证上岗，作业</w:t>
      </w:r>
      <w:r>
        <w:rPr>
          <w:rFonts w:hint="eastAsia" w:ascii="方正仿宋_GB2312" w:hAnsi="方正仿宋_GB2312" w:eastAsia="方正仿宋_GB2312" w:cs="方正仿宋_GB2312"/>
          <w:color w:val="auto"/>
          <w:kern w:val="0"/>
          <w:sz w:val="24"/>
          <w:szCs w:val="24"/>
          <w:highlight w:val="none"/>
        </w:rPr>
        <w:t>前</w:t>
      </w:r>
      <w:r>
        <w:rPr>
          <w:rFonts w:hint="eastAsia" w:ascii="方正仿宋_GB2312" w:hAnsi="方正仿宋_GB2312" w:eastAsia="方正仿宋_GB2312" w:cs="方正仿宋_GB2312"/>
          <w:color w:val="auto"/>
          <w:kern w:val="0"/>
          <w:sz w:val="24"/>
          <w:szCs w:val="24"/>
          <w:highlight w:val="none"/>
          <w:lang w:val="zh-CN"/>
        </w:rPr>
        <w:t>要</w:t>
      </w:r>
      <w:r>
        <w:rPr>
          <w:rFonts w:hint="eastAsia" w:ascii="方正仿宋_GB2312" w:hAnsi="方正仿宋_GB2312" w:eastAsia="方正仿宋_GB2312" w:cs="方正仿宋_GB2312"/>
          <w:color w:val="auto"/>
          <w:kern w:val="0"/>
          <w:sz w:val="24"/>
          <w:szCs w:val="24"/>
          <w:highlight w:val="none"/>
        </w:rPr>
        <w:t>进行动火审批，</w:t>
      </w:r>
      <w:r>
        <w:rPr>
          <w:rFonts w:hint="eastAsia" w:ascii="方正仿宋_GB2312" w:hAnsi="方正仿宋_GB2312" w:eastAsia="方正仿宋_GB2312" w:cs="方正仿宋_GB2312"/>
          <w:color w:val="auto"/>
          <w:kern w:val="0"/>
          <w:sz w:val="24"/>
          <w:szCs w:val="24"/>
          <w:highlight w:val="none"/>
          <w:lang w:val="zh-CN"/>
        </w:rPr>
        <w:t>按规定开具</w:t>
      </w:r>
      <w:r>
        <w:rPr>
          <w:rFonts w:hint="eastAsia" w:ascii="方正仿宋_GB2312" w:hAnsi="方正仿宋_GB2312" w:eastAsia="方正仿宋_GB2312" w:cs="方正仿宋_GB2312"/>
          <w:color w:val="auto"/>
          <w:kern w:val="0"/>
          <w:sz w:val="24"/>
          <w:szCs w:val="24"/>
          <w:highlight w:val="none"/>
        </w:rPr>
        <w:t>动</w:t>
      </w:r>
      <w:r>
        <w:rPr>
          <w:rFonts w:hint="eastAsia" w:ascii="方正仿宋_GB2312" w:hAnsi="方正仿宋_GB2312" w:eastAsia="方正仿宋_GB2312" w:cs="方正仿宋_GB2312"/>
          <w:color w:val="auto"/>
          <w:kern w:val="0"/>
          <w:sz w:val="24"/>
          <w:szCs w:val="24"/>
          <w:highlight w:val="none"/>
          <w:lang w:val="zh-CN"/>
        </w:rPr>
        <w:t>火证，配备看火人员和灭火器具，作业后必须确认无火源隐患后方可离去。</w:t>
      </w:r>
    </w:p>
    <w:p w14:paraId="5E7268B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㉖</w:t>
      </w:r>
      <w:r>
        <w:rPr>
          <w:rFonts w:hint="eastAsia" w:ascii="方正仿宋_GB2312" w:hAnsi="方正仿宋_GB2312" w:eastAsia="方正仿宋_GB2312" w:cs="方正仿宋_GB2312"/>
          <w:color w:val="auto"/>
          <w:kern w:val="0"/>
          <w:sz w:val="24"/>
          <w:szCs w:val="24"/>
          <w:highlight w:val="none"/>
          <w:lang w:val="zh-CN"/>
        </w:rPr>
        <w:t>氧气瓶、乙炔瓶工作间距不小于5米，两瓶与明火作业距离不小于10米。禁止氧气瓶、乙炔瓶存放，禁止使用液化气石油气“钢瓶”。</w:t>
      </w:r>
    </w:p>
    <w:p w14:paraId="29B7075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㉗</w:t>
      </w:r>
      <w:r>
        <w:rPr>
          <w:rFonts w:hint="eastAsia" w:ascii="方正仿宋_GB2312" w:hAnsi="方正仿宋_GB2312" w:eastAsia="方正仿宋_GB2312" w:cs="方正仿宋_GB2312"/>
          <w:color w:val="auto"/>
          <w:kern w:val="0"/>
          <w:sz w:val="24"/>
          <w:szCs w:val="24"/>
          <w:highlight w:val="none"/>
          <w:lang w:val="zh-CN"/>
        </w:rPr>
        <w:t>施工现场使用的电气设备必须符合防火要求。临时用电必须安装过载保护装置，电闸箱内不准使用易燃、可燃材料。严禁超负荷使用电气设备。</w:t>
      </w:r>
    </w:p>
    <w:p w14:paraId="34A4E1C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㉘</w:t>
      </w:r>
      <w:r>
        <w:rPr>
          <w:rFonts w:hint="eastAsia" w:ascii="方正仿宋_GB2312" w:hAnsi="方正仿宋_GB2312" w:eastAsia="方正仿宋_GB2312" w:cs="方正仿宋_GB2312"/>
          <w:color w:val="auto"/>
          <w:kern w:val="0"/>
          <w:sz w:val="24"/>
          <w:szCs w:val="24"/>
          <w:highlight w:val="none"/>
          <w:lang w:val="zh-CN"/>
        </w:rPr>
        <w:t>施工材料的存放、使用要符合防火要求。库房要采用非燃材料支搭，易燃易爆物品必须专库储存，分类单独存放，保持通风，用电符合防火规定。不准在现场、库房内调配油漆、烯料。</w:t>
      </w:r>
    </w:p>
    <w:p w14:paraId="344D905B">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㉙</w:t>
      </w:r>
      <w:r>
        <w:rPr>
          <w:rFonts w:hint="eastAsia" w:ascii="方正仿宋_GB2312" w:hAnsi="方正仿宋_GB2312" w:eastAsia="方正仿宋_GB2312" w:cs="方正仿宋_GB2312"/>
          <w:color w:val="auto"/>
          <w:kern w:val="0"/>
          <w:sz w:val="24"/>
          <w:szCs w:val="24"/>
          <w:highlight w:val="none"/>
          <w:lang w:val="zh-CN"/>
        </w:rPr>
        <w:t>宿舍及集装箱不准作为仓库使用，不准存放易燃、可燃材料，因施工需要进入工程内的可燃材料，要根据工程计划限量进入并采取可靠的防火措施及明显的防火标志并有专人负责。废弃材料应及时清除。</w:t>
      </w:r>
    </w:p>
    <w:p w14:paraId="60B8614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㉚</w:t>
      </w:r>
      <w:r>
        <w:rPr>
          <w:rFonts w:hint="eastAsia" w:ascii="方正仿宋_GB2312" w:hAnsi="方正仿宋_GB2312" w:eastAsia="方正仿宋_GB2312" w:cs="方正仿宋_GB2312"/>
          <w:color w:val="auto"/>
          <w:kern w:val="0"/>
          <w:sz w:val="24"/>
          <w:szCs w:val="24"/>
          <w:highlight w:val="none"/>
          <w:lang w:val="zh-CN"/>
        </w:rPr>
        <w:t>施工现场及生活区严禁明火取暖，宿舍内不得使用电暖器、电热毯、热得快等大功率电器。</w:t>
      </w:r>
    </w:p>
    <w:p w14:paraId="4490C224">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㉛图纸及设计文件要求需二次深化设计的，包括但不限于铺贴排版、花镜配置、围墙、钢结构、栏杆、干挂石材、幕墙、门窗工程、配电箱等，二次深化设计费及审核费由乙方负责落实并承担。二次深化后合同价格不作调整，甲方提出的变更除外。</w:t>
      </w:r>
    </w:p>
    <w:p w14:paraId="5A0A6B7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㉜乙方已充分了解现场情况，合同履行期间施工场地内（包括且不限于地下水、雨水、污水）的抽、排水费用乙方已在投标报价中充分考虑，且已包括在合同暂定含税总价款中，甲方不再另行支付。</w:t>
      </w:r>
    </w:p>
    <w:p w14:paraId="6E3A38E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㉝乙方已充分了解现场地质情况，桩基础施工过程中发生的混凝土超灌费用、机械清孔费用、钢护筒超招标清单长度的费用、塌孔处理费用、接桩费用、桩基下沉处理费用等甲方不再另行支付。</w:t>
      </w:r>
    </w:p>
    <w:p w14:paraId="2FB1C34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㉞若出现乙方因拖欠农民工工资或供应商款项的讨薪维稳事件，乙方应按2</w:t>
      </w:r>
      <w:r>
        <w:rPr>
          <w:rFonts w:hint="eastAsia" w:ascii="方正仿宋_GB2312" w:hAnsi="方正仿宋_GB2312" w:eastAsia="方正仿宋_GB2312" w:cs="方正仿宋_GB2312"/>
          <w:bCs/>
          <w:color w:val="auto"/>
          <w:sz w:val="24"/>
          <w:szCs w:val="24"/>
          <w:highlight w:val="none"/>
          <w:lang w:eastAsia="zh-CN"/>
        </w:rPr>
        <w:t>万元</w:t>
      </w:r>
      <w:r>
        <w:rPr>
          <w:rFonts w:hint="eastAsia" w:ascii="方正仿宋_GB2312" w:hAnsi="方正仿宋_GB2312" w:eastAsia="方正仿宋_GB2312" w:cs="方正仿宋_GB2312"/>
          <w:bCs/>
          <w:color w:val="auto"/>
          <w:sz w:val="24"/>
          <w:szCs w:val="24"/>
          <w:highlight w:val="none"/>
        </w:rPr>
        <w:t>-10万元/次的标准向甲方支付违约金，此项违约金甲方有权从应支付给乙方的任何款项中进行扣除，如应付款项不足以扣除的，甲方有权继续向乙方追索。</w:t>
      </w:r>
    </w:p>
    <w:p w14:paraId="272BBE9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㉟乙方在施工过程中应做好成品保护工作，项目交付前乙方须对项目开展一次精保洁工作，精保洁完成情况须通过甲方验收。精保洁费用由乙方自行承担，甲方不再另行支付。</w:t>
      </w:r>
    </w:p>
    <w:p w14:paraId="2DA68BEB">
      <w:pPr>
        <w:pStyle w:val="37"/>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（三）施工现场、施工条件和基础资料的提供</w:t>
      </w:r>
    </w:p>
    <w:p w14:paraId="24651A51">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项目用地红线向外500M以内的水、电、管线费用由乙方费用自理；若超过500M的，由双方另行协商处理；若供水、供电部门原因造成停电的，乙方必须自行解决施工用水用电问题，费用自理。</w:t>
      </w:r>
    </w:p>
    <w:p w14:paraId="2AE442C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由于甲方原因未能及时开通临时用电，开通前乙方进场施工使用发电机发电的，发电机租赁费由甲方承担，人工费及燃油费由乙方承担。</w:t>
      </w:r>
    </w:p>
    <w:p w14:paraId="2247C5B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1.乙方指派的项目经理和项目部管理</w:t>
      </w:r>
      <w:r>
        <w:rPr>
          <w:rFonts w:hint="eastAsia" w:ascii="方正仿宋_GB2312" w:hAnsi="方正仿宋_GB2312" w:eastAsia="方正仿宋_GB2312" w:cs="方正仿宋_GB2312"/>
          <w:b/>
          <w:color w:val="auto"/>
          <w:sz w:val="24"/>
          <w:szCs w:val="24"/>
          <w:highlight w:val="none"/>
        </w:rPr>
        <w:t>人员向外赊购材料、借款、租用施工机械设备或周转材料、雇佣人员、签订分包合同等行为而产生的法律后果及责任由乙方承担，与甲方无关。如因此造成甲方损失的，乙方须向甲方全额赔偿。</w:t>
      </w:r>
    </w:p>
    <w:p w14:paraId="525EB4BB">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关于项目经理每月在施工现场的时间要求：</w:t>
      </w:r>
      <w:r>
        <w:rPr>
          <w:rFonts w:hint="eastAsia" w:ascii="方正仿宋_GB2312" w:hAnsi="方正仿宋_GB2312" w:eastAsia="方正仿宋_GB2312" w:cs="方正仿宋_GB2312"/>
          <w:color w:val="auto"/>
          <w:sz w:val="24"/>
          <w:szCs w:val="24"/>
          <w:highlight w:val="none"/>
        </w:rPr>
        <w:t>项目经理不少于22天/月（项目经理每月于28日向甲方提交经监理人确认的考勤记录，考勤记录每日不少于1次桂建通、水印相机app签到），至少8小时/天，施工关键节点必须到现场，甲方严格进行考核。如未经甲方书面许可，项目经理未达到上述在现场的时间要求的，每少一天乙方向甲方支付违约金1000元，乙方以转账形式将该违约金交至甲方指定账户，逾期缴纳的，再按1000元/天计收违约金；项目经理不到位累计达5天的，甲方及监理人有权给予警告；累计达10天及以上的，甲方有权解除本合同，并按合同约定追究乙方的其他违约责任。</w:t>
      </w:r>
    </w:p>
    <w:p w14:paraId="54C01A8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无正当理由拒绝更换项目经理的违约责任：乙方项目经理不称职，甲方要求更换但乙方拒绝更换的，视为乙方违约，乙方应按10000元/人•次的标准向甲方支付违约金，同时甲方有权解除合同，并按合同约定追究乙方的其他违约责任。</w:t>
      </w:r>
    </w:p>
    <w:p w14:paraId="5ACCC533">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乙方项目经理不称职，甲方要求更换项目经理而乙方未及时更换的，视为乙方违约，甲方按50000元/人•次的标准向甲方支付违约金，同时甲方有权解除合同，并按合同约定追究乙方的其他违约责任。</w:t>
      </w:r>
    </w:p>
    <w:p w14:paraId="437C94A3">
      <w:pPr>
        <w:pStyle w:val="37"/>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乙方出现上述违约情形，导致甲方解除合同的，甲方有权不支付未付款项，且乙方的履约保证金甲方不予退回，同时乙方除按相应条款支付上述违约金外，还应再按合同暂定含税总价款的5%向甲方支付解约违约金，若因此造成甲方损失的，乙方还应予以赔偿。</w:t>
      </w:r>
    </w:p>
    <w:p w14:paraId="03D339B2">
      <w:pPr>
        <w:pStyle w:val="37"/>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7" w:name="_Toc373743626"/>
      <w:bookmarkStart w:id="808" w:name="_Toc406360311"/>
      <w:r>
        <w:rPr>
          <w:rFonts w:hint="eastAsia" w:ascii="方正仿宋_GB2312" w:hAnsi="方正仿宋_GB2312" w:eastAsia="方正仿宋_GB2312" w:cs="方正仿宋_GB2312"/>
          <w:b/>
          <w:bCs/>
          <w:color w:val="auto"/>
          <w:kern w:val="44"/>
          <w:sz w:val="24"/>
          <w:szCs w:val="24"/>
          <w:highlight w:val="none"/>
        </w:rPr>
        <w:t>3. 乙方人员</w:t>
      </w:r>
      <w:bookmarkEnd w:id="807"/>
      <w:bookmarkEnd w:id="808"/>
    </w:p>
    <w:p w14:paraId="5E6CDC5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 乙方提交项目管理机构及施工现场管理人员安排报告的期限：开工前3天。</w:t>
      </w:r>
    </w:p>
    <w:p w14:paraId="348951B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 乙方无正当理由拒绝撤换主要施工管理人员的违约责任：乙方主要施工管理人员因不称职，甲方要求调换而乙方拒绝撤换或未及时调换的，视为乙方违约，乙方应按技术负责人8000元/人•次、专业工程师5000元/人•次的标准向甲方支付违约金。</w:t>
      </w:r>
    </w:p>
    <w:p w14:paraId="391694B5">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 乙方主要施工管理人员离开施工现场的批准要求：乙方应向乙方提交施工场地人员变动情况的报告，并经甲方书面同意后方可离开，否则视为乙方违约，乙方应按5000元/人•次的标准向甲方支付违约金。</w:t>
      </w:r>
    </w:p>
    <w:p w14:paraId="1C746CC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（4）乙方擅自更换主要施工管理人员的违约责任：技术负责人、专业工程师未经甲方书面同意不准擅自更换，否则视为乙方违约，乙方应按技术负责人8000元/人•次、专业工程师 5000元/人•次的标准向甲方支付违约金。乙方项目部管理人员在所辖工程或分项工程施工期间（包括准备和收尾阶段）均须专职在岗，不得兼任其他项目任何职务。</w:t>
      </w:r>
    </w:p>
    <w:p w14:paraId="4D061840">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（5）乙方出现上述第3.3.3--3.3.5之违约情形时， 甲方除可要求乙方支付违约金外，还有权解除合同。若甲方解除合同的，甲方有权不支付未付款项，且乙方的履约保证金甲方不予退回，同时乙方除支付上述违约金外，还应按合同暂定含税总价款的5%向甲方支付解约违约金，若因此造成甲方损失的，乙方还应予以赔偿。</w:t>
      </w:r>
    </w:p>
    <w:p w14:paraId="0BCB204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（6）乙方项目经理、技术（施工）负责人必须按时参加监理例会、专题会议、图纸会审、技术交底、生产协调、验收等会议，不出席处违约金 1000元/次/人，迟到处违约金 500元/次/人，违反会议纪律处违约金 200 元/人。</w:t>
      </w:r>
    </w:p>
    <w:p w14:paraId="67DB933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（7）乙方应在每周监理例会前上报下周施工进度计划，否则甲方有权责令其补报，并处违约金500元/次。</w:t>
      </w:r>
    </w:p>
    <w:p w14:paraId="5F5FAB76">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3.3.9乙方项目部必须配置足够的施工员、质检员、安全员、取样员、资料员、专职预算人员，否则一经发现甲方有权责令乙方48小时配备到位，同时乙方应就未配置的人员向甲方支付违约金500元/人/天。</w:t>
      </w:r>
    </w:p>
    <w:p w14:paraId="0E05EDB1">
      <w:pPr>
        <w:pStyle w:val="37"/>
        <w:keepNext/>
        <w:keepLines/>
        <w:pageBreakBefore w:val="0"/>
        <w:kinsoku/>
        <w:overflowPunct/>
        <w:topLinePunct w:val="0"/>
        <w:autoSpaceDE/>
        <w:autoSpaceDN/>
        <w:bidi w:val="0"/>
        <w:spacing w:beforeAutospacing="0" w:afterAutospacing="0" w:line="540" w:lineRule="exact"/>
        <w:ind w:left="0" w:leftChars="0" w:firstLine="482" w:firstLineChars="200"/>
        <w:jc w:val="left"/>
        <w:outlineLvl w:val="3"/>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kern w:val="44"/>
          <w:sz w:val="24"/>
          <w:szCs w:val="24"/>
          <w:highlight w:val="none"/>
        </w:rPr>
        <w:t>（四）工程质量详细要求</w:t>
      </w:r>
    </w:p>
    <w:p w14:paraId="6DDA26F8">
      <w:pPr>
        <w:pStyle w:val="37"/>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1）因乙方原因导致工程质量达不到合同约定质量标准，导致工程不能验收，乙方应当返工、修复直至合格，工期不予顺延，如因此造成工程逾期竣工的，乙方还应承担逾期完工的违约责任。如因此造成甲方损失的，乙方还应负责赔偿。 </w:t>
      </w:r>
    </w:p>
    <w:p w14:paraId="30A361CF">
      <w:pPr>
        <w:pStyle w:val="37"/>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（2）施工质量管理体系：如乙方无质量管理制度（包含图纸会审、设计修改、技术交底、施工组织设计编制和审批、工序交接、质量检查评定、质量奖罚、 质量例会、工程实体检验检测、工程质量问题处理等制度）的，甲方有权责令乙方限期改正，乙方应向甲方支付违约金2000元。如乙方逾期改正的，每逾期一日应向甲方支付违约金 500  元。</w:t>
      </w:r>
    </w:p>
    <w:p w14:paraId="280481A5">
      <w:pPr>
        <w:pStyle w:val="37"/>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（3）如本合同所涉项目因质量问题被建设行政主管部门通报批评的（含不良行为记录），乙方应向甲方支付违约金100000元/次/项。若因质量问题导致甲方受到上级部门的处罚，罚金由乙方承担。</w:t>
      </w:r>
    </w:p>
    <w:p w14:paraId="617FC11D">
      <w:pPr>
        <w:pStyle w:val="37"/>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必须严格把控施工质量，各分部分项工程必须严格按照图纸、国家规范、行业标准、地方统一做法施工，严格执行质检员自检制度，对发现的施工质量缺陷问题必须及时上报甲方，严禁私自处理，否则由此产生的一切损失由乙方自行承担，同时甲方有权视情节严重程度要求乙方向其支付违约金5000至50000元。</w:t>
      </w:r>
    </w:p>
    <w:p w14:paraId="1ED0DEA3">
      <w:pPr>
        <w:pStyle w:val="37"/>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（5）乙方应高度重视施工质量和安全文明施工，若施工过程中因乙方责任造成的质量、安全事故，甲方将根据情节严重情况要求乙方向其支付违约金10000元至200000元，并有权要求乙方限期整改到位。</w:t>
      </w:r>
    </w:p>
    <w:p w14:paraId="284816B7">
      <w:pPr>
        <w:pStyle w:val="37"/>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（6）项目现场若发现乙方不按图施工、野蛮施工、偷工减料等情况，甲方将根据情节严重情况要求乙方向其支付违约金5000元／次／项至50000元／次／项，并有权要求乙方限期整改到位。</w:t>
      </w:r>
    </w:p>
    <w:p w14:paraId="3F1869E8">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施工期间，乙方应及时整理和安排好所有的施工机械、工器具、材料、建筑垃圾等，做到每日工完场清，未使用完的材料按甲方规定或重新入库或就地堆放整齐。乙方应督促各分包单位将各自施工范围内的垃圾清运出场，保证施工现场达到文明标准。如果发现分包单位未达到要求，建筑垃圾乱堆、乱放，作业面清理不到位的，则乙方应立即将作业面清理后，</w:t>
      </w:r>
      <w:r>
        <w:rPr>
          <w:rFonts w:hint="eastAsia" w:ascii="方正仿宋_GB2312" w:hAnsi="方正仿宋_GB2312" w:eastAsia="方正仿宋_GB2312" w:cs="方正仿宋_GB2312"/>
          <w:color w:val="auto"/>
          <w:kern w:val="0"/>
          <w:sz w:val="24"/>
          <w:szCs w:val="24"/>
          <w:highlight w:val="none"/>
        </w:rPr>
        <w:t>所产生的费用已包含在工程价款中，甲方无须再另行支付。</w:t>
      </w:r>
    </w:p>
    <w:p w14:paraId="737E5552">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如果乙方拒绝及时进行场地清理（不论该场地是否为乙方责任范围还是分包责任范围），甲方有权另外委托第三方进行清理，其费用按实际发生的费用额度从乙方工程款中扣除，同时乙方应向甲方支付50000元的违约金。</w:t>
      </w:r>
    </w:p>
    <w:p w14:paraId="3F3363B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（9）工程建设中每个楼层的多余材料、建筑垃圾必须通过井架或垃圾槽运输到地面，严禁从高空直接向下抛物，以上物品在不需用时乙方应按甲方要求清理出工地。</w:t>
      </w:r>
    </w:p>
    <w:p w14:paraId="1057F2A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（10）乙方应在施工中对乙方施工区域内已交付使用的所有建筑物和设施进行妥善和有效地保护，如有损坏的，乙方应负责赔偿。</w:t>
      </w:r>
    </w:p>
    <w:p w14:paraId="5B9CD6DD">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乙方应遵守建设部关于工程建设安全生产的有关管理规定及规范，在施工中注意“安全第一，预防为主”，在签订本合同时乙方应向甲方和监理人提供强有力的安全组织和有效的安全计划，该组织和计划必须包括乙方安全组织架构、安全工作指标、乙方安全工作导则、检查制度、培训制度、安全风险评估等内容，且应符合甲方的要求和法律规定。同时，乙方应严格按照安全标准组织施工，并随时接受行业安全检查人员依法实施的监督检查，采取必要的安全防护措施，消除事故隐患。由于非甲方原因造成事故的责任和因此发生的费用，由乙方承担。</w:t>
      </w:r>
    </w:p>
    <w:p w14:paraId="7402AE7E">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F20DC7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4CFD56DA">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537E444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0945406">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47EFFB1F">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039B4E47">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37B55219">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3B8ABE6">
      <w:pPr>
        <w:pStyle w:val="41"/>
        <w:pageBreakBefore w:val="0"/>
        <w:kinsoku/>
        <w:overflowPunct/>
        <w:topLinePunct w:val="0"/>
        <w:autoSpaceDE/>
        <w:autoSpaceDN/>
        <w:bidi w:val="0"/>
        <w:spacing w:beforeAutospacing="0" w:afterAutospacing="0" w:line="540" w:lineRule="exact"/>
        <w:ind w:left="0" w:leftChars="0"/>
        <w:outlineLvl w:val="2"/>
        <w:rPr>
          <w:rFonts w:hint="eastAsia" w:ascii="方正仿宋_GB2312" w:hAnsi="方正仿宋_GB2312" w:eastAsia="方正仿宋_GB2312" w:cs="方正仿宋_GB2312"/>
          <w:color w:val="auto"/>
          <w:sz w:val="24"/>
          <w:szCs w:val="24"/>
          <w:highlight w:val="none"/>
        </w:rPr>
      </w:pPr>
    </w:p>
    <w:p w14:paraId="12F4C8AA">
      <w:pPr>
        <w:pStyle w:val="41"/>
        <w:pageBreakBefore w:val="0"/>
        <w:kinsoku/>
        <w:overflowPunct/>
        <w:topLinePunct w:val="0"/>
        <w:autoSpaceDE/>
        <w:autoSpaceDN/>
        <w:bidi w:val="0"/>
        <w:spacing w:beforeAutospacing="0" w:afterAutospacing="0" w:line="540" w:lineRule="exact"/>
        <w:ind w:left="0" w:leftChars="0"/>
        <w:outlineLvl w:val="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合同附件六：工程质量保修书</w:t>
      </w:r>
    </w:p>
    <w:p w14:paraId="3B40DFAA">
      <w:pPr>
        <w:pStyle w:val="41"/>
        <w:pageBreakBefore w:val="0"/>
        <w:kinsoku/>
        <w:overflowPunct/>
        <w:topLinePunct w:val="0"/>
        <w:autoSpaceDE/>
        <w:autoSpaceDN/>
        <w:bidi w:val="0"/>
        <w:spacing w:beforeAutospacing="0" w:afterAutospacing="0" w:line="540" w:lineRule="exact"/>
        <w:ind w:left="0" w:leftChars="0" w:firstLine="311"/>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工程质量保修书</w:t>
      </w:r>
    </w:p>
    <w:p w14:paraId="05E11F92">
      <w:pPr>
        <w:pStyle w:val="41"/>
        <w:pageBreakBefore w:val="0"/>
        <w:kinsoku/>
        <w:overflowPunct/>
        <w:topLinePunct w:val="0"/>
        <w:autoSpaceDE/>
        <w:autoSpaceDN/>
        <w:bidi w:val="0"/>
        <w:snapToGrid w:val="0"/>
        <w:spacing w:beforeAutospacing="0" w:afterAutospacing="0" w:line="540" w:lineRule="exact"/>
        <w:ind w:left="0" w:leftChars="0" w:firstLine="245"/>
        <w:rPr>
          <w:rFonts w:hint="eastAsia" w:ascii="方正仿宋_GB2312" w:hAnsi="方正仿宋_GB2312" w:eastAsia="方正仿宋_GB2312" w:cs="方正仿宋_GB2312"/>
          <w:color w:val="auto"/>
          <w:sz w:val="24"/>
          <w:szCs w:val="24"/>
          <w:highlight w:val="none"/>
        </w:rPr>
      </w:pPr>
    </w:p>
    <w:p w14:paraId="61A63161">
      <w:pPr>
        <w:pStyle w:val="41"/>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u w:val="single"/>
        </w:rPr>
        <w:t>甲方（全称）：南宁轨道地产建筑工程有限责任公司</w:t>
      </w:r>
    </w:p>
    <w:p w14:paraId="753BE77A">
      <w:pPr>
        <w:pStyle w:val="41"/>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u w:val="single"/>
        </w:rPr>
        <w:t xml:space="preserve">乙方（全称）：                               </w:t>
      </w:r>
    </w:p>
    <w:p w14:paraId="4910EC26">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p>
    <w:p w14:paraId="6F558C13">
      <w:pPr>
        <w:pStyle w:val="41"/>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和</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根据《中华人民共和国建筑法》和《建设工程质量管理条例》，经协商一致就</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（工程全称）签订工程质量保修书。</w:t>
      </w:r>
    </w:p>
    <w:p w14:paraId="1ED2E783">
      <w:pPr>
        <w:pStyle w:val="41"/>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一、工程质量保修范围和内容</w:t>
      </w:r>
    </w:p>
    <w:p w14:paraId="2BA3541F">
      <w:pPr>
        <w:pStyle w:val="41"/>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在质量保修期内，按照有关法律规定和合同约定，承担工程质量保修责任。</w:t>
      </w:r>
    </w:p>
    <w:p w14:paraId="498296FE">
      <w:pPr>
        <w:pStyle w:val="41"/>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质量保修范围包含但不限于园建工程、绿化工程、架空层工程、水电安装工程以及双方约定的其他项目。</w:t>
      </w:r>
    </w:p>
    <w:p w14:paraId="292D594D">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二、质量保修期</w:t>
      </w:r>
    </w:p>
    <w:p w14:paraId="3AF03885">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根据《建设工程质量管理条例》及有关规定，工程的质量保修期如下：</w:t>
      </w:r>
    </w:p>
    <w:p w14:paraId="5C17477B">
      <w:pPr>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1.基础、主体结构、挡土墙等工程为设计文件规定的该工程合理使用年限，</w:t>
      </w:r>
    </w:p>
    <w:p w14:paraId="2B479758">
      <w:pPr>
        <w:pageBreakBefore w:val="0"/>
        <w:kinsoku/>
        <w:overflowPunct/>
        <w:topLinePunct w:val="0"/>
        <w:autoSpaceDE/>
        <w:autoSpaceDN/>
        <w:bidi w:val="0"/>
        <w:spacing w:beforeAutospacing="0" w:afterAutospacing="0" w:line="540" w:lineRule="exact"/>
        <w:ind w:left="239" w:leftChars="114" w:firstLine="0" w:firstLine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节能、防水等工程为5年；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装修部分工程为2年；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电气管线、上下水管线安装工程为2年；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室外的上下水和小区道路等市政公用工程为2年；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其他约定：除上述内容外的其他内容均保修2年。</w:t>
      </w:r>
    </w:p>
    <w:p w14:paraId="41BF501F">
      <w:pPr>
        <w:pStyle w:val="8"/>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临时设施类未满2年已完成拆除的，质保期限至完成拆除之日止。</w:t>
      </w:r>
    </w:p>
    <w:p w14:paraId="473ED0CB">
      <w:pPr>
        <w:pStyle w:val="11"/>
        <w:pageBreakBefore w:val="0"/>
        <w:kinsoku/>
        <w:overflowPunct/>
        <w:topLinePunct w:val="0"/>
        <w:autoSpaceDE/>
        <w:autoSpaceDN/>
        <w:bidi w:val="0"/>
        <w:spacing w:beforeAutospacing="0" w:after="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8.行业有特殊要求的，按行业要求执行。</w:t>
      </w:r>
    </w:p>
    <w:p w14:paraId="20922203">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三、缺陷责任期</w:t>
      </w:r>
    </w:p>
    <w:p w14:paraId="238C2676">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工程缺陷责任期为</w:t>
      </w:r>
      <w:r>
        <w:rPr>
          <w:rFonts w:hint="eastAsia" w:ascii="方正仿宋_GB2312" w:hAnsi="方正仿宋_GB2312" w:eastAsia="方正仿宋_GB2312" w:cs="方正仿宋_GB2312"/>
          <w:color w:val="auto"/>
          <w:sz w:val="24"/>
          <w:szCs w:val="24"/>
          <w:highlight w:val="none"/>
          <w:u w:val="single"/>
        </w:rPr>
        <w:t>2</w:t>
      </w:r>
      <w:r>
        <w:rPr>
          <w:rFonts w:hint="eastAsia" w:ascii="方正仿宋_GB2312" w:hAnsi="方正仿宋_GB2312" w:eastAsia="方正仿宋_GB2312" w:cs="方正仿宋_GB2312"/>
          <w:color w:val="auto"/>
          <w:sz w:val="24"/>
          <w:szCs w:val="24"/>
          <w:highlight w:val="none"/>
        </w:rPr>
        <w:t>年，缺陷责任期自工程竣工验收合格之日起计算。单位工程先于全部工程进行验收，单位工程缺陷责任期自单位工程验收合格之日起算。</w:t>
      </w:r>
    </w:p>
    <w:p w14:paraId="4F03EEAC">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缺陷责任期</w:t>
      </w:r>
      <w:r>
        <w:rPr>
          <w:rFonts w:hint="eastAsia" w:ascii="方正仿宋_GB2312" w:hAnsi="方正仿宋_GB2312" w:eastAsia="方正仿宋_GB2312" w:cs="方正仿宋_GB2312"/>
          <w:color w:val="auto"/>
          <w:sz w:val="24"/>
          <w:szCs w:val="24"/>
          <w:highlight w:val="none"/>
          <w:u w:val="single"/>
        </w:rPr>
        <w:t>满</w:t>
      </w:r>
      <w:r>
        <w:rPr>
          <w:rFonts w:hint="eastAsia" w:ascii="方正仿宋_GB2312" w:hAnsi="方正仿宋_GB2312" w:eastAsia="方正仿宋_GB2312" w:cs="方正仿宋_GB2312"/>
          <w:color w:val="auto"/>
          <w:sz w:val="24"/>
          <w:szCs w:val="24"/>
          <w:highlight w:val="none"/>
        </w:rPr>
        <w:t>之日起</w:t>
      </w:r>
      <w:r>
        <w:rPr>
          <w:rFonts w:hint="eastAsia" w:ascii="方正仿宋_GB2312" w:hAnsi="方正仿宋_GB2312" w:eastAsia="方正仿宋_GB2312" w:cs="方正仿宋_GB2312"/>
          <w:color w:val="auto"/>
          <w:sz w:val="24"/>
          <w:szCs w:val="24"/>
          <w:highlight w:val="none"/>
          <w:u w:val="single"/>
        </w:rPr>
        <w:t>30</w:t>
      </w:r>
      <w:r>
        <w:rPr>
          <w:rFonts w:hint="eastAsia" w:ascii="方正仿宋_GB2312" w:hAnsi="方正仿宋_GB2312" w:eastAsia="方正仿宋_GB2312" w:cs="方正仿宋_GB2312"/>
          <w:color w:val="auto"/>
          <w:sz w:val="24"/>
          <w:szCs w:val="24"/>
          <w:highlight w:val="none"/>
        </w:rPr>
        <w:t>天</w:t>
      </w:r>
      <w:r>
        <w:rPr>
          <w:rFonts w:hint="eastAsia" w:ascii="方正仿宋_GB2312" w:hAnsi="方正仿宋_GB2312" w:eastAsia="方正仿宋_GB2312" w:cs="方正仿宋_GB2312"/>
          <w:color w:val="auto"/>
          <w:sz w:val="24"/>
          <w:szCs w:val="24"/>
          <w:highlight w:val="none"/>
          <w:u w:val="single"/>
        </w:rPr>
        <w:t>（按合同约定期限），如乙方无任何违约行为的，</w:t>
      </w:r>
      <w:r>
        <w:rPr>
          <w:rFonts w:hint="eastAsia" w:ascii="方正仿宋_GB2312" w:hAnsi="方正仿宋_GB2312" w:eastAsia="方正仿宋_GB2312" w:cs="方正仿宋_GB2312"/>
          <w:color w:val="auto"/>
          <w:sz w:val="24"/>
          <w:szCs w:val="24"/>
          <w:highlight w:val="none"/>
        </w:rPr>
        <w:t>甲方应退还剩余的质量保证金（无息）。</w:t>
      </w:r>
    </w:p>
    <w:p w14:paraId="760524A0">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四、质量保修责任</w:t>
      </w:r>
    </w:p>
    <w:p w14:paraId="6DBC7A16">
      <w:pPr>
        <w:pStyle w:val="41"/>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1．属于保修范围、内容的项目，</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应当在接到保修通知之日起</w:t>
      </w:r>
      <w:r>
        <w:rPr>
          <w:rFonts w:hint="eastAsia" w:ascii="方正仿宋_GB2312" w:hAnsi="方正仿宋_GB2312" w:eastAsia="方正仿宋_GB2312" w:cs="方正仿宋_GB2312"/>
          <w:color w:val="auto"/>
          <w:sz w:val="24"/>
          <w:szCs w:val="24"/>
          <w:highlight w:val="none"/>
          <w:u w:val="single"/>
        </w:rPr>
        <w:t>1</w:t>
      </w:r>
      <w:r>
        <w:rPr>
          <w:rFonts w:hint="eastAsia" w:ascii="方正仿宋_GB2312" w:hAnsi="方正仿宋_GB2312" w:eastAsia="方正仿宋_GB2312" w:cs="方正仿宋_GB2312"/>
          <w:color w:val="auto"/>
          <w:sz w:val="24"/>
          <w:szCs w:val="24"/>
          <w:highlight w:val="none"/>
        </w:rPr>
        <w:t>天内派人保修。</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不在约定期限内派人报修的，</w:t>
      </w:r>
      <w:r>
        <w:rPr>
          <w:rFonts w:hint="eastAsia" w:ascii="方正仿宋_GB2312" w:hAnsi="方正仿宋_GB2312" w:eastAsia="方正仿宋_GB2312" w:cs="方正仿宋_GB2312"/>
          <w:color w:val="auto"/>
          <w:sz w:val="24"/>
          <w:szCs w:val="24"/>
          <w:highlight w:val="none"/>
          <w:lang w:val="en-US" w:eastAsia="zh-CN"/>
        </w:rPr>
        <w:t>甲方</w:t>
      </w:r>
      <w:r>
        <w:rPr>
          <w:rFonts w:hint="eastAsia" w:ascii="方正仿宋_GB2312" w:hAnsi="方正仿宋_GB2312" w:eastAsia="方正仿宋_GB2312" w:cs="方正仿宋_GB2312"/>
          <w:color w:val="auto"/>
          <w:sz w:val="24"/>
          <w:szCs w:val="24"/>
          <w:highlight w:val="none"/>
        </w:rPr>
        <w:t>可以委托他人修理，修理费用从质量保证金内扣除。</w:t>
      </w:r>
    </w:p>
    <w:p w14:paraId="354E8052">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2．发生紧急事故需抢修的，</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在接到事故通知后，应当立即到达事故现场抢修。</w:t>
      </w:r>
    </w:p>
    <w:p w14:paraId="224379AD">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实施保修。</w:t>
      </w:r>
    </w:p>
    <w:p w14:paraId="54884AC2">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4.绿植养护期内，</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确保植物存活率达100%，如出现植物枯死，</w:t>
      </w:r>
      <w:r>
        <w:rPr>
          <w:rFonts w:hint="eastAsia" w:ascii="方正仿宋_GB2312" w:hAnsi="方正仿宋_GB2312" w:eastAsia="方正仿宋_GB2312" w:cs="方正仿宋_GB2312"/>
          <w:snapToGrid w:val="0"/>
          <w:color w:val="auto"/>
          <w:sz w:val="24"/>
          <w:szCs w:val="24"/>
          <w:highlight w:val="none"/>
        </w:rPr>
        <w:t>则由</w:t>
      </w:r>
      <w:r>
        <w:rPr>
          <w:rFonts w:hint="eastAsia" w:ascii="方正仿宋_GB2312" w:hAnsi="方正仿宋_GB2312" w:eastAsia="方正仿宋_GB2312" w:cs="方正仿宋_GB2312"/>
          <w:snapToGrid w:val="0"/>
          <w:color w:val="auto"/>
          <w:sz w:val="24"/>
          <w:szCs w:val="24"/>
          <w:highlight w:val="none"/>
          <w:lang w:val="en-US" w:eastAsia="zh-CN"/>
        </w:rPr>
        <w:t>乙方</w:t>
      </w:r>
      <w:r>
        <w:rPr>
          <w:rFonts w:hint="eastAsia" w:ascii="方正仿宋_GB2312" w:hAnsi="方正仿宋_GB2312" w:eastAsia="方正仿宋_GB2312" w:cs="方正仿宋_GB2312"/>
          <w:snapToGrid w:val="0"/>
          <w:color w:val="auto"/>
          <w:sz w:val="24"/>
          <w:szCs w:val="24"/>
          <w:highlight w:val="none"/>
        </w:rPr>
        <w:t>负责免费按施工图纸补种</w:t>
      </w:r>
      <w:r>
        <w:rPr>
          <w:rFonts w:hint="eastAsia" w:ascii="方正仿宋_GB2312" w:hAnsi="方正仿宋_GB2312" w:eastAsia="方正仿宋_GB2312" w:cs="方正仿宋_GB2312"/>
          <w:color w:val="auto"/>
          <w:sz w:val="24"/>
          <w:szCs w:val="24"/>
          <w:highlight w:val="none"/>
        </w:rPr>
        <w:t>。</w:t>
      </w:r>
    </w:p>
    <w:p w14:paraId="4A3E334B">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5．质量保修完成后，由</w:t>
      </w:r>
      <w:r>
        <w:rPr>
          <w:rFonts w:hint="eastAsia" w:ascii="方正仿宋_GB2312" w:hAnsi="方正仿宋_GB2312" w:eastAsia="方正仿宋_GB2312" w:cs="方正仿宋_GB2312"/>
          <w:color w:val="auto"/>
          <w:sz w:val="24"/>
          <w:szCs w:val="24"/>
          <w:highlight w:val="none"/>
          <w:lang w:val="en-US" w:eastAsia="zh-CN"/>
        </w:rPr>
        <w:t>甲方</w:t>
      </w:r>
      <w:r>
        <w:rPr>
          <w:rFonts w:hint="eastAsia" w:ascii="方正仿宋_GB2312" w:hAnsi="方正仿宋_GB2312" w:eastAsia="方正仿宋_GB2312" w:cs="方正仿宋_GB2312"/>
          <w:color w:val="auto"/>
          <w:sz w:val="24"/>
          <w:szCs w:val="24"/>
          <w:highlight w:val="none"/>
        </w:rPr>
        <w:t>组织验收。</w:t>
      </w:r>
    </w:p>
    <w:p w14:paraId="5C306EA6">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五、保修费用</w:t>
      </w:r>
    </w:p>
    <w:p w14:paraId="231E5AB5">
      <w:pPr>
        <w:pStyle w:val="41"/>
        <w:pageBreakBefore w:val="0"/>
        <w:tabs>
          <w:tab w:val="left" w:pos="7380"/>
        </w:tabs>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保修费用由造成质量缺陷的责任方承担。</w:t>
      </w:r>
    </w:p>
    <w:p w14:paraId="1FF5F808">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六、双方约定的其他工程质量保修事项：</w:t>
      </w:r>
    </w:p>
    <w:p w14:paraId="74EE0816">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1、自验收合格之日起不低于</w:t>
      </w: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zh-CN"/>
        </w:rPr>
        <w:t>年，国家主管部门或者行业标准对货物本身有更高要求的，从其规定并在合同中约定，</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lang w:val="zh-CN"/>
        </w:rPr>
        <w:t>亦可提报更长的质保期。</w:t>
      </w:r>
    </w:p>
    <w:p w14:paraId="4C1C765E">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zh-CN"/>
        </w:rPr>
        <w:t>质量保证期保证要求</w:t>
      </w:r>
    </w:p>
    <w:p w14:paraId="155FA1C5">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  园林分部工程全部合格、质量控制资料完整。</w:t>
      </w:r>
    </w:p>
    <w:p w14:paraId="2FECBE86">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2.2、建设工程在保修范围和保修期限内发生质量问题的，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应当履行保修义务，并对造成的损失承担赔偿责任。</w:t>
      </w:r>
    </w:p>
    <w:p w14:paraId="043C0F52">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2.3、苗木种植成活率必须达到100%，并达到《城市绿化工程施工及验收规范》和《园林绿化技术规程》</w:t>
      </w:r>
    </w:p>
    <w:p w14:paraId="69EAFD00">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2.4、工</w:t>
      </w:r>
      <w:r>
        <w:rPr>
          <w:rFonts w:hint="eastAsia" w:ascii="方正仿宋_GB2312" w:hAnsi="方正仿宋_GB2312" w:eastAsia="方正仿宋_GB2312" w:cs="方正仿宋_GB2312"/>
          <w:color w:val="auto"/>
          <w:sz w:val="24"/>
          <w:szCs w:val="24"/>
          <w:highlight w:val="none"/>
        </w:rPr>
        <w:t>程质量保修期从工程实际竣工验收合格之日起算（如发生返修的，从返修部分经</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验收合格之日起算），分单项竣工验收的工程，按该单项工程通过</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、监理人的验收之日起分别计算质量保修期。</w:t>
      </w:r>
    </w:p>
    <w:p w14:paraId="14E34C0E">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2.5、</w:t>
      </w:r>
      <w:r>
        <w:rPr>
          <w:rFonts w:hint="eastAsia" w:ascii="方正仿宋_GB2312" w:hAnsi="方正仿宋_GB2312" w:eastAsia="方正仿宋_GB2312" w:cs="方正仿宋_GB2312"/>
          <w:color w:val="auto"/>
          <w:sz w:val="24"/>
          <w:szCs w:val="24"/>
          <w:highlight w:val="none"/>
        </w:rPr>
        <w:t>工程质量保修期内，属于保修范围和内容的项目，</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应当在接到</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或物业服务公司的通知后120分钟内派维修人员赶到现场，并应在保修通知中要求的时间内完成维修。如</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不在约定期限内派人修理或不按</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或物业服务公司通知的时间完成保修的，</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可以委托第三方进行维修，维修费用从工程质量保证金中扣除，用款额度无须</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确认，同时</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还应向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支付与修理费用等额的违约金，且</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的保修义务不能因此而免除。</w:t>
      </w:r>
    </w:p>
    <w:p w14:paraId="0AFA86A3">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2.6、</w:t>
      </w:r>
      <w:r>
        <w:rPr>
          <w:rFonts w:hint="eastAsia" w:ascii="方正仿宋_GB2312" w:hAnsi="方正仿宋_GB2312" w:eastAsia="方正仿宋_GB2312" w:cs="方正仿宋_GB2312"/>
          <w:color w:val="auto"/>
          <w:sz w:val="24"/>
          <w:szCs w:val="24"/>
          <w:highlight w:val="none"/>
        </w:rPr>
        <w:t>由于</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不履行保修责任，</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按约定直接从工程质量保证金中扣除的相关费用累计超过原质量保证金总额的50%的，</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应以书面形式通知</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应于</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发出书面通知后十个工作日内，按</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已扣除的费用额度补足工程质量保证金，否则按</w:t>
      </w:r>
      <w:r>
        <w:rPr>
          <w:rFonts w:hint="eastAsia" w:ascii="方正仿宋_GB2312" w:hAnsi="方正仿宋_GB2312" w:eastAsia="方正仿宋_GB2312" w:cs="方正仿宋_GB2312"/>
          <w:color w:val="auto"/>
          <w:sz w:val="24"/>
          <w:szCs w:val="24"/>
          <w:highlight w:val="none"/>
          <w:lang w:bidi="en-US"/>
        </w:rPr>
        <w:t>10000.00</w:t>
      </w:r>
      <w:r>
        <w:rPr>
          <w:rFonts w:hint="eastAsia" w:ascii="方正仿宋_GB2312" w:hAnsi="方正仿宋_GB2312" w:eastAsia="方正仿宋_GB2312" w:cs="方正仿宋_GB2312"/>
          <w:color w:val="auto"/>
          <w:sz w:val="24"/>
          <w:szCs w:val="24"/>
          <w:highlight w:val="none"/>
        </w:rPr>
        <w:t>元</w:t>
      </w:r>
      <w:r>
        <w:rPr>
          <w:rFonts w:hint="eastAsia" w:ascii="方正仿宋_GB2312" w:hAnsi="方正仿宋_GB2312" w:eastAsia="方正仿宋_GB2312" w:cs="方正仿宋_GB2312"/>
          <w:color w:val="auto"/>
          <w:sz w:val="24"/>
          <w:szCs w:val="24"/>
          <w:highlight w:val="none"/>
          <w:lang w:bidi="en-US"/>
        </w:rPr>
        <w:t>/日</w:t>
      </w:r>
      <w:r>
        <w:rPr>
          <w:rFonts w:hint="eastAsia" w:ascii="方正仿宋_GB2312" w:hAnsi="方正仿宋_GB2312" w:eastAsia="方正仿宋_GB2312" w:cs="方正仿宋_GB2312"/>
          <w:color w:val="auto"/>
          <w:sz w:val="24"/>
          <w:szCs w:val="24"/>
          <w:highlight w:val="none"/>
        </w:rPr>
        <w:t>的标准向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支付违约金。</w:t>
      </w:r>
    </w:p>
    <w:p w14:paraId="36D1A799">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2.7、</w:t>
      </w:r>
      <w:r>
        <w:rPr>
          <w:rFonts w:hint="eastAsia" w:ascii="方正仿宋_GB2312" w:hAnsi="方正仿宋_GB2312" w:eastAsia="方正仿宋_GB2312" w:cs="方正仿宋_GB2312"/>
          <w:color w:val="auto"/>
          <w:sz w:val="24"/>
          <w:szCs w:val="24"/>
          <w:highlight w:val="none"/>
        </w:rPr>
        <w:t>工程质量保修期内如发生紧急抢修事故，</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应在接到</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或物业服务公司的通知后1小 时内到达事故现场抢修。非</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施工质量引起的事故，抢修费用由责任方承担。</w:t>
      </w:r>
    </w:p>
    <w:p w14:paraId="17DCB155">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2.8、</w:t>
      </w:r>
      <w:r>
        <w:rPr>
          <w:rFonts w:hint="eastAsia" w:ascii="方正仿宋_GB2312" w:hAnsi="方正仿宋_GB2312" w:eastAsia="方正仿宋_GB2312" w:cs="方正仿宋_GB2312"/>
          <w:color w:val="auto"/>
          <w:sz w:val="24"/>
          <w:szCs w:val="24"/>
          <w:highlight w:val="none"/>
        </w:rPr>
        <w:t>质量保修完成后，由</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组织相关部门进行验收。如验收不合格的，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应负责继续维修直至通过验收为止。在此期间</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应按10000. 00元/日的标准向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支付违约金。</w:t>
      </w:r>
    </w:p>
    <w:p w14:paraId="66341F11">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2.9、在工程质量保修期及国家规定的工程合理使用期限内，因</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原因致使工程在</w:t>
      </w:r>
      <w:r>
        <w:rPr>
          <w:rFonts w:hint="eastAsia" w:ascii="方正仿宋_GB2312" w:hAnsi="方正仿宋_GB2312" w:eastAsia="方正仿宋_GB2312" w:cs="方正仿宋_GB2312"/>
          <w:snapToGrid w:val="0"/>
          <w:color w:val="auto"/>
          <w:sz w:val="24"/>
          <w:szCs w:val="24"/>
          <w:highlight w:val="none"/>
        </w:rPr>
        <w:t>合理</w:t>
      </w:r>
      <w:r>
        <w:rPr>
          <w:rFonts w:hint="eastAsia" w:ascii="方正仿宋_GB2312" w:hAnsi="方正仿宋_GB2312" w:eastAsia="方正仿宋_GB2312" w:cs="方正仿宋_GB2312"/>
          <w:color w:val="auto"/>
          <w:sz w:val="24"/>
          <w:szCs w:val="24"/>
          <w:highlight w:val="none"/>
        </w:rPr>
        <w:t>使用期限内造成人身和财产损害的，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应承担全部损害赔偿责任。</w:t>
      </w:r>
    </w:p>
    <w:p w14:paraId="7B779D52">
      <w:pPr>
        <w:pStyle w:val="41"/>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本工程质量保修书由</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在工程竣工验收前共同签署，作为</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附件，其有效期限至保修期满。</w:t>
      </w:r>
    </w:p>
    <w:p w14:paraId="6BFB17C9">
      <w:pPr>
        <w:pStyle w:val="41"/>
        <w:pageBreakBefore w:val="0"/>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p>
    <w:p w14:paraId="771AB9B9">
      <w:pPr>
        <w:pStyle w:val="41"/>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471DDEAA">
      <w:pPr>
        <w:pStyle w:val="41"/>
        <w:pageBreakBefore w:val="0"/>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p>
    <w:p w14:paraId="3073324C">
      <w:pPr>
        <w:pStyle w:val="41"/>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46C35A0C">
      <w:pPr>
        <w:pStyle w:val="41"/>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（以下无正文）</w:t>
      </w:r>
    </w:p>
    <w:p w14:paraId="0050BD3D">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sectPr>
          <w:type w:val="continuous"/>
          <w:pgSz w:w="11906" w:h="16838"/>
          <w:pgMar w:top="1440" w:right="1800" w:bottom="1440" w:left="1800" w:header="851" w:footer="992" w:gutter="0"/>
          <w:cols w:space="720" w:num="1"/>
          <w:docGrid w:type="lines" w:linePitch="312" w:charSpace="0"/>
        </w:sectPr>
      </w:pPr>
    </w:p>
    <w:p w14:paraId="5A346555">
      <w:pPr>
        <w:pStyle w:val="41"/>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2D1A7339">
      <w:pPr>
        <w:pStyle w:val="41"/>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66D41452">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691930D1">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甲方：南宁轨道地产建筑工程有限责任公司     乙方： </w:t>
      </w:r>
    </w:p>
    <w:p w14:paraId="0BB07DFC">
      <w:pPr>
        <w:pStyle w:val="3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2F0197A">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　　　　　　                    法定代表人：</w:t>
      </w:r>
    </w:p>
    <w:p w14:paraId="79374F38">
      <w:pPr>
        <w:pStyle w:val="37"/>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或委托代理人：                              或委托代理人：</w:t>
      </w:r>
    </w:p>
    <w:p w14:paraId="2C1EE3F7">
      <w:pPr>
        <w:spacing w:line="480" w:lineRule="exact"/>
        <w:ind w:firstLine="560" w:firstLineChars="20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p w14:paraId="25C671AA">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14:paraId="2F6F18C7">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39D377E3">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720" w:firstLineChars="200"/>
        <w:jc w:val="center"/>
        <w:textAlignment w:val="auto"/>
        <w:rPr>
          <w:rFonts w:hint="eastAsia"/>
          <w:b/>
          <w:bCs/>
          <w:sz w:val="36"/>
          <w:szCs w:val="44"/>
          <w:lang w:val="en-US" w:eastAsia="zh-CN"/>
        </w:rPr>
      </w:pPr>
    </w:p>
    <w:p w14:paraId="23E54257">
      <w:pPr>
        <w:spacing w:line="480" w:lineRule="exact"/>
        <w:ind w:firstLine="723" w:firstLineChars="200"/>
        <w:jc w:val="center"/>
        <w:rPr>
          <w:rFonts w:hint="default"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r>
        <w:rPr>
          <w:rFonts w:hint="default" w:ascii="宋体" w:hAnsi="宋体" w:eastAsia="宋体"/>
          <w:b/>
          <w:bCs/>
          <w:color w:val="auto"/>
          <w:sz w:val="36"/>
          <w:szCs w:val="36"/>
          <w:highlight w:val="none"/>
          <w:lang w:val="en-US" w:eastAsia="zh-CN"/>
        </w:rPr>
        <w:br w:type="page"/>
      </w:r>
    </w:p>
    <w:bookmarkEnd w:id="793"/>
    <w:bookmarkEnd w:id="794"/>
    <w:p w14:paraId="1AC46C11">
      <w:pPr>
        <w:spacing w:line="480" w:lineRule="exact"/>
        <w:ind w:firstLine="420" w:firstLineChars="200"/>
        <w:jc w:val="center"/>
        <w:rPr>
          <w:rFonts w:ascii="宋体" w:hAnsi="宋体" w:eastAsia="宋体"/>
          <w:b/>
          <w:bCs/>
          <w:color w:val="auto"/>
          <w:sz w:val="36"/>
          <w:szCs w:val="36"/>
          <w:highlight w:val="none"/>
        </w:rPr>
      </w:pPr>
      <w:r>
        <w:rPr>
          <w:rFonts w:hint="eastAsia" w:cs="Times New Roman"/>
          <w:bCs/>
          <w:color w:val="auto"/>
          <w:highlight w:val="none"/>
          <w:lang w:val="en-US" w:eastAsia="zh-CN"/>
        </w:rPr>
        <w:t xml:space="preserve"> </w:t>
      </w:r>
      <w:r>
        <w:rPr>
          <w:rFonts w:hint="eastAsia" w:ascii="宋体" w:hAnsi="宋体" w:eastAsia="宋体"/>
          <w:b/>
          <w:bCs/>
          <w:color w:val="auto"/>
          <w:sz w:val="36"/>
          <w:szCs w:val="36"/>
          <w:highlight w:val="none"/>
        </w:rPr>
        <w:t>第五章评</w:t>
      </w:r>
      <w:r>
        <w:rPr>
          <w:rFonts w:hint="eastAsia" w:ascii="宋体" w:hAnsi="宋体" w:eastAsia="宋体" w:cs="宋体"/>
          <w:b/>
          <w:bCs/>
          <w:color w:val="auto"/>
          <w:sz w:val="36"/>
          <w:szCs w:val="36"/>
          <w:highlight w:val="none"/>
          <w:lang w:bidi="ar"/>
        </w:rPr>
        <w:t>审</w:t>
      </w:r>
      <w:r>
        <w:rPr>
          <w:rFonts w:hint="eastAsia" w:ascii="宋体" w:hAnsi="宋体" w:eastAsia="宋体"/>
          <w:b/>
          <w:bCs/>
          <w:color w:val="auto"/>
          <w:sz w:val="36"/>
          <w:szCs w:val="36"/>
          <w:highlight w:val="none"/>
        </w:rPr>
        <w:t>办法</w:t>
      </w:r>
    </w:p>
    <w:p w14:paraId="5312A5F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1EEB4A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2B733D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55AC89E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264B042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1A70AE3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w:t>
      </w:r>
      <w:r>
        <w:rPr>
          <w:rFonts w:hint="eastAsia" w:ascii="宋体" w:hAnsi="宋体" w:eastAsia="宋体"/>
          <w:color w:val="auto"/>
          <w:sz w:val="24"/>
          <w:szCs w:val="24"/>
          <w:highlight w:val="none"/>
          <w:lang w:val="en-US" w:eastAsia="zh-CN"/>
        </w:rPr>
        <w:t>先</w:t>
      </w:r>
      <w:r>
        <w:rPr>
          <w:rFonts w:hint="eastAsia" w:ascii="宋体" w:hAnsi="宋体" w:eastAsia="宋体"/>
          <w:color w:val="auto"/>
          <w:sz w:val="24"/>
          <w:szCs w:val="24"/>
          <w:highlight w:val="none"/>
        </w:rPr>
        <w:t>进入技术评审、</w:t>
      </w:r>
      <w:r>
        <w:rPr>
          <w:rFonts w:hint="eastAsia" w:ascii="宋体" w:hAnsi="宋体" w:eastAsia="宋体"/>
          <w:color w:val="auto"/>
          <w:sz w:val="24"/>
          <w:szCs w:val="24"/>
          <w:highlight w:val="none"/>
          <w:lang w:val="en-US" w:eastAsia="zh-CN"/>
        </w:rPr>
        <w:t>后</w:t>
      </w:r>
      <w:r>
        <w:rPr>
          <w:rFonts w:hint="eastAsia" w:ascii="宋体" w:hAnsi="宋体" w:eastAsia="宋体"/>
          <w:color w:val="auto"/>
          <w:sz w:val="24"/>
          <w:szCs w:val="24"/>
          <w:highlight w:val="none"/>
        </w:rPr>
        <w:t>价格评审</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采用</w:t>
      </w:r>
      <w:r>
        <w:rPr>
          <w:rFonts w:hint="eastAsia" w:ascii="宋体" w:hAnsi="宋体" w:eastAsia="宋体"/>
          <w:b/>
          <w:bCs/>
          <w:color w:val="auto"/>
          <w:sz w:val="24"/>
          <w:szCs w:val="24"/>
          <w:highlight w:val="none"/>
          <w:u w:val="single"/>
        </w:rPr>
        <w:t xml:space="preserve"> 综合评</w:t>
      </w:r>
      <w:r>
        <w:rPr>
          <w:rFonts w:hint="eastAsia" w:ascii="宋体" w:hAnsi="宋体" w:eastAsia="宋体"/>
          <w:b/>
          <w:bCs/>
          <w:color w:val="auto"/>
          <w:sz w:val="24"/>
          <w:szCs w:val="24"/>
          <w:highlight w:val="none"/>
          <w:u w:val="single"/>
          <w:lang w:eastAsia="zh-CN"/>
        </w:rPr>
        <w:t>分</w:t>
      </w:r>
      <w:r>
        <w:rPr>
          <w:rFonts w:hint="eastAsia" w:ascii="宋体" w:hAnsi="宋体" w:eastAsia="宋体"/>
          <w:b/>
          <w:bCs/>
          <w:color w:val="auto"/>
          <w:sz w:val="24"/>
          <w:szCs w:val="24"/>
          <w:highlight w:val="none"/>
          <w:u w:val="single"/>
        </w:rPr>
        <w:t>法</w:t>
      </w:r>
      <w:r>
        <w:rPr>
          <w:rFonts w:hint="eastAsia" w:ascii="宋体" w:hAnsi="宋体" w:eastAsia="宋体"/>
          <w:color w:val="auto"/>
          <w:sz w:val="24"/>
          <w:szCs w:val="24"/>
          <w:highlight w:val="none"/>
        </w:rPr>
        <w:t>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40</w:t>
      </w:r>
      <w:r>
        <w:rPr>
          <w:rFonts w:hint="eastAsia" w:ascii="宋体" w:hAnsi="宋体" w:eastAsia="宋体"/>
          <w:b/>
          <w:bCs/>
          <w:color w:val="auto"/>
          <w:sz w:val="24"/>
          <w:szCs w:val="24"/>
          <w:highlight w:val="none"/>
          <w:u w:val="single"/>
        </w:rPr>
        <w:t>分</w:t>
      </w:r>
      <w:r>
        <w:rPr>
          <w:rFonts w:hint="eastAsia" w:ascii="宋体" w:hAnsi="宋体" w:eastAsia="宋体"/>
          <w:b/>
          <w:bCs/>
          <w:color w:val="auto"/>
          <w:sz w:val="24"/>
          <w:szCs w:val="24"/>
          <w:highlight w:val="none"/>
          <w:u w:val="single"/>
          <w:lang w:eastAsia="zh-CN"/>
        </w:rPr>
        <w:t>（（技术标总得分的60%（含）为及格，技术得分合格不足3家比选人的情况视为流标)</w:t>
      </w:r>
      <w:r>
        <w:rPr>
          <w:rFonts w:hint="eastAsia" w:ascii="宋体" w:hAnsi="宋体" w:eastAsia="宋体"/>
          <w:b/>
          <w:bCs/>
          <w:color w:val="auto"/>
          <w:sz w:val="24"/>
          <w:szCs w:val="24"/>
          <w:highlight w:val="none"/>
          <w:u w:val="single"/>
        </w:rPr>
        <w:t>，价格得分</w:t>
      </w:r>
      <w:r>
        <w:rPr>
          <w:rFonts w:hint="eastAsia" w:ascii="宋体" w:hAnsi="宋体" w:eastAsia="宋体"/>
          <w:b/>
          <w:bCs/>
          <w:color w:val="auto"/>
          <w:sz w:val="24"/>
          <w:szCs w:val="24"/>
          <w:highlight w:val="none"/>
          <w:u w:val="single"/>
          <w:lang w:val="en-US" w:eastAsia="zh-CN"/>
        </w:rPr>
        <w:t>60</w:t>
      </w:r>
      <w:r>
        <w:rPr>
          <w:rFonts w:hint="eastAsia" w:ascii="宋体" w:hAnsi="宋体" w:eastAsia="宋体"/>
          <w:b/>
          <w:bCs/>
          <w:color w:val="auto"/>
          <w:sz w:val="24"/>
          <w:szCs w:val="24"/>
          <w:highlight w:val="none"/>
          <w:u w:val="single"/>
        </w:rPr>
        <w:t>分</w:t>
      </w:r>
      <w:r>
        <w:rPr>
          <w:rFonts w:hint="eastAsia" w:ascii="宋体" w:hAnsi="宋体" w:eastAsia="宋体"/>
          <w:color w:val="auto"/>
          <w:sz w:val="24"/>
          <w:szCs w:val="24"/>
          <w:highlight w:val="none"/>
        </w:rPr>
        <w:t>。</w:t>
      </w:r>
    </w:p>
    <w:p w14:paraId="37A2F00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6224E0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07380B3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ascii="宋体" w:hAnsi="宋体" w:eastAsia="宋体"/>
          <w:b/>
          <w:bCs/>
          <w:color w:val="auto"/>
          <w:sz w:val="24"/>
          <w:szCs w:val="24"/>
          <w:highlight w:val="none"/>
          <w:u w:val="single"/>
        </w:rPr>
        <w:t>1-n</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C37118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60B20D7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D52F2B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495DBF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BE3503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15778B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5B0986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0D785574">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4D527E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6A244CB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52F39A8D">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1D0805A3">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8D57B9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EDFE80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6D2D332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5467901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09" w:name="_Hlk36511445"/>
      <w:r>
        <w:rPr>
          <w:rFonts w:hint="eastAsia" w:ascii="宋体" w:hAnsi="宋体" w:eastAsia="宋体"/>
          <w:color w:val="auto"/>
          <w:sz w:val="24"/>
          <w:szCs w:val="24"/>
          <w:highlight w:val="none"/>
        </w:rPr>
        <w:t>比选申请报价清单如有漏项的比选申请文件，将予以否决。</w:t>
      </w:r>
      <w:bookmarkEnd w:id="809"/>
    </w:p>
    <w:p w14:paraId="67EABD3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1EB3168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520D1E8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7046538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45D4C5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084F526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2313EF7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026D1605">
      <w:pPr>
        <w:spacing w:line="48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3.4评审报告</w:t>
      </w:r>
    </w:p>
    <w:p w14:paraId="51D8C1BF">
      <w:pPr>
        <w:spacing w:line="48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比选评审小组应根据评审情况和结果，向比选人提交评审报告。评审报告由比选评审小组成员起草，比选评审小组全体成员应在评审报告上签字确认，评审小组任何一个人如有保留意见可以在评审报告中阐明。</w:t>
      </w:r>
    </w:p>
    <w:p w14:paraId="21ED975F">
      <w:pPr>
        <w:spacing w:line="48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（2）比选评审小组根据总分由高到低顺序推荐中选候选人。</w:t>
      </w:r>
    </w:p>
    <w:p w14:paraId="63E7D2B5">
      <w:pPr>
        <w:spacing w:line="48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w:t>
      </w:r>
      <w:r>
        <w:rPr>
          <w:rFonts w:hint="eastAsia" w:ascii="宋体" w:hAnsi="宋体" w:eastAsia="宋体"/>
          <w:color w:val="auto"/>
          <w:sz w:val="24"/>
          <w:szCs w:val="24"/>
          <w:highlight w:val="none"/>
          <w:lang w:val="en-US" w:eastAsia="zh-CN"/>
        </w:rPr>
        <w:t>综合排名最高的</w:t>
      </w:r>
      <w:r>
        <w:rPr>
          <w:rFonts w:hint="eastAsia" w:ascii="宋体" w:hAnsi="宋体" w:eastAsia="宋体"/>
          <w:color w:val="auto"/>
          <w:sz w:val="24"/>
          <w:szCs w:val="24"/>
          <w:highlight w:val="none"/>
        </w:rPr>
        <w:t>为中选供应商。</w:t>
      </w:r>
    </w:p>
    <w:p w14:paraId="15D15D22">
      <w:pPr>
        <w:spacing w:line="48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②如总分相同时，则价格得分较高的排名靠前；如价格得分也相同，则第一次报价较低的排名靠前；如第一报价也相同，则技术得分较高的排名靠前；如技术得分也相同，则由比选评审小组采用记名投票方式确定其排名顺序。</w:t>
      </w:r>
    </w:p>
    <w:p w14:paraId="6307771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219DD8BE">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2D6004A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BF5C01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306AA7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515D7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7C2536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061F248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5604737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48148AC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38BAE75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6A22CB34">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 xml:space="preserve">       。</w:t>
      </w:r>
    </w:p>
    <w:p w14:paraId="27FD91F4">
      <w:pPr>
        <w:spacing w:line="480" w:lineRule="exact"/>
        <w:ind w:firstLine="480" w:firstLineChars="200"/>
        <w:rPr>
          <w:rFonts w:ascii="宋体" w:hAnsi="宋体" w:eastAsia="宋体"/>
          <w:color w:val="auto"/>
          <w:sz w:val="24"/>
          <w:szCs w:val="24"/>
          <w:highlight w:val="none"/>
        </w:rPr>
      </w:pPr>
    </w:p>
    <w:p w14:paraId="4B7074BA">
      <w:pPr>
        <w:spacing w:line="480" w:lineRule="exact"/>
        <w:ind w:firstLine="480" w:firstLineChars="200"/>
        <w:rPr>
          <w:rFonts w:ascii="宋体" w:hAnsi="宋体" w:eastAsia="宋体"/>
          <w:color w:val="auto"/>
          <w:sz w:val="24"/>
          <w:szCs w:val="24"/>
          <w:highlight w:val="none"/>
        </w:rPr>
      </w:pPr>
    </w:p>
    <w:p w14:paraId="1660B0BD">
      <w:pPr>
        <w:spacing w:line="480" w:lineRule="exact"/>
        <w:ind w:firstLine="480" w:firstLineChars="200"/>
        <w:rPr>
          <w:rFonts w:ascii="宋体" w:hAnsi="宋体" w:eastAsia="宋体"/>
          <w:color w:val="auto"/>
          <w:sz w:val="24"/>
          <w:szCs w:val="24"/>
          <w:highlight w:val="none"/>
        </w:rPr>
      </w:pPr>
    </w:p>
    <w:p w14:paraId="56D9FF81">
      <w:pPr>
        <w:rPr>
          <w:rFonts w:hint="eastAsia"/>
          <w:color w:val="auto"/>
          <w:sz w:val="21"/>
          <w:szCs w:val="21"/>
          <w:highlight w:val="none"/>
        </w:rPr>
      </w:pPr>
      <w:bookmarkStart w:id="810" w:name="_Toc29923"/>
      <w:bookmarkStart w:id="811" w:name="_Toc28404"/>
      <w:bookmarkStart w:id="812" w:name="_Toc9730"/>
      <w:bookmarkStart w:id="813" w:name="_Toc22464"/>
      <w:bookmarkStart w:id="814" w:name="_Toc29245"/>
      <w:bookmarkStart w:id="815" w:name="_Toc25604"/>
      <w:bookmarkStart w:id="816" w:name="_Toc15073"/>
      <w:bookmarkStart w:id="817" w:name="_Toc10968"/>
      <w:bookmarkStart w:id="818" w:name="_Toc15224"/>
      <w:bookmarkStart w:id="819" w:name="_Toc114134688"/>
      <w:bookmarkStart w:id="820" w:name="_Toc492478849"/>
      <w:bookmarkStart w:id="821" w:name="_Toc9189"/>
      <w:bookmarkStart w:id="822" w:name="_Toc434"/>
      <w:bookmarkStart w:id="823" w:name="_Toc23314"/>
      <w:bookmarkStart w:id="824" w:name="_Toc19557"/>
      <w:bookmarkStart w:id="825" w:name="_Toc18096"/>
      <w:bookmarkStart w:id="826" w:name="_Toc31611"/>
      <w:bookmarkStart w:id="827" w:name="_Toc9588"/>
      <w:bookmarkStart w:id="828" w:name="_Toc16364"/>
      <w:bookmarkStart w:id="829" w:name="_Toc25750694"/>
      <w:bookmarkStart w:id="830" w:name="_Toc414290583"/>
      <w:bookmarkStart w:id="831" w:name="_Toc27271"/>
      <w:r>
        <w:rPr>
          <w:rFonts w:hint="eastAsia"/>
          <w:color w:val="auto"/>
          <w:sz w:val="21"/>
          <w:szCs w:val="21"/>
          <w:highlight w:val="none"/>
        </w:rPr>
        <w:br w:type="page"/>
      </w:r>
    </w:p>
    <w:p w14:paraId="7741061D">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24BFD7B6">
      <w:pPr>
        <w:snapToGrid w:val="0"/>
        <w:ind w:firstLine="482"/>
        <w:rPr>
          <w:rFonts w:ascii="宋体" w:hAnsi="宋体"/>
          <w:b/>
          <w:color w:val="auto"/>
          <w:highlight w:val="none"/>
        </w:rPr>
      </w:pPr>
      <w:r>
        <w:rPr>
          <w:rFonts w:hint="eastAsia" w:ascii="宋体" w:hAnsi="宋体"/>
          <w:b/>
          <w:color w:val="auto"/>
          <w:highlight w:val="none"/>
        </w:rPr>
        <w:t>要求：</w:t>
      </w:r>
    </w:p>
    <w:p w14:paraId="72A5CB37">
      <w:pPr>
        <w:snapToGrid w:val="0"/>
        <w:jc w:val="left"/>
        <w:rPr>
          <w:rFonts w:ascii="宋体" w:hAnsi="宋体"/>
          <w:b/>
          <w:sz w:val="20"/>
          <w:szCs w:val="21"/>
          <w:highlight w:val="yellow"/>
        </w:rPr>
      </w:pPr>
      <w:r>
        <w:rPr>
          <w:rFonts w:hint="eastAsia" w:ascii="宋体" w:hAnsi="宋体"/>
          <w:b/>
          <w:sz w:val="20"/>
          <w:szCs w:val="21"/>
          <w:highlight w:val="yellow"/>
        </w:rPr>
        <w:t>1.所有证明资料的复印件加盖公章，原件备查。</w:t>
      </w:r>
    </w:p>
    <w:p w14:paraId="5E2B170A">
      <w:pPr>
        <w:snapToGrid w:val="0"/>
        <w:jc w:val="left"/>
        <w:rPr>
          <w:rFonts w:hint="default" w:ascii="宋体" w:hAnsi="宋体" w:eastAsiaTheme="minorEastAsia"/>
          <w:b/>
          <w:sz w:val="20"/>
          <w:szCs w:val="21"/>
          <w:highlight w:val="yellow"/>
          <w:lang w:val="en-US" w:eastAsia="zh-CN"/>
        </w:rPr>
      </w:pPr>
      <w:r>
        <w:rPr>
          <w:rFonts w:hint="eastAsia" w:ascii="宋体" w:hAnsi="宋体"/>
          <w:b/>
          <w:sz w:val="20"/>
          <w:szCs w:val="21"/>
          <w:highlight w:val="yellow"/>
        </w:rPr>
        <w:t>2.</w:t>
      </w:r>
      <w:r>
        <w:rPr>
          <w:rFonts w:hint="eastAsia" w:ascii="宋体" w:hAnsi="宋体"/>
          <w:b/>
          <w:sz w:val="20"/>
          <w:szCs w:val="21"/>
          <w:highlight w:val="yellow"/>
          <w:lang w:val="en-US" w:eastAsia="zh-CN"/>
        </w:rPr>
        <w:t>所有的资料必须提供，所提供的资料缺少任一项的</w:t>
      </w:r>
      <w:r>
        <w:rPr>
          <w:rFonts w:hint="eastAsia" w:ascii="宋体" w:hAnsi="宋体"/>
          <w:b/>
          <w:sz w:val="20"/>
          <w:szCs w:val="21"/>
          <w:highlight w:val="yellow"/>
        </w:rPr>
        <w:t>则</w:t>
      </w:r>
      <w:r>
        <w:rPr>
          <w:rFonts w:hint="eastAsia" w:ascii="宋体" w:hAnsi="宋体"/>
          <w:b/>
          <w:sz w:val="20"/>
          <w:szCs w:val="21"/>
          <w:highlight w:val="yellow"/>
          <w:lang w:val="en-US" w:eastAsia="zh-CN"/>
        </w:rPr>
        <w:t>为不合格</w:t>
      </w:r>
      <w:r>
        <w:rPr>
          <w:rFonts w:hint="eastAsia" w:ascii="宋体" w:hAnsi="宋体"/>
          <w:b/>
          <w:sz w:val="20"/>
          <w:szCs w:val="21"/>
          <w:highlight w:val="yellow"/>
        </w:rPr>
        <w:t>。</w:t>
      </w:r>
    </w:p>
    <w:p w14:paraId="3544EE3A">
      <w:pPr>
        <w:snapToGrid w:val="0"/>
        <w:jc w:val="left"/>
        <w:rPr>
          <w:rFonts w:ascii="宋体" w:hAnsi="宋体"/>
          <w:b/>
          <w:sz w:val="20"/>
          <w:szCs w:val="21"/>
          <w:highlight w:val="yellow"/>
        </w:rPr>
      </w:pPr>
      <w:r>
        <w:rPr>
          <w:rFonts w:hint="eastAsia" w:ascii="宋体" w:hAnsi="宋体"/>
          <w:b/>
          <w:sz w:val="20"/>
          <w:szCs w:val="21"/>
          <w:highlight w:val="yellow"/>
          <w:lang w:val="en-US" w:eastAsia="zh-CN"/>
        </w:rPr>
        <w:t>3.</w:t>
      </w:r>
      <w:r>
        <w:rPr>
          <w:rFonts w:hint="eastAsia" w:ascii="宋体" w:hAnsi="宋体"/>
          <w:b/>
          <w:sz w:val="20"/>
          <w:szCs w:val="21"/>
          <w:highlight w:val="yellow"/>
        </w:rPr>
        <w:t>评审结果填写合格或不合格，凡评审结果有一项不合格者，结论为不合格。</w:t>
      </w:r>
    </w:p>
    <w:p w14:paraId="6D28D146">
      <w:pPr>
        <w:snapToGrid w:val="0"/>
        <w:spacing w:line="360" w:lineRule="exact"/>
        <w:ind w:right="240"/>
        <w:jc w:val="left"/>
        <w:rPr>
          <w:rFonts w:ascii="宋体" w:hAnsi="宋体"/>
          <w:b/>
          <w:color w:val="auto"/>
          <w:sz w:val="24"/>
          <w:szCs w:val="24"/>
          <w:highlight w:val="none"/>
        </w:rPr>
      </w:pPr>
      <w:r>
        <w:rPr>
          <w:rFonts w:hint="eastAsia" w:ascii="宋体" w:hAnsi="宋体"/>
          <w:b/>
          <w:sz w:val="20"/>
          <w:szCs w:val="21"/>
          <w:highlight w:val="yellow"/>
          <w:lang w:val="en-US" w:eastAsia="zh-CN"/>
        </w:rPr>
        <w:t>4</w:t>
      </w:r>
      <w:r>
        <w:rPr>
          <w:rFonts w:hint="eastAsia" w:ascii="宋体" w:hAnsi="宋体"/>
          <w:b/>
          <w:sz w:val="20"/>
          <w:szCs w:val="21"/>
          <w:highlight w:val="yellow"/>
        </w:rPr>
        <w:t>.比选申请人如未通过上述资格审查，则作比选申请被否决处理并不得进入下一阶段评审。</w:t>
      </w:r>
      <w:r>
        <w:rPr>
          <w:rFonts w:hint="eastAsia" w:ascii="宋体" w:hAnsi="宋体"/>
          <w:b/>
          <w:color w:val="auto"/>
          <w:sz w:val="24"/>
          <w:szCs w:val="24"/>
          <w:highlight w:val="none"/>
        </w:rPr>
        <w:t>（1）资格审查表—符合性检查</w:t>
      </w: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FE04D3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F7D2EDA">
            <w:pPr>
              <w:jc w:val="center"/>
              <w:rPr>
                <w:color w:val="auto"/>
                <w:highlight w:val="none"/>
              </w:rPr>
            </w:pPr>
            <w:r>
              <w:rPr>
                <w:rFonts w:hint="eastAsia"/>
                <w:color w:val="auto"/>
                <w:highlight w:val="none"/>
              </w:rPr>
              <w:t>序号</w:t>
            </w:r>
          </w:p>
        </w:tc>
        <w:tc>
          <w:tcPr>
            <w:tcW w:w="5250" w:type="dxa"/>
            <w:vAlign w:val="center"/>
          </w:tcPr>
          <w:p w14:paraId="29024155">
            <w:pPr>
              <w:jc w:val="center"/>
              <w:rPr>
                <w:color w:val="auto"/>
                <w:highlight w:val="none"/>
              </w:rPr>
            </w:pPr>
            <w:r>
              <w:rPr>
                <w:rFonts w:hint="eastAsia"/>
                <w:color w:val="auto"/>
                <w:highlight w:val="none"/>
              </w:rPr>
              <w:t>评审内容</w:t>
            </w:r>
          </w:p>
        </w:tc>
        <w:tc>
          <w:tcPr>
            <w:tcW w:w="1534" w:type="dxa"/>
          </w:tcPr>
          <w:p w14:paraId="3D140C91">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39088A4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D05C6B0">
            <w:pPr>
              <w:jc w:val="center"/>
              <w:rPr>
                <w:color w:val="auto"/>
                <w:highlight w:val="none"/>
              </w:rPr>
            </w:pPr>
            <w:r>
              <w:rPr>
                <w:rFonts w:hint="eastAsia"/>
                <w:color w:val="auto"/>
                <w:highlight w:val="none"/>
              </w:rPr>
              <w:t>1</w:t>
            </w:r>
          </w:p>
        </w:tc>
        <w:tc>
          <w:tcPr>
            <w:tcW w:w="5250" w:type="dxa"/>
            <w:vAlign w:val="center"/>
          </w:tcPr>
          <w:p w14:paraId="400FB0F0">
            <w:pPr>
              <w:rPr>
                <w:color w:val="auto"/>
                <w:highlight w:val="none"/>
              </w:rPr>
            </w:pPr>
            <w:r>
              <w:rPr>
                <w:rFonts w:hint="eastAsia"/>
                <w:color w:val="auto"/>
                <w:highlight w:val="none"/>
              </w:rPr>
              <w:t>比选申请文件按要求在规定的位置签字（或盖章）并加盖比选申请人单位公章的</w:t>
            </w:r>
          </w:p>
        </w:tc>
        <w:tc>
          <w:tcPr>
            <w:tcW w:w="1534" w:type="dxa"/>
          </w:tcPr>
          <w:p w14:paraId="5615D26C">
            <w:pPr>
              <w:snapToGrid w:val="0"/>
              <w:spacing w:line="360" w:lineRule="exact"/>
              <w:ind w:right="240" w:firstLine="482"/>
              <w:jc w:val="center"/>
              <w:rPr>
                <w:rFonts w:ascii="宋体" w:hAnsi="宋体"/>
                <w:b/>
                <w:color w:val="auto"/>
                <w:sz w:val="24"/>
                <w:szCs w:val="24"/>
                <w:highlight w:val="none"/>
              </w:rPr>
            </w:pPr>
          </w:p>
        </w:tc>
      </w:tr>
      <w:tr w14:paraId="7916210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7485ABC6">
            <w:pPr>
              <w:jc w:val="center"/>
              <w:rPr>
                <w:color w:val="auto"/>
                <w:highlight w:val="none"/>
              </w:rPr>
            </w:pPr>
            <w:r>
              <w:rPr>
                <w:rFonts w:hint="eastAsia"/>
                <w:color w:val="auto"/>
                <w:highlight w:val="none"/>
              </w:rPr>
              <w:t>2</w:t>
            </w:r>
          </w:p>
        </w:tc>
        <w:tc>
          <w:tcPr>
            <w:tcW w:w="5250" w:type="dxa"/>
            <w:vAlign w:val="center"/>
          </w:tcPr>
          <w:p w14:paraId="32A743AD">
            <w:pPr>
              <w:rPr>
                <w:color w:val="auto"/>
                <w:highlight w:val="none"/>
              </w:rPr>
            </w:pPr>
            <w:r>
              <w:rPr>
                <w:rFonts w:hint="eastAsia"/>
                <w:color w:val="auto"/>
                <w:highlight w:val="none"/>
              </w:rPr>
              <w:t>比选申请文件的实质性内容按规定填写、内容齐全、装订、密封的；（按比选文件规定的格式填写的）</w:t>
            </w:r>
          </w:p>
        </w:tc>
        <w:tc>
          <w:tcPr>
            <w:tcW w:w="1534" w:type="dxa"/>
          </w:tcPr>
          <w:p w14:paraId="56E911B7">
            <w:pPr>
              <w:snapToGrid w:val="0"/>
              <w:spacing w:line="360" w:lineRule="exact"/>
              <w:ind w:right="240" w:firstLine="482"/>
              <w:jc w:val="center"/>
              <w:rPr>
                <w:rFonts w:ascii="宋体" w:hAnsi="宋体"/>
                <w:b/>
                <w:color w:val="auto"/>
                <w:sz w:val="24"/>
                <w:szCs w:val="24"/>
                <w:highlight w:val="none"/>
              </w:rPr>
            </w:pPr>
          </w:p>
        </w:tc>
      </w:tr>
      <w:tr w14:paraId="55F95E0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94173D6">
            <w:pPr>
              <w:jc w:val="center"/>
              <w:rPr>
                <w:color w:val="auto"/>
                <w:highlight w:val="none"/>
              </w:rPr>
            </w:pPr>
            <w:r>
              <w:rPr>
                <w:rFonts w:hint="eastAsia"/>
                <w:color w:val="auto"/>
                <w:highlight w:val="none"/>
              </w:rPr>
              <w:t>3</w:t>
            </w:r>
          </w:p>
        </w:tc>
        <w:tc>
          <w:tcPr>
            <w:tcW w:w="5250" w:type="dxa"/>
            <w:vAlign w:val="center"/>
          </w:tcPr>
          <w:p w14:paraId="099CE6EA">
            <w:pPr>
              <w:rPr>
                <w:color w:val="auto"/>
                <w:highlight w:val="none"/>
              </w:rPr>
            </w:pPr>
            <w:r>
              <w:rPr>
                <w:rFonts w:hint="eastAsia"/>
                <w:color w:val="auto"/>
                <w:highlight w:val="none"/>
              </w:rPr>
              <w:t>在比选申请文件中无虚假资料的</w:t>
            </w:r>
          </w:p>
        </w:tc>
        <w:tc>
          <w:tcPr>
            <w:tcW w:w="1534" w:type="dxa"/>
          </w:tcPr>
          <w:p w14:paraId="5742CAD3">
            <w:pPr>
              <w:snapToGrid w:val="0"/>
              <w:spacing w:line="360" w:lineRule="exact"/>
              <w:ind w:right="240" w:firstLine="482"/>
              <w:jc w:val="center"/>
              <w:rPr>
                <w:rFonts w:ascii="宋体" w:hAnsi="宋体"/>
                <w:b/>
                <w:color w:val="auto"/>
                <w:sz w:val="24"/>
                <w:szCs w:val="24"/>
                <w:highlight w:val="none"/>
              </w:rPr>
            </w:pPr>
          </w:p>
        </w:tc>
      </w:tr>
      <w:tr w14:paraId="5CD33E7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43C4196">
            <w:pPr>
              <w:jc w:val="center"/>
              <w:rPr>
                <w:color w:val="auto"/>
                <w:highlight w:val="none"/>
              </w:rPr>
            </w:pPr>
            <w:r>
              <w:rPr>
                <w:rFonts w:hint="eastAsia"/>
                <w:color w:val="auto"/>
                <w:highlight w:val="none"/>
              </w:rPr>
              <w:t>4</w:t>
            </w:r>
          </w:p>
        </w:tc>
        <w:tc>
          <w:tcPr>
            <w:tcW w:w="5250" w:type="dxa"/>
            <w:vAlign w:val="center"/>
          </w:tcPr>
          <w:p w14:paraId="2F117443">
            <w:pPr>
              <w:rPr>
                <w:color w:val="auto"/>
                <w:highlight w:val="none"/>
              </w:rPr>
            </w:pPr>
            <w:r>
              <w:rPr>
                <w:rFonts w:hint="eastAsia"/>
                <w:color w:val="auto"/>
                <w:highlight w:val="none"/>
              </w:rPr>
              <w:t>无比选文件、法律、法规规定的其他否决比选申请条件</w:t>
            </w:r>
          </w:p>
        </w:tc>
        <w:tc>
          <w:tcPr>
            <w:tcW w:w="1534" w:type="dxa"/>
          </w:tcPr>
          <w:p w14:paraId="1AA7B89E">
            <w:pPr>
              <w:snapToGrid w:val="0"/>
              <w:spacing w:line="360" w:lineRule="exact"/>
              <w:ind w:right="240" w:firstLine="482"/>
              <w:jc w:val="center"/>
              <w:rPr>
                <w:rFonts w:ascii="宋体" w:hAnsi="宋体"/>
                <w:b/>
                <w:color w:val="auto"/>
                <w:sz w:val="24"/>
                <w:szCs w:val="24"/>
                <w:highlight w:val="none"/>
              </w:rPr>
            </w:pPr>
          </w:p>
        </w:tc>
      </w:tr>
    </w:tbl>
    <w:p w14:paraId="74BD34E3">
      <w:pPr>
        <w:snapToGrid w:val="0"/>
        <w:spacing w:line="360" w:lineRule="exact"/>
        <w:ind w:right="240" w:firstLine="482"/>
        <w:jc w:val="center"/>
        <w:rPr>
          <w:rFonts w:ascii="宋体" w:hAnsi="宋体"/>
          <w:b/>
          <w:color w:val="auto"/>
          <w:sz w:val="24"/>
          <w:szCs w:val="24"/>
          <w:highlight w:val="none"/>
        </w:rPr>
      </w:pPr>
    </w:p>
    <w:p w14:paraId="391ADA80">
      <w:pPr>
        <w:snapToGrid w:val="0"/>
        <w:spacing w:line="360" w:lineRule="exact"/>
        <w:ind w:right="240" w:firstLine="482"/>
        <w:jc w:val="center"/>
        <w:rPr>
          <w:color w:val="auto"/>
          <w:highlight w:val="none"/>
        </w:rPr>
      </w:pPr>
      <w:r>
        <w:rPr>
          <w:rFonts w:hint="eastAsia" w:ascii="宋体" w:hAnsi="宋体"/>
          <w:b/>
          <w:color w:val="auto"/>
          <w:sz w:val="24"/>
          <w:szCs w:val="24"/>
          <w:highlight w:val="none"/>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736"/>
        <w:gridCol w:w="6150"/>
        <w:gridCol w:w="1231"/>
      </w:tblGrid>
      <w:tr w14:paraId="59BDD24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68BDC35B">
            <w:pPr>
              <w:jc w:val="center"/>
              <w:rPr>
                <w:color w:val="auto"/>
                <w:highlight w:val="none"/>
              </w:rPr>
            </w:pPr>
            <w:r>
              <w:rPr>
                <w:rFonts w:hint="eastAsia"/>
                <w:color w:val="auto"/>
                <w:highlight w:val="none"/>
              </w:rPr>
              <w:t>序号</w:t>
            </w:r>
          </w:p>
        </w:tc>
        <w:tc>
          <w:tcPr>
            <w:tcW w:w="736" w:type="dxa"/>
            <w:vAlign w:val="center"/>
          </w:tcPr>
          <w:p w14:paraId="1D6FD649">
            <w:pPr>
              <w:jc w:val="center"/>
              <w:rPr>
                <w:rFonts w:ascii="宋体" w:hAnsi="宋体"/>
                <w:color w:val="auto"/>
                <w:highlight w:val="none"/>
              </w:rPr>
            </w:pPr>
            <w:r>
              <w:rPr>
                <w:rFonts w:hint="eastAsia" w:ascii="宋体" w:hAnsi="宋体"/>
                <w:color w:val="auto"/>
                <w:highlight w:val="none"/>
              </w:rPr>
              <w:t>评审内容</w:t>
            </w:r>
          </w:p>
        </w:tc>
        <w:tc>
          <w:tcPr>
            <w:tcW w:w="6150" w:type="dxa"/>
            <w:vAlign w:val="center"/>
          </w:tcPr>
          <w:p w14:paraId="08CEB0A8">
            <w:pPr>
              <w:jc w:val="center"/>
              <w:rPr>
                <w:color w:val="auto"/>
                <w:highlight w:val="none"/>
              </w:rPr>
            </w:pPr>
            <w:r>
              <w:rPr>
                <w:rFonts w:hint="eastAsia" w:ascii="宋体" w:hAnsi="宋体"/>
                <w:color w:val="auto"/>
                <w:highlight w:val="none"/>
              </w:rPr>
              <w:t>合格标准</w:t>
            </w:r>
          </w:p>
        </w:tc>
        <w:tc>
          <w:tcPr>
            <w:tcW w:w="1231" w:type="dxa"/>
            <w:vAlign w:val="center"/>
          </w:tcPr>
          <w:p w14:paraId="5FABB8A5">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6C1FBB9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5F0E4C44">
            <w:pPr>
              <w:spacing w:line="400" w:lineRule="exact"/>
              <w:jc w:val="center"/>
              <w:rPr>
                <w:color w:val="auto"/>
                <w:highlight w:val="none"/>
              </w:rPr>
            </w:pPr>
            <w:r>
              <w:rPr>
                <w:rFonts w:hint="eastAsia"/>
                <w:color w:val="auto"/>
                <w:highlight w:val="none"/>
              </w:rPr>
              <w:t>1</w:t>
            </w:r>
          </w:p>
        </w:tc>
        <w:tc>
          <w:tcPr>
            <w:tcW w:w="736" w:type="dxa"/>
            <w:vAlign w:val="center"/>
          </w:tcPr>
          <w:p w14:paraId="5333C864">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6150" w:type="dxa"/>
            <w:vAlign w:val="center"/>
          </w:tcPr>
          <w:p w14:paraId="3BB50040">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1231" w:type="dxa"/>
            <w:vAlign w:val="center"/>
          </w:tcPr>
          <w:p w14:paraId="533AB4E8">
            <w:pPr>
              <w:snapToGrid w:val="0"/>
              <w:spacing w:line="400" w:lineRule="exact"/>
              <w:ind w:right="240" w:firstLine="482"/>
              <w:jc w:val="center"/>
              <w:rPr>
                <w:rFonts w:ascii="宋体" w:hAnsi="宋体"/>
                <w:b/>
                <w:color w:val="auto"/>
                <w:sz w:val="24"/>
                <w:szCs w:val="24"/>
                <w:highlight w:val="none"/>
              </w:rPr>
            </w:pPr>
          </w:p>
        </w:tc>
      </w:tr>
      <w:tr w14:paraId="1813C82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34C67BAD">
            <w:pPr>
              <w:spacing w:line="400" w:lineRule="exact"/>
              <w:jc w:val="center"/>
              <w:rPr>
                <w:color w:val="auto"/>
                <w:highlight w:val="none"/>
              </w:rPr>
            </w:pPr>
            <w:r>
              <w:rPr>
                <w:rFonts w:hint="eastAsia"/>
                <w:color w:val="auto"/>
                <w:highlight w:val="none"/>
              </w:rPr>
              <w:t>2</w:t>
            </w:r>
          </w:p>
        </w:tc>
        <w:tc>
          <w:tcPr>
            <w:tcW w:w="736" w:type="dxa"/>
            <w:vAlign w:val="center"/>
          </w:tcPr>
          <w:p w14:paraId="1ECDC8B4">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6150" w:type="dxa"/>
            <w:vAlign w:val="center"/>
          </w:tcPr>
          <w:p w14:paraId="20C6285A">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0B973367">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 xml:space="preserve">1、营业执照、建筑工程施工总承包或建筑机电安装工程工程专业承包、安全生产许可证。 </w:t>
            </w:r>
          </w:p>
          <w:p w14:paraId="45DDB0DF">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 xml:space="preserve">2、拟配置项目管理机构要求： </w:t>
            </w:r>
          </w:p>
          <w:p w14:paraId="6F4E22FA">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 xml:space="preserve">  ①拟配置项目负责人：1人，具有建筑或装饰装修工程专业一级或二级建造师资格资格证及B证。 </w:t>
            </w:r>
          </w:p>
          <w:p w14:paraId="2FA5B6E0">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②拟配置项目管理人员：施工员2人，具有土建或电气施工员证；专职安全员1人，具有安全员证及C证（广西以外若无岗位证书的必须提供C证）。</w:t>
            </w:r>
          </w:p>
          <w:p w14:paraId="07227885">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 xml:space="preserve">3、无 重大 税收违法失信主体截图（信用中国网址： https://www.creditchina.gov.cn/xinyongfuwu/zhongdashuishouweifaanjian/ ） </w:t>
            </w:r>
          </w:p>
          <w:p w14:paraId="34F36E71">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 xml:space="preserve">4、无严重失信主体名单截图（信用中国网址： https://www.creditchina.gov.cn/xinyongfuwu/shixinheimingdan/ ） </w:t>
            </w:r>
          </w:p>
          <w:p w14:paraId="64F8ECDF">
            <w:pPr>
              <w:spacing w:line="400" w:lineRule="exact"/>
              <w:rPr>
                <w:rFonts w:hint="eastAsia" w:ascii="宋体" w:hAnsi="宋体"/>
                <w:color w:val="auto"/>
                <w:highlight w:val="none"/>
              </w:rPr>
            </w:pPr>
            <w:r>
              <w:rPr>
                <w:rFonts w:hint="eastAsia" w:ascii="宋体" w:hAnsi="宋体"/>
                <w:color w:val="auto"/>
                <w:highlight w:val="none"/>
                <w:lang w:val="en-US" w:eastAsia="zh-CN"/>
              </w:rPr>
              <w:t>5、财务报表或银行资信证明（2022年1月1日至比选申请截止日期任意一年第三方出具的财务报表净利润为正值，或由基本户开户银行开具的无超期、未标注欠息、诉讼等不良记录、账户未休眠的资信证明）。</w:t>
            </w:r>
          </w:p>
        </w:tc>
        <w:tc>
          <w:tcPr>
            <w:tcW w:w="1231" w:type="dxa"/>
            <w:vAlign w:val="center"/>
          </w:tcPr>
          <w:p w14:paraId="4A805950">
            <w:pPr>
              <w:snapToGrid w:val="0"/>
              <w:spacing w:line="400" w:lineRule="exact"/>
              <w:ind w:right="240" w:firstLine="482"/>
              <w:jc w:val="center"/>
              <w:rPr>
                <w:rFonts w:ascii="宋体" w:hAnsi="宋体"/>
                <w:b/>
                <w:color w:val="auto"/>
                <w:sz w:val="24"/>
                <w:szCs w:val="24"/>
                <w:highlight w:val="none"/>
              </w:rPr>
            </w:pPr>
          </w:p>
        </w:tc>
      </w:tr>
      <w:tr w14:paraId="4EAD1E6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12E640D5">
            <w:pPr>
              <w:spacing w:line="400" w:lineRule="exact"/>
              <w:jc w:val="center"/>
              <w:rPr>
                <w:color w:val="auto"/>
                <w:highlight w:val="none"/>
              </w:rPr>
            </w:pPr>
            <w:r>
              <w:rPr>
                <w:rFonts w:hint="eastAsia"/>
                <w:color w:val="auto"/>
                <w:highlight w:val="none"/>
              </w:rPr>
              <w:t>3</w:t>
            </w:r>
          </w:p>
        </w:tc>
        <w:tc>
          <w:tcPr>
            <w:tcW w:w="736" w:type="dxa"/>
            <w:vAlign w:val="center"/>
          </w:tcPr>
          <w:p w14:paraId="0ABC7560">
            <w:pPr>
              <w:spacing w:line="400" w:lineRule="exact"/>
              <w:jc w:val="center"/>
              <w:rPr>
                <w:rFonts w:ascii="宋体" w:hAnsi="宋体"/>
                <w:color w:val="auto"/>
                <w:highlight w:val="none"/>
              </w:rPr>
            </w:pPr>
            <w:r>
              <w:rPr>
                <w:rFonts w:hint="eastAsia" w:ascii="宋体" w:hAnsi="宋体"/>
                <w:color w:val="auto"/>
                <w:highlight w:val="none"/>
              </w:rPr>
              <w:t>业绩证明</w:t>
            </w:r>
          </w:p>
          <w:p w14:paraId="3B337DFC">
            <w:pPr>
              <w:spacing w:line="400" w:lineRule="exact"/>
              <w:jc w:val="center"/>
              <w:rPr>
                <w:rFonts w:ascii="宋体" w:hAnsi="宋体"/>
                <w:color w:val="auto"/>
                <w:highlight w:val="none"/>
              </w:rPr>
            </w:pPr>
          </w:p>
        </w:tc>
        <w:tc>
          <w:tcPr>
            <w:tcW w:w="6150" w:type="dxa"/>
            <w:vAlign w:val="center"/>
          </w:tcPr>
          <w:p w14:paraId="66A92E1B">
            <w:pPr>
              <w:spacing w:line="400" w:lineRule="exact"/>
              <w:rPr>
                <w:rFonts w:hint="eastAsia" w:ascii="宋体" w:hAnsi="宋体"/>
                <w:color w:val="auto"/>
                <w:highlight w:val="none"/>
              </w:rPr>
            </w:pPr>
            <w:r>
              <w:rPr>
                <w:rFonts w:hint="eastAsia" w:ascii="宋体" w:hAnsi="宋体"/>
                <w:color w:val="auto"/>
                <w:highlight w:val="none"/>
              </w:rPr>
              <w:t>业绩证明：提供1个自2022年1月至比选申请截止日期至内完成过或承接过1个单项合同金额达285万元及以上的建筑工程水电施工类的业绩合同。</w:t>
            </w:r>
          </w:p>
          <w:p w14:paraId="33E43CDC">
            <w:pPr>
              <w:spacing w:line="400" w:lineRule="exact"/>
              <w:rPr>
                <w:rFonts w:hint="eastAsia" w:ascii="宋体" w:hAnsi="宋体"/>
                <w:color w:val="auto"/>
                <w:highlight w:val="none"/>
              </w:rPr>
            </w:pPr>
            <w:r>
              <w:rPr>
                <w:rFonts w:hint="eastAsia" w:ascii="宋体" w:hAnsi="宋体"/>
                <w:color w:val="auto"/>
                <w:highlight w:val="none"/>
              </w:rPr>
              <w:t>提供下述材料之一即可：①合同文件；②中标通知书。</w:t>
            </w:r>
          </w:p>
          <w:p w14:paraId="3E4E3DA1">
            <w:pPr>
              <w:spacing w:line="400" w:lineRule="exact"/>
              <w:rPr>
                <w:rFonts w:hint="eastAsia" w:ascii="宋体" w:hAnsi="宋体"/>
                <w:color w:val="auto"/>
                <w:highlight w:val="none"/>
              </w:rPr>
            </w:pPr>
            <w:r>
              <w:rPr>
                <w:rFonts w:hint="eastAsia" w:ascii="宋体" w:hAnsi="宋体"/>
                <w:color w:val="auto"/>
                <w:highlight w:val="none"/>
              </w:rPr>
              <w:t>合同内容需体现具体工程内容、合同总价、签约日期。</w:t>
            </w:r>
          </w:p>
          <w:p w14:paraId="4E227DCC">
            <w:pPr>
              <w:spacing w:line="400" w:lineRule="exact"/>
              <w:rPr>
                <w:rFonts w:hint="eastAsia" w:ascii="宋体" w:hAnsi="宋体"/>
                <w:color w:val="auto"/>
                <w:highlight w:val="none"/>
              </w:rPr>
            </w:pPr>
            <w:r>
              <w:rPr>
                <w:rFonts w:hint="eastAsia" w:ascii="宋体" w:hAnsi="宋体"/>
                <w:color w:val="auto"/>
                <w:highlight w:val="none"/>
              </w:rPr>
              <w:t>所提供的材料须能明确反映类似项目特征，复印件加盖公章。</w:t>
            </w:r>
          </w:p>
        </w:tc>
        <w:tc>
          <w:tcPr>
            <w:tcW w:w="1231" w:type="dxa"/>
            <w:vAlign w:val="center"/>
          </w:tcPr>
          <w:p w14:paraId="65684444">
            <w:pPr>
              <w:snapToGrid w:val="0"/>
              <w:spacing w:line="400" w:lineRule="exact"/>
              <w:ind w:right="240" w:firstLine="482"/>
              <w:jc w:val="center"/>
              <w:rPr>
                <w:rFonts w:ascii="宋体" w:hAnsi="宋体"/>
                <w:b/>
                <w:color w:val="auto"/>
                <w:sz w:val="24"/>
                <w:szCs w:val="24"/>
                <w:highlight w:val="none"/>
              </w:rPr>
            </w:pPr>
          </w:p>
        </w:tc>
      </w:tr>
      <w:tr w14:paraId="6D47CEC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2780E828">
            <w:pPr>
              <w:spacing w:line="400" w:lineRule="exact"/>
              <w:jc w:val="center"/>
              <w:rPr>
                <w:color w:val="auto"/>
                <w:highlight w:val="none"/>
              </w:rPr>
            </w:pPr>
            <w:r>
              <w:rPr>
                <w:rFonts w:hint="eastAsia"/>
                <w:color w:val="auto"/>
                <w:highlight w:val="none"/>
              </w:rPr>
              <w:t>4</w:t>
            </w:r>
          </w:p>
        </w:tc>
        <w:tc>
          <w:tcPr>
            <w:tcW w:w="736" w:type="dxa"/>
            <w:vAlign w:val="center"/>
          </w:tcPr>
          <w:p w14:paraId="4B9ECBAC">
            <w:pPr>
              <w:spacing w:line="400" w:lineRule="exact"/>
              <w:jc w:val="center"/>
              <w:rPr>
                <w:rFonts w:ascii="宋体" w:hAnsi="宋体"/>
                <w:color w:val="auto"/>
                <w:highlight w:val="none"/>
              </w:rPr>
            </w:pPr>
            <w:r>
              <w:rPr>
                <w:rFonts w:hint="eastAsia" w:ascii="宋体" w:hAnsi="宋体"/>
                <w:color w:val="auto"/>
                <w:highlight w:val="none"/>
              </w:rPr>
              <w:t>承诺书</w:t>
            </w:r>
          </w:p>
        </w:tc>
        <w:tc>
          <w:tcPr>
            <w:tcW w:w="6150" w:type="dxa"/>
            <w:vAlign w:val="center"/>
          </w:tcPr>
          <w:p w14:paraId="65E7D555">
            <w:pPr>
              <w:spacing w:line="400" w:lineRule="exact"/>
              <w:rPr>
                <w:color w:val="auto"/>
                <w:highlight w:val="none"/>
              </w:rPr>
            </w:pPr>
            <w:r>
              <w:rPr>
                <w:rFonts w:hint="eastAsia" w:ascii="宋体" w:hAnsi="宋体"/>
                <w:color w:val="auto"/>
                <w:highlight w:val="none"/>
              </w:rPr>
              <w:t>承诺书原件，按规定格式提供承诺书。</w:t>
            </w:r>
          </w:p>
        </w:tc>
        <w:tc>
          <w:tcPr>
            <w:tcW w:w="1231" w:type="dxa"/>
            <w:vAlign w:val="center"/>
          </w:tcPr>
          <w:p w14:paraId="17917F39">
            <w:pPr>
              <w:snapToGrid w:val="0"/>
              <w:spacing w:line="400" w:lineRule="exact"/>
              <w:ind w:right="240" w:firstLine="482"/>
              <w:jc w:val="center"/>
              <w:rPr>
                <w:rFonts w:ascii="宋体" w:hAnsi="宋体"/>
                <w:b/>
                <w:color w:val="auto"/>
                <w:sz w:val="24"/>
                <w:szCs w:val="24"/>
                <w:highlight w:val="none"/>
              </w:rPr>
            </w:pPr>
          </w:p>
        </w:tc>
      </w:tr>
      <w:tr w14:paraId="2997B55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64219739">
            <w:pPr>
              <w:spacing w:line="400" w:lineRule="exact"/>
              <w:rPr>
                <w:rFonts w:hint="eastAsia"/>
                <w:color w:val="auto"/>
                <w:highlight w:val="none"/>
              </w:rPr>
            </w:pPr>
            <w:r>
              <w:rPr>
                <w:rFonts w:hint="eastAsia" w:ascii="宋体" w:hAnsi="宋体"/>
                <w:color w:val="auto"/>
                <w:highlight w:val="none"/>
                <w:lang w:val="en-US" w:eastAsia="zh-CN"/>
              </w:rPr>
              <w:t>5</w:t>
            </w:r>
          </w:p>
        </w:tc>
        <w:tc>
          <w:tcPr>
            <w:tcW w:w="736" w:type="dxa"/>
            <w:vAlign w:val="center"/>
          </w:tcPr>
          <w:p w14:paraId="4AAA848D">
            <w:pPr>
              <w:spacing w:line="400" w:lineRule="exact"/>
              <w:rPr>
                <w:rFonts w:hint="eastAsia" w:ascii="宋体" w:hAnsi="宋体"/>
                <w:color w:val="auto"/>
                <w:highlight w:val="none"/>
              </w:rPr>
            </w:pPr>
            <w:r>
              <w:rPr>
                <w:rFonts w:hint="eastAsia" w:ascii="宋体" w:hAnsi="宋体"/>
                <w:color w:val="auto"/>
                <w:highlight w:val="none"/>
              </w:rPr>
              <w:t>现场交底</w:t>
            </w:r>
          </w:p>
        </w:tc>
        <w:tc>
          <w:tcPr>
            <w:tcW w:w="6150" w:type="dxa"/>
            <w:vAlign w:val="center"/>
          </w:tcPr>
          <w:p w14:paraId="5343334C">
            <w:pPr>
              <w:spacing w:line="400" w:lineRule="exact"/>
              <w:rPr>
                <w:rFonts w:hint="eastAsia" w:ascii="宋体" w:hAnsi="宋体"/>
                <w:color w:val="auto"/>
                <w:highlight w:val="none"/>
              </w:rPr>
            </w:pPr>
            <w:r>
              <w:rPr>
                <w:rFonts w:hint="eastAsia" w:ascii="宋体" w:hAnsi="宋体"/>
                <w:color w:val="auto"/>
                <w:highlight w:val="none"/>
              </w:rPr>
              <w:t>双方签字确认的《现场交底确认单》作为投标文件的其中一部分，提交文件时一并提供，否则按废标处理。</w:t>
            </w:r>
          </w:p>
        </w:tc>
        <w:tc>
          <w:tcPr>
            <w:tcW w:w="1231" w:type="dxa"/>
            <w:vAlign w:val="center"/>
          </w:tcPr>
          <w:p w14:paraId="5A7D6CFB">
            <w:pPr>
              <w:snapToGrid w:val="0"/>
              <w:spacing w:line="400" w:lineRule="exact"/>
              <w:ind w:right="240" w:firstLine="482"/>
              <w:jc w:val="center"/>
              <w:rPr>
                <w:rFonts w:ascii="宋体" w:hAnsi="宋体"/>
                <w:b/>
                <w:color w:val="auto"/>
                <w:sz w:val="24"/>
                <w:szCs w:val="24"/>
                <w:highlight w:val="none"/>
              </w:rPr>
            </w:pPr>
          </w:p>
        </w:tc>
      </w:tr>
    </w:tbl>
    <w:p w14:paraId="54A5E1B8">
      <w:pPr>
        <w:rPr>
          <w:color w:val="auto"/>
          <w:highlight w:val="none"/>
        </w:rPr>
      </w:pPr>
      <w:r>
        <w:rPr>
          <w:color w:val="auto"/>
          <w:highlight w:val="none"/>
        </w:rPr>
        <w:br w:type="page"/>
      </w:r>
    </w:p>
    <w:p w14:paraId="76FD8068">
      <w:pPr>
        <w:widowControl/>
        <w:jc w:val="left"/>
        <w:rPr>
          <w:rFonts w:ascii="宋体" w:hAnsi="宋体" w:eastAsia="宋体"/>
          <w:color w:val="auto"/>
          <w:sz w:val="24"/>
          <w:szCs w:val="24"/>
          <w:highlight w:val="none"/>
        </w:rPr>
      </w:pPr>
    </w:p>
    <w:p w14:paraId="09BD51E3">
      <w:pPr>
        <w:ind w:firstLine="482"/>
        <w:rPr>
          <w:rFonts w:hint="eastAsia"/>
          <w:b/>
          <w:bCs/>
          <w:color w:val="auto"/>
          <w:highlight w:val="none"/>
        </w:rPr>
      </w:pPr>
      <w:r>
        <w:rPr>
          <w:rFonts w:hint="eastAsia"/>
          <w:b/>
          <w:bCs/>
          <w:color w:val="auto"/>
          <w:highlight w:val="none"/>
        </w:rPr>
        <w:t>附表二《技术文件评分表》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7A85B17F">
      <w:pPr>
        <w:ind w:firstLine="482"/>
        <w:jc w:val="center"/>
        <w:rPr>
          <w:b/>
          <w:bCs/>
          <w:color w:val="auto"/>
          <w:highlight w:val="none"/>
        </w:rPr>
      </w:pPr>
      <w:r>
        <w:rPr>
          <w:rFonts w:hint="eastAsia"/>
          <w:b/>
          <w:bCs/>
          <w:color w:val="auto"/>
          <w:highlight w:val="none"/>
        </w:rPr>
        <w:t>技术文件评分表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337A0502">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72A8B">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ACF03">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29A41">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76C1">
            <w:pPr>
              <w:jc w:val="both"/>
              <w:textAlignment w:val="center"/>
              <w:rPr>
                <w:rFonts w:hint="eastAsia" w:ascii="宋体" w:hAnsi="宋体" w:cs="宋体"/>
                <w:b/>
                <w:bCs/>
                <w:color w:val="auto"/>
                <w:highlight w:val="none"/>
                <w:lang w:bidi="ar"/>
              </w:rPr>
            </w:pPr>
            <w:r>
              <w:rPr>
                <w:rFonts w:hint="eastAsia" w:ascii="宋体" w:hAnsi="宋体" w:cs="宋体"/>
                <w:b/>
                <w:bCs/>
                <w:color w:val="auto"/>
                <w:highlight w:val="none"/>
                <w:lang w:bidi="ar"/>
              </w:rPr>
              <w:t>各项满分</w:t>
            </w:r>
          </w:p>
          <w:p w14:paraId="0474DC3B">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6D98D">
            <w:pPr>
              <w:jc w:val="left"/>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A7028D5">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DB634">
            <w:pPr>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14C3">
            <w:pPr>
              <w:ind w:firstLine="360"/>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施工组织方案：含人员组织、机械组织、质量、安全、文明施工、进度、及其他专业方案等。</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355AF">
            <w:pPr>
              <w:jc w:val="left"/>
              <w:textAlignment w:val="center"/>
              <w:rPr>
                <w:rFonts w:ascii="宋体" w:hAnsi="宋体" w:cs="宋体"/>
                <w:color w:val="auto"/>
                <w:highlight w:val="none"/>
              </w:rPr>
            </w:pPr>
            <w:r>
              <w:rPr>
                <w:rFonts w:hint="eastAsia" w:ascii="宋体" w:hAnsi="宋体" w:cs="宋体"/>
                <w:color w:val="auto"/>
                <w:highlight w:val="none"/>
                <w:lang w:bidi="ar"/>
              </w:rPr>
              <w:t>施工组织方案，满分20分：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方案优秀、针对性很强，得16-20分；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方案合理，有一定针对性，得9-15分；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方案一般，有少部分内容具有针对性，得1-8分。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B3D5">
            <w:pPr>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2CB3">
            <w:pPr>
              <w:jc w:val="center"/>
              <w:rPr>
                <w:rFonts w:ascii="宋体" w:hAnsi="宋体" w:cs="宋体"/>
                <w:color w:val="auto"/>
                <w:highlight w:val="none"/>
              </w:rPr>
            </w:pPr>
          </w:p>
        </w:tc>
      </w:tr>
      <w:tr w14:paraId="0194B213">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9C65D">
            <w:pPr>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5EE1">
            <w:pPr>
              <w:ind w:firstLine="360"/>
              <w:jc w:val="center"/>
              <w:textAlignment w:val="center"/>
              <w:rPr>
                <w:rFonts w:hint="default" w:ascii="宋体" w:hAnsi="宋体" w:cs="宋体" w:eastAsiaTheme="minorEastAsia"/>
                <w:color w:val="auto"/>
                <w:sz w:val="18"/>
                <w:szCs w:val="18"/>
                <w:highlight w:val="none"/>
                <w:lang w:val="en-US" w:eastAsia="zh-CN" w:bidi="ar"/>
              </w:rPr>
            </w:pPr>
            <w:r>
              <w:rPr>
                <w:rFonts w:hint="eastAsia" w:ascii="宋体" w:hAnsi="宋体" w:cs="宋体"/>
                <w:color w:val="auto"/>
                <w:sz w:val="18"/>
                <w:szCs w:val="18"/>
                <w:highlight w:val="none"/>
                <w:lang w:val="en-US" w:eastAsia="zh-CN" w:bidi="ar"/>
              </w:rPr>
              <w:t>进度计划</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9F914">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工期大于工期要求的得0分，小于等于工期要求的按如下计分：</w:t>
            </w:r>
          </w:p>
          <w:p w14:paraId="6CE3C97C">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bidi="ar"/>
              </w:rPr>
              <w:t>根据进度计划编排的合理性、施工内容分解列项的详细程度、工序穿插及搭接的合理性、劳动力配备的人数及工作时长、计划编制的形式等情况</w:t>
            </w:r>
            <w:r>
              <w:rPr>
                <w:rFonts w:hint="eastAsia" w:ascii="宋体" w:hAnsi="宋体" w:cs="宋体"/>
                <w:color w:val="auto"/>
                <w:highlight w:val="none"/>
                <w:lang w:val="en-US" w:eastAsia="zh-CN" w:bidi="ar"/>
              </w:rPr>
              <w:t>分三档评分：</w:t>
            </w:r>
          </w:p>
          <w:p w14:paraId="2CA933A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①优秀得16-20分；</w:t>
            </w:r>
          </w:p>
          <w:p w14:paraId="3999FF2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②良好得9-15分；</w:t>
            </w:r>
          </w:p>
          <w:p w14:paraId="41D6FA56">
            <w:pPr>
              <w:jc w:val="left"/>
              <w:textAlignment w:val="center"/>
              <w:rPr>
                <w:rFonts w:ascii="宋体" w:hAnsi="宋体" w:cs="宋体"/>
                <w:color w:val="auto"/>
                <w:highlight w:val="none"/>
              </w:rPr>
            </w:pPr>
            <w:r>
              <w:rPr>
                <w:rFonts w:hint="eastAsia" w:ascii="宋体" w:hAnsi="宋体" w:cs="宋体"/>
                <w:color w:val="auto"/>
                <w:highlight w:val="none"/>
                <w:lang w:val="en-US" w:eastAsia="zh-CN" w:bidi="ar"/>
              </w:rPr>
              <w:t>③一般得1-8分。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B81B4">
            <w:pPr>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4A49">
            <w:pPr>
              <w:ind w:firstLine="440"/>
              <w:jc w:val="center"/>
              <w:rPr>
                <w:rFonts w:ascii="宋体" w:hAnsi="宋体" w:cs="宋体"/>
                <w:color w:val="auto"/>
                <w:sz w:val="22"/>
                <w:highlight w:val="none"/>
              </w:rPr>
            </w:pPr>
          </w:p>
        </w:tc>
      </w:tr>
      <w:tr w14:paraId="46B99CF4">
        <w:tblPrEx>
          <w:tblCellMar>
            <w:top w:w="0" w:type="dxa"/>
            <w:left w:w="108" w:type="dxa"/>
            <w:bottom w:w="0" w:type="dxa"/>
            <w:right w:w="108" w:type="dxa"/>
          </w:tblCellMar>
        </w:tblPrEx>
        <w:trPr>
          <w:trHeight w:val="540" w:hRule="atLeast"/>
          <w:jc w:val="center"/>
        </w:trPr>
        <w:tc>
          <w:tcPr>
            <w:tcW w:w="931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8552">
            <w:pPr>
              <w:ind w:firstLine="440"/>
              <w:jc w:val="center"/>
              <w:rPr>
                <w:rFonts w:hint="eastAsia" w:ascii="宋体" w:hAnsi="宋体" w:cs="宋体"/>
                <w:color w:val="auto"/>
                <w:sz w:val="22"/>
                <w:highlight w:val="none"/>
              </w:rPr>
            </w:pPr>
            <w:r>
              <w:rPr>
                <w:rFonts w:hint="eastAsia" w:ascii="宋体" w:hAnsi="宋体" w:cs="宋体"/>
                <w:color w:val="auto"/>
                <w:sz w:val="22"/>
                <w:highlight w:val="none"/>
              </w:rPr>
              <w:t>备注:技术文件总得分大于及等于24分为合格，技术文件总得分低于24分为不合格。</w:t>
            </w:r>
          </w:p>
        </w:tc>
      </w:tr>
      <w:tr w14:paraId="0F76D6BB">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A5956">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BB17F">
            <w:pPr>
              <w:ind w:firstLine="440"/>
              <w:jc w:val="center"/>
              <w:rPr>
                <w:rFonts w:ascii="宋体" w:hAnsi="宋体" w:cs="宋体"/>
                <w:color w:val="auto"/>
                <w:sz w:val="22"/>
                <w:highlight w:val="none"/>
              </w:rPr>
            </w:pPr>
          </w:p>
        </w:tc>
      </w:tr>
    </w:tbl>
    <w:p w14:paraId="34CAED47">
      <w:pPr>
        <w:ind w:firstLine="482"/>
        <w:rPr>
          <w:b/>
          <w:bCs/>
          <w:color w:val="auto"/>
          <w:highlight w:val="none"/>
        </w:rPr>
      </w:pPr>
    </w:p>
    <w:p w14:paraId="69B085C7">
      <w:pPr>
        <w:ind w:firstLine="482"/>
        <w:rPr>
          <w:b/>
          <w:bCs/>
          <w:color w:val="auto"/>
          <w:highlight w:val="none"/>
        </w:rPr>
      </w:pPr>
    </w:p>
    <w:p w14:paraId="71243FC9">
      <w:pPr>
        <w:ind w:firstLine="482"/>
        <w:rPr>
          <w:b/>
          <w:bCs/>
          <w:color w:val="auto"/>
          <w:highlight w:val="none"/>
        </w:rPr>
      </w:pPr>
    </w:p>
    <w:p w14:paraId="05D4D890">
      <w:pPr>
        <w:ind w:firstLine="482"/>
        <w:rPr>
          <w:b/>
          <w:bCs/>
          <w:color w:val="auto"/>
          <w:highlight w:val="none"/>
        </w:rPr>
      </w:pPr>
    </w:p>
    <w:p w14:paraId="72A50766">
      <w:pPr>
        <w:ind w:firstLine="482"/>
        <w:rPr>
          <w:b/>
          <w:bCs/>
          <w:color w:val="auto"/>
          <w:highlight w:val="none"/>
        </w:rPr>
      </w:pPr>
    </w:p>
    <w:p w14:paraId="0036BFF5">
      <w:pPr>
        <w:ind w:firstLine="482"/>
        <w:rPr>
          <w:b/>
          <w:bCs/>
          <w:color w:val="auto"/>
          <w:highlight w:val="none"/>
        </w:rPr>
      </w:pPr>
      <w:r>
        <w:rPr>
          <w:b/>
          <w:bCs/>
          <w:color w:val="auto"/>
          <w:highlight w:val="none"/>
        </w:rPr>
        <w:br w:type="page"/>
      </w:r>
    </w:p>
    <w:p w14:paraId="4331562F">
      <w:pPr>
        <w:ind w:firstLine="482"/>
        <w:jc w:val="left"/>
        <w:rPr>
          <w:b/>
          <w:bCs/>
          <w:color w:val="auto"/>
          <w:highlight w:val="none"/>
        </w:rPr>
      </w:pPr>
    </w:p>
    <w:p w14:paraId="36FB7169">
      <w:pPr>
        <w:ind w:firstLine="482"/>
        <w:jc w:val="left"/>
        <w:rPr>
          <w:b/>
          <w:bCs/>
          <w:color w:val="auto"/>
          <w:highlight w:val="none"/>
        </w:rPr>
      </w:pPr>
      <w:r>
        <w:rPr>
          <w:rFonts w:hint="eastAsia"/>
          <w:b/>
          <w:bCs/>
          <w:color w:val="auto"/>
          <w:highlight w:val="none"/>
        </w:rPr>
        <w:t>附表三《价格文件评分表》</w:t>
      </w:r>
    </w:p>
    <w:p w14:paraId="710B96FA">
      <w:pPr>
        <w:ind w:firstLine="482"/>
        <w:jc w:val="center"/>
        <w:rPr>
          <w:b/>
          <w:bCs/>
          <w:color w:val="auto"/>
          <w:highlight w:val="none"/>
        </w:rPr>
      </w:pPr>
      <w:r>
        <w:rPr>
          <w:rFonts w:hint="eastAsia"/>
          <w:b/>
          <w:bCs/>
          <w:color w:val="auto"/>
          <w:highlight w:val="none"/>
        </w:rPr>
        <w:t>价格文件评分表</w:t>
      </w:r>
    </w:p>
    <w:tbl>
      <w:tblPr>
        <w:tblStyle w:val="1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835"/>
        <w:gridCol w:w="992"/>
      </w:tblGrid>
      <w:tr w14:paraId="3819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BE89ABC">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2F61622">
            <w:pPr>
              <w:spacing w:line="440" w:lineRule="exact"/>
              <w:jc w:val="center"/>
              <w:textAlignment w:val="center"/>
              <w:rPr>
                <w:b/>
                <w:color w:val="auto"/>
                <w:highlight w:val="none"/>
              </w:rPr>
            </w:pPr>
            <w:r>
              <w:rPr>
                <w:rFonts w:hint="eastAsia"/>
                <w:color w:val="auto"/>
                <w:highlight w:val="none"/>
              </w:rPr>
              <w:t>评审内容</w:t>
            </w:r>
          </w:p>
        </w:tc>
        <w:tc>
          <w:tcPr>
            <w:tcW w:w="6437" w:type="dxa"/>
            <w:gridSpan w:val="2"/>
            <w:tcBorders>
              <w:top w:val="single" w:color="auto" w:sz="4" w:space="0"/>
              <w:left w:val="single" w:color="auto" w:sz="4" w:space="0"/>
              <w:bottom w:val="single" w:color="auto" w:sz="4" w:space="0"/>
              <w:right w:val="single" w:color="auto" w:sz="4" w:space="0"/>
            </w:tcBorders>
            <w:vAlign w:val="center"/>
          </w:tcPr>
          <w:p w14:paraId="2864660D">
            <w:pPr>
              <w:spacing w:line="440" w:lineRule="exact"/>
              <w:jc w:val="center"/>
              <w:textAlignment w:val="center"/>
              <w:rPr>
                <w:b/>
                <w:bCs/>
                <w:color w:val="auto"/>
                <w:highlight w:val="none"/>
              </w:rPr>
            </w:pPr>
            <w:r>
              <w:rPr>
                <w:rFonts w:hint="eastAsia"/>
                <w:color w:val="auto"/>
                <w:highlight w:val="none"/>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7DEA0661">
            <w:pPr>
              <w:spacing w:line="440" w:lineRule="exact"/>
              <w:jc w:val="center"/>
              <w:textAlignment w:val="center"/>
              <w:rPr>
                <w:color w:val="auto"/>
                <w:highlight w:val="none"/>
              </w:rPr>
            </w:pPr>
            <w:r>
              <w:rPr>
                <w:rFonts w:hint="eastAsia"/>
                <w:color w:val="auto"/>
                <w:highlight w:val="none"/>
              </w:rPr>
              <w:t>得分</w:t>
            </w:r>
          </w:p>
        </w:tc>
      </w:tr>
      <w:tr w14:paraId="3EF7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050F4A9">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6E2B7639">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EA32ABB">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08DC1C55">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4FC8E99E">
            <w:pPr>
              <w:pStyle w:val="7"/>
              <w:spacing w:before="0" w:after="0" w:afterAutospacing="0" w:line="440" w:lineRule="exact"/>
              <w:ind w:right="0"/>
              <w:jc w:val="left"/>
              <w:textAlignment w:val="center"/>
              <w:rPr>
                <w:color w:val="auto"/>
                <w:highlight w:val="none"/>
              </w:rPr>
            </w:pPr>
            <w:r>
              <w:rPr>
                <w:rFonts w:hint="eastAsia"/>
                <w:color w:val="auto"/>
                <w:highlight w:val="none"/>
              </w:rPr>
              <w:t>（2）评审的基准价</w:t>
            </w:r>
          </w:p>
          <w:p w14:paraId="27E3A91B">
            <w:pPr>
              <w:pStyle w:val="7"/>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835" w:type="dxa"/>
            <w:tcBorders>
              <w:top w:val="single" w:color="auto" w:sz="4" w:space="0"/>
              <w:left w:val="single" w:color="auto" w:sz="4" w:space="0"/>
              <w:bottom w:val="single" w:color="auto" w:sz="4" w:space="0"/>
              <w:right w:val="single" w:color="auto" w:sz="4" w:space="0"/>
            </w:tcBorders>
            <w:vAlign w:val="center"/>
          </w:tcPr>
          <w:p w14:paraId="58279193">
            <w:pPr>
              <w:pStyle w:val="12"/>
              <w:spacing w:before="0" w:after="0" w:afterAutospacing="0" w:line="440" w:lineRule="exact"/>
              <w:ind w:left="0" w:right="0" w:firstLine="0"/>
              <w:jc w:val="left"/>
              <w:textAlignment w:val="cente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p>
          <w:p w14:paraId="363AEEA6">
            <w:pPr>
              <w:pStyle w:val="12"/>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55A78A82">
            <w:pPr>
              <w:spacing w:line="440" w:lineRule="exact"/>
              <w:jc w:val="center"/>
              <w:textAlignment w:val="center"/>
              <w:rPr>
                <w:rFonts w:hint="default" w:ascii="宋体" w:hAnsi="宋体" w:eastAsiaTheme="minorEastAsia"/>
                <w:color w:val="auto"/>
                <w:highlight w:val="none"/>
                <w:lang w:val="en-US" w:eastAsia="zh-CN"/>
              </w:rPr>
            </w:pPr>
            <w:r>
              <w:rPr>
                <w:rFonts w:hint="eastAsia" w:ascii="宋体" w:hAnsi="宋体"/>
                <w:color w:val="auto"/>
                <w:highlight w:val="none"/>
                <w:lang w:val="en-US" w:eastAsia="zh-CN"/>
              </w:rPr>
              <w:t>60</w:t>
            </w:r>
          </w:p>
        </w:tc>
      </w:tr>
      <w:tr w14:paraId="0BC1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01F4C175">
            <w:pPr>
              <w:spacing w:line="440" w:lineRule="exact"/>
              <w:jc w:val="center"/>
              <w:textAlignment w:val="center"/>
              <w:rPr>
                <w:b/>
                <w:bCs/>
                <w:color w:val="auto"/>
                <w:highlight w:val="none"/>
              </w:rPr>
            </w:pPr>
            <w:r>
              <w:rPr>
                <w:rFonts w:hint="eastAsia"/>
                <w:b/>
                <w:bCs/>
                <w:color w:val="auto"/>
                <w:highlight w:val="none"/>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3C095E3B">
            <w:pPr>
              <w:spacing w:line="440" w:lineRule="exact"/>
              <w:ind w:firstLine="482"/>
              <w:jc w:val="center"/>
              <w:textAlignment w:val="center"/>
              <w:rPr>
                <w:rFonts w:ascii="宋体" w:hAnsi="宋体"/>
                <w:b/>
                <w:bCs/>
                <w:color w:val="auto"/>
                <w:highlight w:val="none"/>
              </w:rPr>
            </w:pPr>
          </w:p>
        </w:tc>
        <w:tc>
          <w:tcPr>
            <w:tcW w:w="2835" w:type="dxa"/>
            <w:tcBorders>
              <w:top w:val="single" w:color="auto" w:sz="4" w:space="0"/>
              <w:left w:val="single" w:color="000000" w:sz="4" w:space="0"/>
              <w:bottom w:val="single" w:color="auto" w:sz="4" w:space="0"/>
              <w:right w:val="single" w:color="000000" w:sz="4" w:space="0"/>
            </w:tcBorders>
            <w:vAlign w:val="center"/>
          </w:tcPr>
          <w:p w14:paraId="0F367E4E">
            <w:pPr>
              <w:spacing w:line="440" w:lineRule="exact"/>
              <w:ind w:firstLine="482"/>
              <w:jc w:val="center"/>
              <w:textAlignment w:val="center"/>
              <w:rPr>
                <w:rFonts w:ascii="宋体" w:hAnsi="宋体"/>
                <w:b/>
                <w:bCs/>
                <w:color w:val="auto"/>
                <w:highlight w:val="none"/>
              </w:rPr>
            </w:pPr>
          </w:p>
        </w:tc>
        <w:tc>
          <w:tcPr>
            <w:tcW w:w="992" w:type="dxa"/>
            <w:tcBorders>
              <w:top w:val="single" w:color="auto" w:sz="4" w:space="0"/>
              <w:left w:val="single" w:color="000000" w:sz="4" w:space="0"/>
              <w:bottom w:val="single" w:color="auto" w:sz="4" w:space="0"/>
              <w:right w:val="single" w:color="auto" w:sz="4" w:space="0"/>
            </w:tcBorders>
            <w:vAlign w:val="center"/>
          </w:tcPr>
          <w:p w14:paraId="612829E1">
            <w:pPr>
              <w:spacing w:line="440" w:lineRule="exact"/>
              <w:ind w:firstLine="482"/>
              <w:jc w:val="center"/>
              <w:textAlignment w:val="center"/>
              <w:rPr>
                <w:rFonts w:ascii="宋体" w:hAnsi="宋体"/>
                <w:b/>
                <w:bCs/>
                <w:color w:val="auto"/>
                <w:highlight w:val="none"/>
              </w:rPr>
            </w:pPr>
          </w:p>
        </w:tc>
      </w:tr>
    </w:tbl>
    <w:p w14:paraId="58C47F5F">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111F9E8">
      <w:pPr>
        <w:jc w:val="center"/>
        <w:rPr>
          <w:b/>
          <w:bCs/>
          <w:color w:val="auto"/>
          <w:highlight w:val="none"/>
        </w:rPr>
      </w:pPr>
      <w:r>
        <w:rPr>
          <w:rFonts w:hint="eastAsia"/>
          <w:b/>
          <w:bCs/>
          <w:color w:val="auto"/>
          <w:highlight w:val="none"/>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068A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308FB408">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74AD1307">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27F0DC03">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1B7582A1">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0D86E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E10A319">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DD62674">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F0E0919">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D47A768">
            <w:pPr>
              <w:jc w:val="center"/>
              <w:rPr>
                <w:rFonts w:ascii="宋体" w:hAnsi="宋体"/>
                <w:color w:val="auto"/>
                <w:szCs w:val="21"/>
                <w:highlight w:val="none"/>
              </w:rPr>
            </w:pPr>
          </w:p>
        </w:tc>
      </w:tr>
      <w:tr w14:paraId="352BF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3F162B">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3954353">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13A05B91">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D38FE66">
            <w:pPr>
              <w:jc w:val="center"/>
              <w:rPr>
                <w:rFonts w:ascii="宋体" w:hAnsi="宋体"/>
                <w:color w:val="auto"/>
                <w:szCs w:val="21"/>
                <w:highlight w:val="none"/>
              </w:rPr>
            </w:pPr>
          </w:p>
        </w:tc>
      </w:tr>
      <w:tr w14:paraId="34C32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83E192F">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440BA287">
            <w:pPr>
              <w:rPr>
                <w:rFonts w:ascii="宋体" w:hAnsi="宋体" w:cs="宋体"/>
                <w:b/>
                <w:color w:val="auto"/>
                <w:szCs w:val="21"/>
                <w:highlight w:val="none"/>
              </w:rPr>
            </w:pPr>
          </w:p>
        </w:tc>
      </w:tr>
      <w:tr w14:paraId="381AD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099891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75ACD232">
            <w:pPr>
              <w:rPr>
                <w:rFonts w:ascii="宋体" w:hAnsi="宋体" w:cs="宋体"/>
                <w:b/>
                <w:color w:val="auto"/>
                <w:szCs w:val="21"/>
                <w:highlight w:val="none"/>
              </w:rPr>
            </w:pPr>
          </w:p>
        </w:tc>
      </w:tr>
      <w:tr w14:paraId="51557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C030F3F">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2B22D937">
            <w:pPr>
              <w:rPr>
                <w:rFonts w:ascii="宋体" w:hAnsi="宋体" w:cs="宋体"/>
                <w:b/>
                <w:color w:val="auto"/>
                <w:szCs w:val="21"/>
                <w:highlight w:val="none"/>
              </w:rPr>
            </w:pPr>
          </w:p>
        </w:tc>
      </w:tr>
      <w:tr w14:paraId="35934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8DE2021">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172522FE">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4E516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709D873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C7A297F">
            <w:pPr>
              <w:rPr>
                <w:rFonts w:ascii="宋体" w:hAnsi="宋体" w:cs="宋体"/>
                <w:b/>
                <w:color w:val="auto"/>
                <w:szCs w:val="21"/>
                <w:highlight w:val="none"/>
              </w:rPr>
            </w:pPr>
          </w:p>
          <w:p w14:paraId="7B667905">
            <w:pPr>
              <w:ind w:left="1050" w:hanging="1051" w:hangingChars="500"/>
              <w:rPr>
                <w:rFonts w:ascii="宋体" w:hAnsi="宋体" w:cs="宋体"/>
                <w:b/>
                <w:color w:val="auto"/>
                <w:szCs w:val="21"/>
                <w:highlight w:val="none"/>
              </w:rPr>
            </w:pPr>
          </w:p>
          <w:p w14:paraId="72C1963E">
            <w:pPr>
              <w:ind w:left="1050" w:hanging="1051" w:hangingChars="500"/>
              <w:rPr>
                <w:rFonts w:ascii="宋体" w:hAnsi="宋体" w:cs="宋体"/>
                <w:b/>
                <w:color w:val="auto"/>
                <w:szCs w:val="21"/>
                <w:highlight w:val="none"/>
              </w:rPr>
            </w:pPr>
          </w:p>
          <w:p w14:paraId="27F0E34E">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29D7C175">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8BB9115">
      <w:pPr>
        <w:widowControl/>
        <w:jc w:val="left"/>
        <w:rPr>
          <w:b/>
          <w:bCs/>
          <w:color w:val="auto"/>
          <w:highlight w:val="none"/>
        </w:rPr>
      </w:pPr>
      <w:r>
        <w:rPr>
          <w:b/>
          <w:bCs/>
          <w:color w:val="auto"/>
          <w:highlight w:val="none"/>
        </w:rPr>
        <w:br w:type="page"/>
      </w:r>
    </w:p>
    <w:p w14:paraId="1377E686">
      <w:pPr>
        <w:jc w:val="left"/>
        <w:rPr>
          <w:b/>
          <w:bCs/>
          <w:color w:val="auto"/>
          <w:highlight w:val="none"/>
        </w:rPr>
      </w:pPr>
      <w:r>
        <w:rPr>
          <w:rFonts w:hint="eastAsia"/>
          <w:b/>
          <w:bCs/>
          <w:color w:val="auto"/>
          <w:highlight w:val="none"/>
        </w:rPr>
        <w:t>附表四评审得分汇总表</w:t>
      </w:r>
    </w:p>
    <w:p w14:paraId="0CEFE2FE">
      <w:pPr>
        <w:pStyle w:val="12"/>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1A2C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328ACEA0">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2F356074">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48D517D9">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284F5E19">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08D4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271C70F">
            <w:pPr>
              <w:pStyle w:val="12"/>
              <w:jc w:val="center"/>
              <w:rPr>
                <w:rFonts w:hAnsi="宋体"/>
                <w:b/>
                <w:color w:val="auto"/>
                <w:highlight w:val="none"/>
              </w:rPr>
            </w:pPr>
            <w:r>
              <w:rPr>
                <w:rFonts w:hint="eastAsia" w:hAnsi="宋体"/>
                <w:b/>
                <w:color w:val="auto"/>
                <w:highlight w:val="none"/>
              </w:rPr>
              <w:t>1</w:t>
            </w:r>
          </w:p>
        </w:tc>
        <w:tc>
          <w:tcPr>
            <w:tcW w:w="2694" w:type="dxa"/>
            <w:vAlign w:val="center"/>
          </w:tcPr>
          <w:p w14:paraId="28DB2DDF">
            <w:pPr>
              <w:pStyle w:val="12"/>
              <w:jc w:val="center"/>
              <w:rPr>
                <w:rFonts w:hAnsi="宋体"/>
                <w:b/>
                <w:color w:val="auto"/>
                <w:highlight w:val="none"/>
              </w:rPr>
            </w:pPr>
            <w:r>
              <w:rPr>
                <w:rFonts w:hint="eastAsia" w:hAnsi="宋体"/>
                <w:b/>
                <w:color w:val="auto"/>
                <w:highlight w:val="none"/>
              </w:rPr>
              <w:t>技术文件得分</w:t>
            </w:r>
          </w:p>
        </w:tc>
        <w:tc>
          <w:tcPr>
            <w:tcW w:w="2409" w:type="dxa"/>
            <w:vAlign w:val="center"/>
          </w:tcPr>
          <w:p w14:paraId="58A8557F">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40</w:t>
            </w:r>
          </w:p>
        </w:tc>
        <w:tc>
          <w:tcPr>
            <w:tcW w:w="1985" w:type="dxa"/>
            <w:vAlign w:val="center"/>
          </w:tcPr>
          <w:p w14:paraId="09E2DC2A">
            <w:pPr>
              <w:pStyle w:val="12"/>
              <w:jc w:val="center"/>
              <w:rPr>
                <w:rFonts w:hAnsi="宋体"/>
                <w:b/>
                <w:color w:val="auto"/>
                <w:highlight w:val="none"/>
              </w:rPr>
            </w:pPr>
          </w:p>
        </w:tc>
      </w:tr>
      <w:tr w14:paraId="20CB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2CB60D">
            <w:pPr>
              <w:pStyle w:val="12"/>
              <w:jc w:val="center"/>
              <w:rPr>
                <w:rFonts w:hAnsi="宋体"/>
                <w:b/>
                <w:color w:val="auto"/>
                <w:highlight w:val="none"/>
              </w:rPr>
            </w:pPr>
            <w:r>
              <w:rPr>
                <w:rFonts w:hint="eastAsia" w:hAnsi="宋体"/>
                <w:b/>
                <w:color w:val="auto"/>
                <w:highlight w:val="none"/>
              </w:rPr>
              <w:t>2</w:t>
            </w:r>
          </w:p>
        </w:tc>
        <w:tc>
          <w:tcPr>
            <w:tcW w:w="2694" w:type="dxa"/>
            <w:vAlign w:val="center"/>
          </w:tcPr>
          <w:p w14:paraId="6545DF0E">
            <w:pPr>
              <w:pStyle w:val="12"/>
              <w:jc w:val="center"/>
              <w:rPr>
                <w:rFonts w:hAnsi="宋体"/>
                <w:b/>
                <w:color w:val="auto"/>
                <w:highlight w:val="none"/>
              </w:rPr>
            </w:pPr>
            <w:r>
              <w:rPr>
                <w:rFonts w:hint="eastAsia" w:hAnsi="宋体"/>
                <w:b/>
                <w:color w:val="auto"/>
                <w:highlight w:val="none"/>
              </w:rPr>
              <w:t>价格文件得分</w:t>
            </w:r>
          </w:p>
        </w:tc>
        <w:tc>
          <w:tcPr>
            <w:tcW w:w="2409" w:type="dxa"/>
            <w:vAlign w:val="center"/>
          </w:tcPr>
          <w:p w14:paraId="1B8CAA33">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60</w:t>
            </w:r>
          </w:p>
        </w:tc>
        <w:tc>
          <w:tcPr>
            <w:tcW w:w="1985" w:type="dxa"/>
            <w:vAlign w:val="center"/>
          </w:tcPr>
          <w:p w14:paraId="2E7100CA">
            <w:pPr>
              <w:pStyle w:val="12"/>
              <w:ind w:left="0" w:firstLine="0"/>
              <w:jc w:val="center"/>
              <w:rPr>
                <w:rFonts w:hAnsi="宋体"/>
                <w:b/>
                <w:color w:val="auto"/>
                <w:highlight w:val="none"/>
              </w:rPr>
            </w:pPr>
          </w:p>
        </w:tc>
      </w:tr>
      <w:tr w14:paraId="375F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2BDB782">
            <w:pPr>
              <w:pStyle w:val="1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7E50E801">
            <w:pPr>
              <w:pStyle w:val="12"/>
              <w:jc w:val="center"/>
              <w:rPr>
                <w:rFonts w:hAnsi="宋体"/>
                <w:b/>
                <w:color w:val="auto"/>
                <w:highlight w:val="none"/>
              </w:rPr>
            </w:pPr>
          </w:p>
        </w:tc>
      </w:tr>
    </w:tbl>
    <w:p w14:paraId="3A33E33A">
      <w:pPr>
        <w:jc w:val="left"/>
        <w:rPr>
          <w:rFonts w:hint="eastAsia"/>
          <w:b/>
          <w:bCs/>
          <w:color w:val="auto"/>
          <w:highlight w:val="none"/>
        </w:rPr>
      </w:pPr>
    </w:p>
    <w:p w14:paraId="0D80B7C4">
      <w:pPr>
        <w:jc w:val="left"/>
        <w:rPr>
          <w:rFonts w:hint="eastAsia"/>
          <w:b/>
          <w:bCs/>
          <w:color w:val="auto"/>
          <w:highlight w:val="none"/>
        </w:rPr>
      </w:pPr>
    </w:p>
    <w:p w14:paraId="03616E0B">
      <w:pPr>
        <w:jc w:val="left"/>
        <w:rPr>
          <w:rFonts w:hint="eastAsia"/>
          <w:b/>
          <w:bCs/>
          <w:color w:val="auto"/>
          <w:highlight w:val="none"/>
        </w:rPr>
      </w:pPr>
    </w:p>
    <w:p w14:paraId="07B2D9B5">
      <w:pPr>
        <w:jc w:val="left"/>
        <w:rPr>
          <w:rFonts w:hint="eastAsia"/>
          <w:b/>
          <w:bCs/>
          <w:color w:val="auto"/>
          <w:highlight w:val="none"/>
        </w:rPr>
      </w:pPr>
    </w:p>
    <w:p w14:paraId="3E937C66">
      <w:pPr>
        <w:jc w:val="left"/>
        <w:rPr>
          <w:rFonts w:hint="eastAsia"/>
          <w:b/>
          <w:bCs/>
          <w:color w:val="auto"/>
          <w:highlight w:val="none"/>
        </w:rPr>
      </w:pPr>
    </w:p>
    <w:p w14:paraId="60F18DF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8C30478">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1052BB6B">
      <w:pPr>
        <w:ind w:firstLine="723"/>
        <w:jc w:val="center"/>
        <w:rPr>
          <w:rFonts w:ascii="宋体" w:hAnsi="宋体" w:eastAsia="宋体"/>
          <w:b/>
          <w:bCs/>
          <w:color w:val="auto"/>
          <w:sz w:val="36"/>
          <w:szCs w:val="36"/>
          <w:highlight w:val="none"/>
        </w:rPr>
      </w:pPr>
    </w:p>
    <w:p w14:paraId="07A442B8">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BF52B2D">
      <w:pPr>
        <w:ind w:firstLine="723"/>
        <w:jc w:val="center"/>
        <w:rPr>
          <w:rFonts w:ascii="宋体" w:hAnsi="宋体" w:eastAsia="宋体"/>
          <w:b/>
          <w:bCs/>
          <w:color w:val="auto"/>
          <w:sz w:val="36"/>
          <w:szCs w:val="36"/>
          <w:highlight w:val="none"/>
        </w:rPr>
      </w:pPr>
    </w:p>
    <w:p w14:paraId="518F57CA">
      <w:pPr>
        <w:ind w:firstLine="723"/>
        <w:jc w:val="center"/>
        <w:rPr>
          <w:rFonts w:ascii="宋体" w:hAnsi="宋体" w:eastAsia="宋体"/>
          <w:b/>
          <w:bCs/>
          <w:color w:val="auto"/>
          <w:sz w:val="36"/>
          <w:szCs w:val="36"/>
          <w:highlight w:val="none"/>
        </w:rPr>
      </w:pPr>
    </w:p>
    <w:p w14:paraId="6BDB41F2">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7535811">
      <w:pPr>
        <w:ind w:firstLine="1040"/>
        <w:jc w:val="center"/>
        <w:rPr>
          <w:rFonts w:ascii="宋体" w:hAnsi="宋体" w:eastAsia="宋体"/>
          <w:color w:val="auto"/>
          <w:sz w:val="52"/>
          <w:szCs w:val="52"/>
          <w:highlight w:val="none"/>
          <w:u w:val="single"/>
        </w:rPr>
      </w:pPr>
    </w:p>
    <w:p w14:paraId="3A7844AD">
      <w:pPr>
        <w:jc w:val="center"/>
        <w:rPr>
          <w:rFonts w:ascii="宋体" w:hAnsi="宋体" w:eastAsia="宋体"/>
          <w:color w:val="auto"/>
          <w:sz w:val="52"/>
          <w:szCs w:val="52"/>
          <w:highlight w:val="none"/>
          <w:u w:val="single"/>
        </w:rPr>
      </w:pPr>
      <w:r>
        <w:rPr>
          <w:rFonts w:hint="eastAsia" w:ascii="宋体" w:hAnsi="宋体" w:eastAsia="宋体"/>
          <w:color w:val="auto"/>
          <w:sz w:val="52"/>
          <w:szCs w:val="52"/>
          <w:highlight w:val="none"/>
          <w:u w:val="single"/>
          <w:lang w:eastAsia="zh-CN"/>
        </w:rPr>
        <w:t>南宁市心圩车辆段配套租赁用房（一期）项目1栋、2栋、6栋、7栋住宅装修工程水电安装施工专业分包</w:t>
      </w:r>
    </w:p>
    <w:p w14:paraId="7E5BD71C">
      <w:pPr>
        <w:ind w:firstLine="720"/>
        <w:jc w:val="center"/>
        <w:rPr>
          <w:rFonts w:ascii="宋体" w:hAnsi="宋体" w:eastAsia="宋体"/>
          <w:color w:val="auto"/>
          <w:sz w:val="36"/>
          <w:szCs w:val="36"/>
          <w:highlight w:val="none"/>
        </w:rPr>
      </w:pPr>
    </w:p>
    <w:p w14:paraId="400AF110">
      <w:pPr>
        <w:ind w:firstLine="720"/>
        <w:jc w:val="center"/>
        <w:rPr>
          <w:rFonts w:ascii="宋体" w:hAnsi="宋体" w:eastAsia="宋体"/>
          <w:color w:val="auto"/>
          <w:sz w:val="36"/>
          <w:szCs w:val="36"/>
          <w:highlight w:val="none"/>
        </w:rPr>
      </w:pPr>
    </w:p>
    <w:p w14:paraId="5D56CE39">
      <w:pPr>
        <w:ind w:firstLine="720"/>
        <w:jc w:val="center"/>
        <w:rPr>
          <w:rFonts w:ascii="宋体" w:hAnsi="宋体" w:eastAsia="宋体"/>
          <w:color w:val="auto"/>
          <w:sz w:val="36"/>
          <w:szCs w:val="36"/>
          <w:highlight w:val="none"/>
        </w:rPr>
      </w:pPr>
    </w:p>
    <w:p w14:paraId="4DEB72E2">
      <w:pPr>
        <w:ind w:firstLine="720"/>
        <w:jc w:val="center"/>
        <w:rPr>
          <w:rFonts w:ascii="宋体" w:hAnsi="宋体" w:eastAsia="宋体"/>
          <w:color w:val="auto"/>
          <w:sz w:val="36"/>
          <w:szCs w:val="36"/>
          <w:highlight w:val="none"/>
        </w:rPr>
      </w:pPr>
    </w:p>
    <w:p w14:paraId="22CBEA39">
      <w:pPr>
        <w:ind w:firstLine="1040"/>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BCD2818">
      <w:pPr>
        <w:ind w:firstLine="720"/>
        <w:jc w:val="center"/>
        <w:rPr>
          <w:rFonts w:ascii="宋体" w:hAnsi="宋体" w:eastAsia="宋体"/>
          <w:color w:val="auto"/>
          <w:sz w:val="36"/>
          <w:szCs w:val="36"/>
          <w:highlight w:val="none"/>
        </w:rPr>
      </w:pPr>
    </w:p>
    <w:p w14:paraId="27931590">
      <w:pPr>
        <w:ind w:firstLine="720"/>
        <w:jc w:val="center"/>
        <w:rPr>
          <w:rFonts w:ascii="宋体" w:hAnsi="宋体" w:eastAsia="宋体"/>
          <w:color w:val="auto"/>
          <w:sz w:val="36"/>
          <w:szCs w:val="36"/>
          <w:highlight w:val="none"/>
        </w:rPr>
      </w:pPr>
    </w:p>
    <w:p w14:paraId="768784E4">
      <w:pPr>
        <w:ind w:firstLine="720"/>
        <w:jc w:val="center"/>
        <w:rPr>
          <w:rFonts w:ascii="宋体" w:hAnsi="宋体" w:eastAsia="宋体"/>
          <w:color w:val="auto"/>
          <w:sz w:val="36"/>
          <w:szCs w:val="36"/>
          <w:highlight w:val="none"/>
        </w:rPr>
      </w:pPr>
    </w:p>
    <w:p w14:paraId="1B43D953">
      <w:pPr>
        <w:ind w:firstLine="720"/>
        <w:jc w:val="center"/>
        <w:rPr>
          <w:rFonts w:ascii="宋体" w:hAnsi="宋体" w:eastAsia="宋体"/>
          <w:color w:val="auto"/>
          <w:sz w:val="36"/>
          <w:szCs w:val="36"/>
          <w:highlight w:val="none"/>
        </w:rPr>
      </w:pPr>
    </w:p>
    <w:p w14:paraId="33468559">
      <w:pPr>
        <w:ind w:firstLine="720"/>
        <w:jc w:val="center"/>
        <w:rPr>
          <w:rFonts w:ascii="宋体" w:hAnsi="宋体" w:eastAsia="宋体"/>
          <w:color w:val="auto"/>
          <w:sz w:val="36"/>
          <w:szCs w:val="36"/>
          <w:highlight w:val="none"/>
        </w:rPr>
      </w:pPr>
    </w:p>
    <w:p w14:paraId="0AB27654">
      <w:pPr>
        <w:ind w:firstLine="720"/>
        <w:jc w:val="center"/>
        <w:rPr>
          <w:rFonts w:ascii="宋体" w:hAnsi="宋体" w:eastAsia="宋体"/>
          <w:color w:val="auto"/>
          <w:sz w:val="36"/>
          <w:szCs w:val="36"/>
          <w:highlight w:val="none"/>
        </w:rPr>
      </w:pPr>
    </w:p>
    <w:p w14:paraId="74EEF6CD">
      <w:pPr>
        <w:ind w:firstLine="720"/>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3322DC6E">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471124E8">
      <w:pPr>
        <w:ind w:firstLine="723"/>
        <w:rPr>
          <w:rFonts w:ascii="宋体" w:hAnsi="宋体" w:eastAsia="宋体"/>
          <w:b/>
          <w:bCs/>
          <w:color w:val="auto"/>
          <w:sz w:val="36"/>
          <w:szCs w:val="36"/>
          <w:highlight w:val="none"/>
        </w:rPr>
      </w:pPr>
    </w:p>
    <w:p w14:paraId="1B03D4F5">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5E3A8CDC">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5F9C1EBD">
      <w:pPr>
        <w:ind w:firstLine="723"/>
        <w:rPr>
          <w:rFonts w:ascii="宋体" w:hAnsi="宋体" w:eastAsia="宋体"/>
          <w:b/>
          <w:bCs/>
          <w:color w:val="auto"/>
          <w:sz w:val="36"/>
          <w:szCs w:val="36"/>
          <w:highlight w:val="none"/>
        </w:rPr>
      </w:pPr>
    </w:p>
    <w:p w14:paraId="5489AE74">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22CB0045">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第二部分技术文件</w:t>
      </w:r>
    </w:p>
    <w:p w14:paraId="27BA3A58">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第三部分报价文件</w:t>
      </w:r>
    </w:p>
    <w:p w14:paraId="1AC47DB1">
      <w:pPr>
        <w:ind w:firstLine="723"/>
        <w:rPr>
          <w:rFonts w:ascii="宋体" w:hAnsi="宋体" w:eastAsia="宋体"/>
          <w:b/>
          <w:bCs/>
          <w:color w:val="auto"/>
          <w:sz w:val="36"/>
          <w:szCs w:val="36"/>
          <w:highlight w:val="none"/>
        </w:rPr>
      </w:pPr>
    </w:p>
    <w:p w14:paraId="7E594B9D">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2D2A8661">
      <w:pPr>
        <w:ind w:firstLine="723"/>
        <w:rPr>
          <w:rFonts w:ascii="宋体" w:hAnsi="宋体" w:eastAsia="宋体"/>
          <w:b/>
          <w:bCs/>
          <w:color w:val="auto"/>
          <w:sz w:val="36"/>
          <w:szCs w:val="36"/>
          <w:highlight w:val="none"/>
        </w:rPr>
      </w:pPr>
    </w:p>
    <w:p w14:paraId="6197CB32">
      <w:pPr>
        <w:ind w:firstLine="723"/>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r>
        <w:rPr>
          <w:rFonts w:hint="eastAsia" w:ascii="宋体" w:hAnsi="宋体" w:eastAsia="宋体" w:cs="宋体"/>
          <w:b/>
          <w:bCs/>
          <w:color w:val="auto"/>
          <w:sz w:val="36"/>
          <w:szCs w:val="36"/>
          <w:highlight w:val="none"/>
        </w:rPr>
        <w:t>第一部分 资格审查</w:t>
      </w:r>
    </w:p>
    <w:p w14:paraId="769CB5B9">
      <w:pPr>
        <w:pStyle w:val="27"/>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51ECE97A">
      <w:pPr>
        <w:pStyle w:val="27"/>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13748AF4">
      <w:pPr>
        <w:spacing w:line="700" w:lineRule="exact"/>
        <w:ind w:firstLine="480"/>
        <w:rPr>
          <w:rFonts w:ascii="宋体" w:hAnsi="宋体" w:eastAsia="宋体" w:cs="宋体"/>
          <w:color w:val="auto"/>
          <w:sz w:val="24"/>
          <w:szCs w:val="24"/>
          <w:highlight w:val="none"/>
        </w:rPr>
      </w:pPr>
      <w:bookmarkStart w:id="832"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南宁市心圩车辆段配套租赁用房（一期）项目1栋、2栋、6栋、7栋住宅装修工程水电安装施工专业分包</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32"/>
    </w:p>
    <w:p w14:paraId="06DB2C25">
      <w:pPr>
        <w:spacing w:line="700" w:lineRule="exact"/>
        <w:ind w:firstLine="480" w:firstLineChars="200"/>
        <w:rPr>
          <w:rFonts w:ascii="宋体" w:hAnsi="宋体" w:eastAsia="宋体" w:cs="宋体"/>
          <w:color w:val="auto"/>
          <w:sz w:val="24"/>
          <w:szCs w:val="24"/>
          <w:highlight w:val="none"/>
        </w:rPr>
      </w:pPr>
      <w:bookmarkStart w:id="833" w:name="_Toc251051978"/>
      <w:r>
        <w:rPr>
          <w:rFonts w:hint="eastAsia" w:ascii="宋体" w:hAnsi="宋体" w:eastAsia="宋体" w:cs="宋体"/>
          <w:color w:val="auto"/>
          <w:sz w:val="24"/>
          <w:szCs w:val="24"/>
          <w:highlight w:val="none"/>
        </w:rPr>
        <w:t>代理人无转委托权，特此委托。</w:t>
      </w:r>
      <w:bookmarkEnd w:id="833"/>
    </w:p>
    <w:p w14:paraId="49CA8455">
      <w:pPr>
        <w:spacing w:line="700" w:lineRule="exact"/>
        <w:rPr>
          <w:rFonts w:ascii="宋体" w:hAnsi="宋体" w:eastAsia="宋体" w:cs="宋体"/>
          <w:color w:val="auto"/>
          <w:sz w:val="24"/>
          <w:szCs w:val="24"/>
          <w:highlight w:val="none"/>
        </w:rPr>
      </w:pPr>
      <w:bookmarkStart w:id="834" w:name="_Toc251051981"/>
    </w:p>
    <w:p w14:paraId="685C1E8A">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34"/>
    </w:p>
    <w:p w14:paraId="28A24323">
      <w:pPr>
        <w:spacing w:line="700" w:lineRule="exact"/>
        <w:rPr>
          <w:rFonts w:ascii="宋体" w:hAnsi="宋体" w:eastAsia="宋体" w:cs="宋体"/>
          <w:color w:val="auto"/>
          <w:sz w:val="24"/>
          <w:szCs w:val="24"/>
          <w:highlight w:val="none"/>
        </w:rPr>
      </w:pPr>
      <w:bookmarkStart w:id="835" w:name="_Toc251051979"/>
      <w:bookmarkStart w:id="836"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268766DA">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35"/>
      <w:bookmarkStart w:id="837"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36"/>
    <w:bookmarkEnd w:id="837"/>
    <w:p w14:paraId="7C3938CF">
      <w:pPr>
        <w:spacing w:line="700" w:lineRule="exact"/>
        <w:rPr>
          <w:rFonts w:ascii="宋体" w:hAnsi="宋体" w:eastAsia="宋体" w:cs="宋体"/>
          <w:color w:val="auto"/>
          <w:sz w:val="24"/>
          <w:szCs w:val="24"/>
          <w:highlight w:val="none"/>
        </w:rPr>
      </w:pPr>
      <w:bookmarkStart w:id="838"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38"/>
    </w:p>
    <w:p w14:paraId="6E7A3D49">
      <w:pPr>
        <w:spacing w:line="700" w:lineRule="exact"/>
        <w:rPr>
          <w:rFonts w:ascii="宋体" w:hAnsi="宋体" w:eastAsia="宋体" w:cs="宋体"/>
          <w:color w:val="auto"/>
          <w:sz w:val="24"/>
          <w:szCs w:val="24"/>
          <w:highlight w:val="none"/>
        </w:rPr>
      </w:pPr>
    </w:p>
    <w:p w14:paraId="153A6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3AC49254">
      <w:pPr>
        <w:ind w:firstLine="723"/>
        <w:jc w:val="center"/>
        <w:rPr>
          <w:rFonts w:ascii="宋体" w:hAnsi="宋体" w:eastAsia="宋体" w:cs="宋体"/>
          <w:b/>
          <w:bCs/>
          <w:color w:val="auto"/>
          <w:sz w:val="36"/>
          <w:szCs w:val="36"/>
          <w:highlight w:val="none"/>
        </w:rPr>
      </w:pPr>
    </w:p>
    <w:p w14:paraId="635B617F">
      <w:pPr>
        <w:ind w:firstLine="723"/>
        <w:jc w:val="center"/>
        <w:rPr>
          <w:rFonts w:ascii="宋体" w:hAnsi="宋体" w:eastAsia="宋体" w:cs="宋体"/>
          <w:b/>
          <w:bCs/>
          <w:color w:val="auto"/>
          <w:sz w:val="36"/>
          <w:szCs w:val="36"/>
          <w:highlight w:val="none"/>
        </w:rPr>
      </w:pPr>
    </w:p>
    <w:p w14:paraId="1AA5468B">
      <w:pPr>
        <w:ind w:firstLine="723"/>
        <w:rPr>
          <w:color w:val="auto"/>
          <w:highlight w:val="none"/>
        </w:rPr>
      </w:pPr>
      <w:r>
        <w:rPr>
          <w:rFonts w:hint="eastAsia" w:ascii="宋体" w:hAnsi="宋体" w:eastAsia="宋体" w:cs="宋体"/>
          <w:b/>
          <w:bCs/>
          <w:color w:val="auto"/>
          <w:sz w:val="36"/>
          <w:szCs w:val="36"/>
          <w:highlight w:val="none"/>
        </w:rPr>
        <w:br w:type="page"/>
      </w:r>
    </w:p>
    <w:p w14:paraId="295C4102">
      <w:pPr>
        <w:widowControl/>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209A2925">
      <w:pPr>
        <w:spacing w:line="800" w:lineRule="exact"/>
        <w:ind w:firstLine="560"/>
        <w:rPr>
          <w:rFonts w:ascii="宋体" w:hAnsi="宋体" w:eastAsia="宋体" w:cs="宋体"/>
          <w:color w:val="auto"/>
          <w:kern w:val="0"/>
          <w:sz w:val="28"/>
          <w:szCs w:val="28"/>
          <w:highlight w:val="none"/>
        </w:rPr>
      </w:pPr>
    </w:p>
    <w:p w14:paraId="46472101">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C131F40">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6A2E11DA">
      <w:pPr>
        <w:spacing w:line="800" w:lineRule="exact"/>
        <w:ind w:firstLine="560"/>
        <w:rPr>
          <w:rFonts w:ascii="宋体" w:hAnsi="宋体" w:eastAsia="宋体" w:cs="宋体"/>
          <w:color w:val="auto"/>
          <w:sz w:val="28"/>
          <w:szCs w:val="28"/>
          <w:highlight w:val="none"/>
        </w:rPr>
      </w:pPr>
    </w:p>
    <w:p w14:paraId="5AD25D5C">
      <w:pPr>
        <w:spacing w:line="8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7DFFA38B">
      <w:pPr>
        <w:spacing w:line="8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557C20BF">
      <w:pPr>
        <w:ind w:firstLine="723"/>
        <w:jc w:val="center"/>
        <w:rPr>
          <w:rFonts w:ascii="宋体" w:hAnsi="宋体" w:eastAsia="宋体" w:cs="宋体"/>
          <w:b/>
          <w:bCs/>
          <w:color w:val="auto"/>
          <w:sz w:val="36"/>
          <w:szCs w:val="36"/>
          <w:highlight w:val="none"/>
        </w:rPr>
      </w:pPr>
    </w:p>
    <w:p w14:paraId="1E3AB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54C8734E">
      <w:pPr>
        <w:pStyle w:val="27"/>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46900C7B">
      <w:pPr>
        <w:ind w:firstLine="562"/>
        <w:jc w:val="left"/>
        <w:rPr>
          <w:rFonts w:ascii="宋体" w:hAnsi="宋体" w:eastAsia="宋体" w:cs="宋体"/>
          <w:b/>
          <w:bCs/>
          <w:color w:val="auto"/>
          <w:sz w:val="28"/>
          <w:szCs w:val="28"/>
          <w:highlight w:val="none"/>
        </w:rPr>
      </w:pPr>
    </w:p>
    <w:p w14:paraId="072E2552">
      <w:pPr>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u w:val="single"/>
        </w:rPr>
        <w:t>请按以下顺序编排，并提供以下有效证照</w:t>
      </w:r>
      <w:r>
        <w:rPr>
          <w:rFonts w:hint="eastAsia" w:ascii="宋体" w:hAnsi="宋体" w:eastAsia="宋体" w:cs="宋体"/>
          <w:b/>
          <w:bCs/>
          <w:color w:val="auto"/>
          <w:sz w:val="28"/>
          <w:szCs w:val="28"/>
          <w:highlight w:val="none"/>
        </w:rPr>
        <w:t>。</w:t>
      </w:r>
    </w:p>
    <w:p w14:paraId="2A9B9EA4">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营业执照、</w:t>
      </w:r>
      <w:r>
        <w:rPr>
          <w:rFonts w:hint="eastAsia" w:ascii="宋体" w:hAnsi="宋体" w:eastAsia="宋体"/>
          <w:color w:val="auto"/>
          <w:sz w:val="24"/>
          <w:szCs w:val="24"/>
          <w:highlight w:val="none"/>
        </w:rPr>
        <w:t>建筑工程施工总承包或建筑机电安装工程工程专业承包</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 xml:space="preserve">安全生产许可证。 </w:t>
      </w:r>
    </w:p>
    <w:p w14:paraId="55E6902E">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rPr>
        <w:t xml:space="preserve">拟配置项目管理机构要求： </w:t>
      </w:r>
    </w:p>
    <w:p w14:paraId="7C21501D">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①拟配置项目负责人：1人，具有建筑或装饰装修工程专业一级或二级建造师资格资格证及B证。 </w:t>
      </w:r>
    </w:p>
    <w:p w14:paraId="262D39FF">
      <w:pPr>
        <w:spacing w:line="480" w:lineRule="exact"/>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②拟配置项目管理人员：施工员2人，具有土建或电气施工员证；专职安全员1人，具有安全员证及C证（广西以外若无岗位证书的必须提供C证）。</w:t>
      </w:r>
    </w:p>
    <w:p w14:paraId="341D8ED5">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 xml:space="preserve">无 重大 税收违法失信主体截图（信用中国网址： https://www.creditchina.gov.cn/xinyongfuwu/zhongdashuishouweifaanjian/ ） </w:t>
      </w:r>
    </w:p>
    <w:p w14:paraId="4446DF11">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 xml:space="preserve">无严重失信主体名单截图（信用中国网址： https://www.creditchina.gov.cn/xinyongfuwu/shixinheimingdan/ ） </w:t>
      </w:r>
    </w:p>
    <w:p w14:paraId="54F98333">
      <w:pPr>
        <w:spacing w:line="480" w:lineRule="exact"/>
        <w:jc w:val="left"/>
        <w:rPr>
          <w:rFonts w:hint="eastAsia" w:ascii="宋体" w:hAnsi="宋体" w:eastAsia="宋体" w:cs="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财务报表或银行资信证明（2022年1月1日至比选申请截止日期任意一年第三方出具的财务报表净利润为正值，或由基本户开户银行开具的无超期、未标注欠息、诉讼等不良记录、账户未休眠的资信证明）。</w:t>
      </w:r>
    </w:p>
    <w:p w14:paraId="65B2D3F2">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D134A8B">
      <w:pPr>
        <w:pStyle w:val="27"/>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51319194">
      <w:pPr>
        <w:spacing w:line="480" w:lineRule="exact"/>
        <w:ind w:firstLine="560"/>
        <w:jc w:val="left"/>
        <w:rPr>
          <w:rFonts w:ascii="宋体" w:hAnsi="宋体" w:eastAsia="宋体" w:cs="宋体"/>
          <w:color w:val="auto"/>
          <w:sz w:val="28"/>
          <w:szCs w:val="28"/>
          <w:highlight w:val="none"/>
          <w:u w:val="single"/>
        </w:rPr>
      </w:pPr>
    </w:p>
    <w:p w14:paraId="22974B67">
      <w:pPr>
        <w:spacing w:line="400" w:lineRule="exact"/>
        <w:rPr>
          <w:color w:val="auto"/>
          <w:highlight w:val="none"/>
        </w:rPr>
      </w:pPr>
      <w:r>
        <w:rPr>
          <w:rFonts w:hint="eastAsia" w:ascii="宋体" w:hAnsi="宋体" w:eastAsia="宋体" w:cs="宋体"/>
          <w:b/>
          <w:bCs/>
          <w:color w:val="auto"/>
          <w:sz w:val="28"/>
          <w:szCs w:val="28"/>
          <w:highlight w:val="none"/>
          <w:u w:val="single"/>
          <w:lang w:val="en-US" w:eastAsia="zh-CN"/>
        </w:rPr>
        <w:t>业绩证明：提供1个自2022年1月至比选申请截止日期至内完成过或承接过1个单项合同金额达285万元及以上的建筑工程水电施工类的业绩合同。</w:t>
      </w:r>
      <w:r>
        <w:rPr>
          <w:rFonts w:hint="eastAsia" w:ascii="宋体" w:hAnsi="宋体" w:eastAsia="宋体" w:cs="宋体"/>
          <w:color w:val="auto"/>
          <w:sz w:val="28"/>
          <w:szCs w:val="28"/>
          <w:highlight w:val="none"/>
        </w:rPr>
        <w:t>合同</w:t>
      </w:r>
      <w:r>
        <w:rPr>
          <w:rFonts w:hint="eastAsia" w:ascii="宋体" w:hAnsi="宋体" w:eastAsia="宋体" w:cs="Times New Roman"/>
          <w:color w:val="auto"/>
          <w:sz w:val="28"/>
          <w:szCs w:val="28"/>
          <w:highlight w:val="none"/>
        </w:rPr>
        <w:t>内容需体现具体工程内容、合同总价、签约日期。</w:t>
      </w:r>
    </w:p>
    <w:p w14:paraId="08CEFB3F">
      <w:pPr>
        <w:spacing w:line="480" w:lineRule="exact"/>
        <w:ind w:firstLine="560"/>
        <w:jc w:val="left"/>
        <w:rPr>
          <w:rFonts w:ascii="宋体" w:hAnsi="宋体" w:eastAsia="宋体" w:cs="宋体"/>
          <w:color w:val="auto"/>
          <w:sz w:val="28"/>
          <w:szCs w:val="28"/>
          <w:highlight w:val="none"/>
        </w:rPr>
      </w:pPr>
    </w:p>
    <w:p w14:paraId="092022A8">
      <w:pPr>
        <w:spacing w:line="48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3F90C7ED">
      <w:pPr>
        <w:spacing w:line="480" w:lineRule="exact"/>
        <w:jc w:val="left"/>
        <w:rPr>
          <w:rFonts w:ascii="宋体" w:hAnsi="宋体" w:eastAsia="宋体" w:cs="宋体"/>
          <w:color w:val="auto"/>
          <w:sz w:val="24"/>
          <w:szCs w:val="24"/>
          <w:highlight w:val="none"/>
        </w:rPr>
      </w:pPr>
    </w:p>
    <w:p w14:paraId="509C29F0">
      <w:pPr>
        <w:spacing w:line="480" w:lineRule="exact"/>
        <w:jc w:val="left"/>
        <w:rPr>
          <w:rFonts w:ascii="宋体" w:hAnsi="宋体" w:eastAsia="宋体" w:cs="宋体"/>
          <w:color w:val="auto"/>
          <w:sz w:val="24"/>
          <w:szCs w:val="24"/>
          <w:highlight w:val="none"/>
        </w:rPr>
      </w:pPr>
    </w:p>
    <w:p w14:paraId="314C7497">
      <w:pPr>
        <w:spacing w:line="480" w:lineRule="exact"/>
        <w:jc w:val="left"/>
        <w:rPr>
          <w:rFonts w:ascii="宋体" w:hAnsi="宋体" w:eastAsia="宋体" w:cs="宋体"/>
          <w:color w:val="auto"/>
          <w:sz w:val="24"/>
          <w:szCs w:val="24"/>
          <w:highlight w:val="none"/>
        </w:rPr>
      </w:pPr>
    </w:p>
    <w:p w14:paraId="684FD483">
      <w:pPr>
        <w:spacing w:line="480" w:lineRule="exact"/>
        <w:jc w:val="left"/>
        <w:rPr>
          <w:rFonts w:ascii="宋体" w:hAnsi="宋体" w:eastAsia="宋体" w:cs="宋体"/>
          <w:color w:val="auto"/>
          <w:sz w:val="24"/>
          <w:szCs w:val="24"/>
          <w:highlight w:val="none"/>
        </w:rPr>
      </w:pPr>
    </w:p>
    <w:p w14:paraId="182E56CB">
      <w:pPr>
        <w:spacing w:line="480" w:lineRule="exact"/>
        <w:jc w:val="left"/>
        <w:rPr>
          <w:rFonts w:ascii="宋体" w:hAnsi="宋体" w:eastAsia="宋体" w:cs="宋体"/>
          <w:color w:val="auto"/>
          <w:sz w:val="24"/>
          <w:szCs w:val="24"/>
          <w:highlight w:val="none"/>
        </w:rPr>
      </w:pPr>
    </w:p>
    <w:p w14:paraId="0B435AC8">
      <w:pPr>
        <w:spacing w:line="480" w:lineRule="exact"/>
        <w:jc w:val="left"/>
        <w:rPr>
          <w:rFonts w:ascii="宋体" w:hAnsi="宋体" w:eastAsia="宋体" w:cs="宋体"/>
          <w:color w:val="auto"/>
          <w:sz w:val="24"/>
          <w:szCs w:val="24"/>
          <w:highlight w:val="none"/>
        </w:rPr>
      </w:pPr>
    </w:p>
    <w:p w14:paraId="4EA069E9">
      <w:pPr>
        <w:spacing w:line="480" w:lineRule="exact"/>
        <w:jc w:val="left"/>
        <w:rPr>
          <w:rFonts w:ascii="宋体" w:hAnsi="宋体" w:eastAsia="宋体" w:cs="宋体"/>
          <w:color w:val="auto"/>
          <w:sz w:val="24"/>
          <w:szCs w:val="24"/>
          <w:highlight w:val="none"/>
        </w:rPr>
      </w:pPr>
    </w:p>
    <w:p w14:paraId="2D37150E">
      <w:pPr>
        <w:spacing w:line="480" w:lineRule="exact"/>
        <w:jc w:val="left"/>
        <w:rPr>
          <w:rFonts w:ascii="宋体" w:hAnsi="宋体" w:eastAsia="宋体" w:cs="宋体"/>
          <w:color w:val="auto"/>
          <w:sz w:val="24"/>
          <w:szCs w:val="24"/>
          <w:highlight w:val="none"/>
        </w:rPr>
      </w:pPr>
    </w:p>
    <w:p w14:paraId="2CA493F4">
      <w:pPr>
        <w:spacing w:line="480" w:lineRule="exact"/>
        <w:jc w:val="left"/>
        <w:rPr>
          <w:rFonts w:ascii="宋体" w:hAnsi="宋体" w:eastAsia="宋体" w:cs="宋体"/>
          <w:color w:val="auto"/>
          <w:sz w:val="24"/>
          <w:szCs w:val="24"/>
          <w:highlight w:val="none"/>
        </w:rPr>
      </w:pPr>
    </w:p>
    <w:p w14:paraId="39ACCEDE">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75E6F6A">
      <w:pPr>
        <w:pStyle w:val="27"/>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393179A0">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611B059">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29D5EA5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南宁市心圩车辆段配套租赁用房（一期）项目1栋、2栋、6栋、7栋住宅装修工程水电安装施工专业分包</w:t>
      </w:r>
      <w:r>
        <w:rPr>
          <w:rFonts w:hint="eastAsia" w:ascii="宋体" w:hAnsi="宋体" w:eastAsia="宋体" w:cs="宋体"/>
          <w:color w:val="auto"/>
          <w:highlight w:val="none"/>
        </w:rPr>
        <w:t>的比选文件后，我公司经慎重考虑，郑重承诺参加项目的比选申请活动。</w:t>
      </w:r>
    </w:p>
    <w:p w14:paraId="1F83E7C4">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2964E4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0E0ED5A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5F5D877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3CDC1067">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681EA77F">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4944294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7640B7A2">
      <w:pPr>
        <w:spacing w:line="440" w:lineRule="exact"/>
        <w:ind w:firstLine="480"/>
        <w:rPr>
          <w:rFonts w:ascii="宋体" w:hAnsi="宋体" w:eastAsia="宋体" w:cs="宋体"/>
          <w:color w:val="auto"/>
          <w:highlight w:val="none"/>
        </w:rPr>
      </w:pPr>
    </w:p>
    <w:p w14:paraId="138772B7">
      <w:pPr>
        <w:spacing w:line="440" w:lineRule="exact"/>
        <w:ind w:firstLine="48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09AF4420">
      <w:pPr>
        <w:spacing w:line="440" w:lineRule="exact"/>
        <w:ind w:firstLine="48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13C773EB">
      <w:pPr>
        <w:spacing w:line="440" w:lineRule="exact"/>
        <w:ind w:firstLine="48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88601FB">
      <w:pPr>
        <w:spacing w:line="480" w:lineRule="exact"/>
        <w:jc w:val="left"/>
        <w:rPr>
          <w:rFonts w:ascii="宋体" w:hAnsi="宋体" w:eastAsia="宋体" w:cs="宋体"/>
          <w:color w:val="auto"/>
          <w:sz w:val="24"/>
          <w:szCs w:val="24"/>
          <w:highlight w:val="none"/>
        </w:rPr>
      </w:pPr>
    </w:p>
    <w:p w14:paraId="2AE891C2">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4452BFFE">
      <w:pPr>
        <w:spacing w:line="600" w:lineRule="exact"/>
        <w:ind w:firstLine="560" w:firstLineChars="200"/>
        <w:jc w:val="center"/>
        <w:rPr>
          <w:rFonts w:ascii="宋体" w:hAnsi="宋体" w:eastAsia="宋体" w:cs="宋体"/>
          <w:color w:val="auto"/>
          <w:sz w:val="28"/>
          <w:szCs w:val="28"/>
          <w:highlight w:val="none"/>
        </w:rPr>
      </w:pPr>
    </w:p>
    <w:p w14:paraId="46DD6727">
      <w:pPr>
        <w:spacing w:line="60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3D2EFE7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南宁市心圩车辆段配套租赁用房（一期）项目1栋、2栋、6栋、7栋住宅装修工程水电安装施工专业分包</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847082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55F89D3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94A57CD">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794154FC">
      <w:pPr>
        <w:spacing w:line="600" w:lineRule="exact"/>
        <w:ind w:firstLine="560"/>
        <w:jc w:val="left"/>
        <w:rPr>
          <w:rFonts w:ascii="宋体" w:hAnsi="宋体" w:eastAsia="宋体" w:cs="宋体"/>
          <w:color w:val="auto"/>
          <w:sz w:val="28"/>
          <w:szCs w:val="28"/>
          <w:highlight w:val="none"/>
        </w:rPr>
      </w:pPr>
    </w:p>
    <w:p w14:paraId="397931E1">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13D932BE">
      <w:pPr>
        <w:spacing w:line="600" w:lineRule="exact"/>
        <w:ind w:firstLine="56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7BE72FBE">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7EFD0EA">
      <w:pPr>
        <w:pStyle w:val="7"/>
        <w:ind w:firstLine="480"/>
        <w:rPr>
          <w:rFonts w:ascii="宋体" w:hAnsi="宋体" w:cs="宋体"/>
          <w:color w:val="auto"/>
          <w:sz w:val="24"/>
          <w:szCs w:val="24"/>
          <w:highlight w:val="none"/>
        </w:rPr>
      </w:pPr>
    </w:p>
    <w:p w14:paraId="576053E1">
      <w:pPr>
        <w:rPr>
          <w:rFonts w:ascii="宋体" w:hAnsi="宋体" w:eastAsia="宋体" w:cs="宋体"/>
          <w:color w:val="auto"/>
          <w:sz w:val="24"/>
          <w:szCs w:val="24"/>
          <w:highlight w:val="none"/>
        </w:rPr>
      </w:pPr>
    </w:p>
    <w:p w14:paraId="713E43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023406DD">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10C79DF6">
      <w:pPr>
        <w:spacing w:line="600" w:lineRule="exact"/>
        <w:ind w:firstLine="560" w:firstLineChars="200"/>
        <w:jc w:val="center"/>
        <w:rPr>
          <w:rFonts w:ascii="宋体" w:hAnsi="宋体" w:eastAsia="宋体" w:cs="宋体"/>
          <w:color w:val="auto"/>
          <w:sz w:val="28"/>
          <w:szCs w:val="28"/>
          <w:highlight w:val="none"/>
        </w:rPr>
      </w:pPr>
    </w:p>
    <w:p w14:paraId="4DCE4B3B">
      <w:pPr>
        <w:spacing w:line="60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99F6E4C">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4ACF051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南宁市心圩车辆段配套租赁用房（一期）项目1栋、2栋、6栋、7栋住宅装修工程水电安装施工专业分包</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F72E4B0">
      <w:pPr>
        <w:spacing w:line="600" w:lineRule="exact"/>
        <w:ind w:firstLine="560"/>
        <w:rPr>
          <w:rFonts w:ascii="宋体" w:hAnsi="宋体" w:eastAsia="宋体" w:cs="宋体"/>
          <w:color w:val="auto"/>
          <w:sz w:val="28"/>
          <w:szCs w:val="28"/>
          <w:highlight w:val="none"/>
        </w:rPr>
      </w:pPr>
    </w:p>
    <w:p w14:paraId="3A4CB7DF">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28BC9259">
      <w:pPr>
        <w:spacing w:line="600" w:lineRule="exact"/>
        <w:ind w:firstLine="56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72864CAD">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573A89F">
      <w:pPr>
        <w:ind w:firstLine="600" w:firstLineChars="200"/>
        <w:jc w:val="left"/>
        <w:rPr>
          <w:rFonts w:ascii="宋体" w:hAnsi="宋体" w:eastAsia="宋体" w:cs="宋体"/>
          <w:color w:val="auto"/>
          <w:sz w:val="30"/>
          <w:szCs w:val="30"/>
          <w:highlight w:val="none"/>
        </w:rPr>
      </w:pPr>
    </w:p>
    <w:p w14:paraId="77836931">
      <w:pPr>
        <w:pStyle w:val="7"/>
        <w:ind w:firstLine="600"/>
        <w:rPr>
          <w:rFonts w:ascii="宋体" w:hAnsi="宋体" w:cs="宋体"/>
          <w:color w:val="auto"/>
          <w:sz w:val="30"/>
          <w:szCs w:val="30"/>
          <w:highlight w:val="none"/>
        </w:rPr>
      </w:pPr>
    </w:p>
    <w:p w14:paraId="03BAE909">
      <w:pPr>
        <w:rPr>
          <w:color w:val="auto"/>
          <w:highlight w:val="none"/>
        </w:rPr>
      </w:pPr>
    </w:p>
    <w:p w14:paraId="4D4C01BA">
      <w:pPr>
        <w:widowControl/>
        <w:jc w:val="left"/>
        <w:rPr>
          <w:rFonts w:ascii="宋体" w:hAnsi="宋体" w:eastAsia="宋体" w:cs="宋体"/>
          <w:color w:val="auto"/>
          <w:sz w:val="30"/>
          <w:szCs w:val="30"/>
          <w:highlight w:val="none"/>
        </w:rPr>
      </w:pPr>
      <w:r>
        <w:rPr>
          <w:rFonts w:ascii="宋体" w:hAnsi="宋体" w:eastAsia="宋体" w:cs="宋体"/>
          <w:color w:val="auto"/>
          <w:sz w:val="30"/>
          <w:szCs w:val="30"/>
          <w:highlight w:val="none"/>
        </w:rPr>
        <w:br w:type="page"/>
      </w:r>
    </w:p>
    <w:p w14:paraId="131B97E5">
      <w:pPr>
        <w:ind w:firstLine="723"/>
        <w:jc w:val="center"/>
        <w:rPr>
          <w:rFonts w:hint="eastAsia" w:ascii="宋体" w:hAnsi="宋体" w:eastAsia="宋体" w:cs="宋体"/>
          <w:b/>
          <w:bCs/>
          <w:color w:val="auto"/>
          <w:sz w:val="36"/>
          <w:szCs w:val="36"/>
          <w:highlight w:val="none"/>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27"/>
        <w:ind w:firstLine="0" w:firstLineChars="0"/>
        <w:jc w:val="left"/>
        <w:rPr>
          <w:rFonts w:ascii="宋体" w:hAnsi="宋体" w:eastAsia="宋体"/>
          <w:b/>
          <w:bCs/>
          <w:sz w:val="32"/>
          <w:szCs w:val="32"/>
        </w:rPr>
      </w:pPr>
      <w:r>
        <w:rPr>
          <w:rFonts w:hint="eastAsia" w:ascii="宋体" w:hAnsi="宋体" w:eastAsia="宋体"/>
          <w:b/>
          <w:bCs/>
          <w:sz w:val="32"/>
          <w:szCs w:val="32"/>
        </w:rPr>
        <w:t>五、现场交底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2"/>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南宁市心圩车辆段配套租赁用房（一期）项目1栋、2栋、6栋、7栋住宅装修工程水电安装施工专业分包</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279894AB">
      <w:pPr>
        <w:jc w:val="both"/>
        <w:rPr>
          <w:rFonts w:hint="eastAsia" w:ascii="宋体" w:hAnsi="宋体" w:eastAsia="宋体" w:cs="宋体"/>
          <w:b/>
          <w:bCs/>
          <w:color w:val="auto"/>
          <w:sz w:val="36"/>
          <w:szCs w:val="36"/>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spacing w:val="-11"/>
          <w:sz w:val="24"/>
          <w:szCs w:val="24"/>
        </w:rPr>
        <w:t xml:space="preserve">确认日期： 2025年      月     日        </w:t>
      </w:r>
    </w:p>
    <w:p w14:paraId="4BCD2AFA">
      <w:pPr>
        <w:ind w:firstLine="723"/>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技术文件</w:t>
      </w:r>
    </w:p>
    <w:p w14:paraId="0770950C">
      <w:pPr>
        <w:ind w:firstLine="562"/>
        <w:jc w:val="left"/>
        <w:rPr>
          <w:rFonts w:ascii="宋体" w:hAnsi="宋体" w:eastAsia="宋体" w:cs="宋体"/>
          <w:b/>
          <w:bCs/>
          <w:color w:val="auto"/>
          <w:sz w:val="28"/>
          <w:szCs w:val="28"/>
          <w:highlight w:val="none"/>
        </w:rPr>
      </w:pPr>
    </w:p>
    <w:p w14:paraId="6C35333B">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技术文件要求：</w:t>
      </w:r>
      <w:r>
        <w:rPr>
          <w:rFonts w:hint="eastAsia" w:ascii="宋体" w:hAnsi="宋体" w:eastAsia="宋体" w:cs="宋体"/>
          <w:b/>
          <w:bCs/>
          <w:color w:val="auto"/>
          <w:sz w:val="32"/>
          <w:szCs w:val="32"/>
          <w:highlight w:val="none"/>
          <w:u w:val="single"/>
        </w:rPr>
        <w:t>请按以下顺序编排</w:t>
      </w:r>
      <w:r>
        <w:rPr>
          <w:rFonts w:hint="eastAsia" w:ascii="宋体" w:hAnsi="宋体" w:eastAsia="宋体" w:cs="宋体"/>
          <w:b/>
          <w:bCs/>
          <w:color w:val="auto"/>
          <w:sz w:val="32"/>
          <w:szCs w:val="32"/>
          <w:highlight w:val="none"/>
        </w:rPr>
        <w:t>。</w:t>
      </w:r>
    </w:p>
    <w:p w14:paraId="602DF1C6">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1</w:t>
      </w:r>
      <w:r>
        <w:rPr>
          <w:rFonts w:hint="eastAsia" w:ascii="宋体" w:hAnsi="宋体" w:eastAsia="宋体" w:cs="宋体"/>
          <w:b/>
          <w:bCs/>
          <w:color w:val="auto"/>
          <w:sz w:val="32"/>
          <w:szCs w:val="32"/>
          <w:highlight w:val="none"/>
        </w:rPr>
        <w:t>、施工组织方案</w:t>
      </w:r>
    </w:p>
    <w:p w14:paraId="554B3A4F">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w:t>
      </w:r>
      <w:r>
        <w:rPr>
          <w:rFonts w:hint="eastAsia" w:ascii="宋体" w:hAnsi="宋体" w:eastAsia="宋体" w:cs="宋体"/>
          <w:b/>
          <w:bCs/>
          <w:color w:val="auto"/>
          <w:sz w:val="32"/>
          <w:szCs w:val="32"/>
          <w:highlight w:val="none"/>
        </w:rPr>
        <w:t>、进度计划</w:t>
      </w:r>
    </w:p>
    <w:p w14:paraId="6D3B7188">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53F0AE4E">
      <w:pPr>
        <w:ind w:firstLine="723"/>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w:t>
      </w:r>
      <w:r>
        <w:rPr>
          <w:rFonts w:hint="eastAsia" w:ascii="宋体" w:hAnsi="宋体" w:eastAsia="宋体" w:cs="宋体"/>
          <w:b/>
          <w:bCs/>
          <w:color w:val="auto"/>
          <w:sz w:val="36"/>
          <w:szCs w:val="36"/>
          <w:highlight w:val="none"/>
          <w:lang w:val="en-US" w:eastAsia="zh-CN"/>
        </w:rPr>
        <w:t>三</w:t>
      </w:r>
      <w:r>
        <w:rPr>
          <w:rFonts w:hint="eastAsia" w:ascii="宋体" w:hAnsi="宋体" w:eastAsia="宋体" w:cs="宋体"/>
          <w:b/>
          <w:bCs/>
          <w:color w:val="auto"/>
          <w:sz w:val="36"/>
          <w:szCs w:val="36"/>
          <w:highlight w:val="none"/>
        </w:rPr>
        <w:t>部分 报价文件</w:t>
      </w:r>
    </w:p>
    <w:p w14:paraId="6419BFD6">
      <w:pPr>
        <w:pStyle w:val="8"/>
        <w:ind w:left="0" w:leftChars="0" w:firstLine="0" w:firstLineChars="0"/>
        <w:rPr>
          <w:rFonts w:ascii="宋体" w:hAnsi="宋体" w:eastAsia="宋体" w:cs="宋体"/>
          <w:b/>
          <w:bCs/>
          <w:color w:val="auto"/>
          <w:sz w:val="28"/>
          <w:szCs w:val="28"/>
          <w:highlight w:val="none"/>
        </w:rPr>
      </w:pPr>
    </w:p>
    <w:p w14:paraId="0C10DFD9">
      <w:pPr>
        <w:pStyle w:val="8"/>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0DA0756D">
      <w:pPr>
        <w:pStyle w:val="8"/>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45E87278">
      <w:pPr>
        <w:pStyle w:val="8"/>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551794FE">
      <w:pPr>
        <w:widowControl/>
        <w:ind w:firstLine="723"/>
        <w:jc w:val="left"/>
        <w:rPr>
          <w:rFonts w:ascii="宋体" w:hAnsi="宋体" w:eastAsia="宋体" w:cs="宋体"/>
          <w:b/>
          <w:bCs/>
          <w:color w:val="auto"/>
          <w:sz w:val="36"/>
          <w:szCs w:val="36"/>
          <w:highlight w:val="none"/>
        </w:rPr>
      </w:pPr>
    </w:p>
    <w:p w14:paraId="1929E181">
      <w:pPr>
        <w:pStyle w:val="7"/>
        <w:ind w:firstLine="723"/>
        <w:rPr>
          <w:rFonts w:ascii="宋体" w:hAnsi="宋体" w:cs="宋体"/>
          <w:b/>
          <w:bCs/>
          <w:color w:val="auto"/>
          <w:sz w:val="36"/>
          <w:szCs w:val="36"/>
          <w:highlight w:val="none"/>
        </w:rPr>
      </w:pPr>
    </w:p>
    <w:p w14:paraId="100CC335">
      <w:pPr>
        <w:rPr>
          <w:rFonts w:ascii="宋体" w:hAnsi="宋体" w:eastAsia="宋体" w:cs="宋体"/>
          <w:color w:val="auto"/>
          <w:highlight w:val="none"/>
        </w:rPr>
      </w:pPr>
    </w:p>
    <w:p w14:paraId="7FDD4253">
      <w:pPr>
        <w:ind w:firstLine="723"/>
        <w:jc w:val="center"/>
        <w:rPr>
          <w:rFonts w:ascii="宋体" w:hAnsi="宋体" w:eastAsia="宋体" w:cs="宋体"/>
          <w:b/>
          <w:bCs/>
          <w:color w:val="auto"/>
          <w:sz w:val="36"/>
          <w:szCs w:val="36"/>
          <w:highlight w:val="none"/>
        </w:rPr>
      </w:pPr>
    </w:p>
    <w:p w14:paraId="09090913">
      <w:pPr>
        <w:widowControl/>
        <w:ind w:firstLine="723"/>
        <w:jc w:val="left"/>
        <w:rPr>
          <w:rFonts w:ascii="宋体" w:hAnsi="宋体" w:eastAsia="宋体" w:cs="宋体"/>
          <w:b/>
          <w:bCs/>
          <w:color w:val="auto"/>
          <w:sz w:val="36"/>
          <w:szCs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FD444932-174A-4025-8FC2-EB4D72BFCFC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BEF1F884-DA8C-44E4-B7EB-B143F1F3635E}"/>
  </w:font>
  <w:font w:name="仿宋_GB2312">
    <w:panose1 w:val="02010609030101010101"/>
    <w:charset w:val="86"/>
    <w:family w:val="modern"/>
    <w:pitch w:val="default"/>
    <w:sig w:usb0="00000001" w:usb1="080E0000" w:usb2="00000000" w:usb3="00000000" w:csb0="00040000" w:csb1="00000000"/>
    <w:embedRegular r:id="rId3" w:fontKey="{7F2C6BDD-C287-438B-AD84-98D1FE378368}"/>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A946">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E09DBF">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55</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37E09DBF">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55</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8DDC5">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E26754">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CE26754">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8D54B">
    <w:pPr>
      <w:pStyle w:val="15"/>
      <w:pBdr>
        <w:bottom w:val="none" w:color="auto" w:sz="0" w:space="0"/>
      </w:pBdr>
      <w:ind w:right="-57" w:firstLine="30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4EDC159D"/>
    <w:multiLevelType w:val="singleLevel"/>
    <w:tmpl w:val="4EDC159D"/>
    <w:lvl w:ilvl="0" w:tentative="0">
      <w:start w:val="18"/>
      <w:numFmt w:val="chineseCounting"/>
      <w:suff w:val="nothing"/>
      <w:lvlText w:val="%1、"/>
      <w:lvlJc w:val="left"/>
      <w:rPr>
        <w:rFonts w:hint="eastAsia"/>
      </w:rPr>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OGVjYTkyYTRhZGNhZWE3ODEwZDk3MzE3NWQwYzcifQ=="/>
  </w:docVars>
  <w:rsids>
    <w:rsidRoot w:val="00CD0223"/>
    <w:rsid w:val="00000507"/>
    <w:rsid w:val="00002A1B"/>
    <w:rsid w:val="00012FBC"/>
    <w:rsid w:val="00026E8E"/>
    <w:rsid w:val="00052070"/>
    <w:rsid w:val="00052EEF"/>
    <w:rsid w:val="00057561"/>
    <w:rsid w:val="00060067"/>
    <w:rsid w:val="00065145"/>
    <w:rsid w:val="000669D4"/>
    <w:rsid w:val="000722A1"/>
    <w:rsid w:val="00074E46"/>
    <w:rsid w:val="0008055A"/>
    <w:rsid w:val="00080853"/>
    <w:rsid w:val="00085785"/>
    <w:rsid w:val="000861AF"/>
    <w:rsid w:val="00086855"/>
    <w:rsid w:val="000922CF"/>
    <w:rsid w:val="00092572"/>
    <w:rsid w:val="0009603C"/>
    <w:rsid w:val="000A67BC"/>
    <w:rsid w:val="000C090D"/>
    <w:rsid w:val="000C3C3B"/>
    <w:rsid w:val="000C4257"/>
    <w:rsid w:val="000C6853"/>
    <w:rsid w:val="000C6E7C"/>
    <w:rsid w:val="000D2212"/>
    <w:rsid w:val="000E1B11"/>
    <w:rsid w:val="000E23E1"/>
    <w:rsid w:val="000E5A75"/>
    <w:rsid w:val="000E79C4"/>
    <w:rsid w:val="000F31DD"/>
    <w:rsid w:val="000F412F"/>
    <w:rsid w:val="000F59EA"/>
    <w:rsid w:val="00103EE2"/>
    <w:rsid w:val="00104764"/>
    <w:rsid w:val="00113B2A"/>
    <w:rsid w:val="00117067"/>
    <w:rsid w:val="00117D75"/>
    <w:rsid w:val="00124264"/>
    <w:rsid w:val="00131727"/>
    <w:rsid w:val="00132D51"/>
    <w:rsid w:val="00136022"/>
    <w:rsid w:val="00144956"/>
    <w:rsid w:val="00152275"/>
    <w:rsid w:val="001522C1"/>
    <w:rsid w:val="00152671"/>
    <w:rsid w:val="00152ABA"/>
    <w:rsid w:val="00155A89"/>
    <w:rsid w:val="001578F8"/>
    <w:rsid w:val="00160F4D"/>
    <w:rsid w:val="001645D7"/>
    <w:rsid w:val="001650D2"/>
    <w:rsid w:val="00172665"/>
    <w:rsid w:val="00173047"/>
    <w:rsid w:val="00176150"/>
    <w:rsid w:val="0017683C"/>
    <w:rsid w:val="00180565"/>
    <w:rsid w:val="00183786"/>
    <w:rsid w:val="001A0C50"/>
    <w:rsid w:val="001A438A"/>
    <w:rsid w:val="001A7184"/>
    <w:rsid w:val="001A7D43"/>
    <w:rsid w:val="001C4CE9"/>
    <w:rsid w:val="001D5DB0"/>
    <w:rsid w:val="001D723F"/>
    <w:rsid w:val="001E2EBA"/>
    <w:rsid w:val="001E38A5"/>
    <w:rsid w:val="001E7DF3"/>
    <w:rsid w:val="001F154A"/>
    <w:rsid w:val="001F505B"/>
    <w:rsid w:val="001F5AE5"/>
    <w:rsid w:val="001F7EF2"/>
    <w:rsid w:val="002010C0"/>
    <w:rsid w:val="0020236B"/>
    <w:rsid w:val="002028AC"/>
    <w:rsid w:val="00214E6F"/>
    <w:rsid w:val="0021549B"/>
    <w:rsid w:val="00223C5B"/>
    <w:rsid w:val="00224003"/>
    <w:rsid w:val="002344E1"/>
    <w:rsid w:val="00241FAA"/>
    <w:rsid w:val="002512BC"/>
    <w:rsid w:val="002579C9"/>
    <w:rsid w:val="002648E6"/>
    <w:rsid w:val="0026584E"/>
    <w:rsid w:val="0027073D"/>
    <w:rsid w:val="00270C8A"/>
    <w:rsid w:val="00273C6B"/>
    <w:rsid w:val="002800C7"/>
    <w:rsid w:val="00287548"/>
    <w:rsid w:val="002936A4"/>
    <w:rsid w:val="002A183E"/>
    <w:rsid w:val="002A51AC"/>
    <w:rsid w:val="002A71CF"/>
    <w:rsid w:val="002B1000"/>
    <w:rsid w:val="002B4EBA"/>
    <w:rsid w:val="002B5A45"/>
    <w:rsid w:val="002B5DE2"/>
    <w:rsid w:val="002B63AD"/>
    <w:rsid w:val="002C48E4"/>
    <w:rsid w:val="002D5E78"/>
    <w:rsid w:val="002D6C32"/>
    <w:rsid w:val="002E2E85"/>
    <w:rsid w:val="002E40E4"/>
    <w:rsid w:val="002E5F98"/>
    <w:rsid w:val="002F0964"/>
    <w:rsid w:val="002F0DE5"/>
    <w:rsid w:val="002F3163"/>
    <w:rsid w:val="002F7ED4"/>
    <w:rsid w:val="0030019D"/>
    <w:rsid w:val="003054EE"/>
    <w:rsid w:val="0031080A"/>
    <w:rsid w:val="003112AA"/>
    <w:rsid w:val="00313E4A"/>
    <w:rsid w:val="00315E2E"/>
    <w:rsid w:val="00316D18"/>
    <w:rsid w:val="00323DAC"/>
    <w:rsid w:val="00323FC8"/>
    <w:rsid w:val="00324EB0"/>
    <w:rsid w:val="003254B5"/>
    <w:rsid w:val="00327A73"/>
    <w:rsid w:val="00333C23"/>
    <w:rsid w:val="00341733"/>
    <w:rsid w:val="00341B73"/>
    <w:rsid w:val="00345667"/>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3D0A"/>
    <w:rsid w:val="003B4CF5"/>
    <w:rsid w:val="003C3FC0"/>
    <w:rsid w:val="003C652D"/>
    <w:rsid w:val="003C6A2F"/>
    <w:rsid w:val="003D19D4"/>
    <w:rsid w:val="003D2CE2"/>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1D32"/>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3B66"/>
    <w:rsid w:val="004F6CE3"/>
    <w:rsid w:val="0050240F"/>
    <w:rsid w:val="005215D5"/>
    <w:rsid w:val="00521C9B"/>
    <w:rsid w:val="005232E0"/>
    <w:rsid w:val="005265AC"/>
    <w:rsid w:val="005304FD"/>
    <w:rsid w:val="005346CD"/>
    <w:rsid w:val="00535CC2"/>
    <w:rsid w:val="0054129C"/>
    <w:rsid w:val="00553644"/>
    <w:rsid w:val="0055730C"/>
    <w:rsid w:val="0056066A"/>
    <w:rsid w:val="00572AB9"/>
    <w:rsid w:val="00573967"/>
    <w:rsid w:val="0057772C"/>
    <w:rsid w:val="00581022"/>
    <w:rsid w:val="00584D11"/>
    <w:rsid w:val="00593D08"/>
    <w:rsid w:val="005A7B94"/>
    <w:rsid w:val="005B244C"/>
    <w:rsid w:val="005B7E10"/>
    <w:rsid w:val="005B7F6E"/>
    <w:rsid w:val="005C3A9D"/>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5ABF"/>
    <w:rsid w:val="006C6819"/>
    <w:rsid w:val="006D2771"/>
    <w:rsid w:val="006D59BF"/>
    <w:rsid w:val="006E1BDC"/>
    <w:rsid w:val="006E4DE8"/>
    <w:rsid w:val="006E5B3D"/>
    <w:rsid w:val="006E6108"/>
    <w:rsid w:val="006E7315"/>
    <w:rsid w:val="006F0C01"/>
    <w:rsid w:val="006F6675"/>
    <w:rsid w:val="007000E3"/>
    <w:rsid w:val="00700BD9"/>
    <w:rsid w:val="00704AD8"/>
    <w:rsid w:val="007050CA"/>
    <w:rsid w:val="007073F2"/>
    <w:rsid w:val="0071645F"/>
    <w:rsid w:val="00721407"/>
    <w:rsid w:val="00722253"/>
    <w:rsid w:val="00724A8C"/>
    <w:rsid w:val="00725E92"/>
    <w:rsid w:val="0073263C"/>
    <w:rsid w:val="007369FD"/>
    <w:rsid w:val="007443CD"/>
    <w:rsid w:val="007554A4"/>
    <w:rsid w:val="00757F05"/>
    <w:rsid w:val="0076740E"/>
    <w:rsid w:val="00767584"/>
    <w:rsid w:val="00767967"/>
    <w:rsid w:val="0077145C"/>
    <w:rsid w:val="00773441"/>
    <w:rsid w:val="007761F4"/>
    <w:rsid w:val="0077705A"/>
    <w:rsid w:val="0078143C"/>
    <w:rsid w:val="00784718"/>
    <w:rsid w:val="007A2A69"/>
    <w:rsid w:val="007A5268"/>
    <w:rsid w:val="007A6CCA"/>
    <w:rsid w:val="007B0F63"/>
    <w:rsid w:val="007B162E"/>
    <w:rsid w:val="007B2289"/>
    <w:rsid w:val="007B5EF3"/>
    <w:rsid w:val="007C6B0D"/>
    <w:rsid w:val="007C7A96"/>
    <w:rsid w:val="007D1FE2"/>
    <w:rsid w:val="007D2549"/>
    <w:rsid w:val="007D5487"/>
    <w:rsid w:val="007D6A53"/>
    <w:rsid w:val="007E026B"/>
    <w:rsid w:val="007E31F8"/>
    <w:rsid w:val="007E6187"/>
    <w:rsid w:val="007E6493"/>
    <w:rsid w:val="007F0BE1"/>
    <w:rsid w:val="007F1A19"/>
    <w:rsid w:val="007F2578"/>
    <w:rsid w:val="00803E08"/>
    <w:rsid w:val="00813E7D"/>
    <w:rsid w:val="00815AE4"/>
    <w:rsid w:val="008203E9"/>
    <w:rsid w:val="00823BCD"/>
    <w:rsid w:val="00833332"/>
    <w:rsid w:val="008337E5"/>
    <w:rsid w:val="008614F8"/>
    <w:rsid w:val="00863029"/>
    <w:rsid w:val="00864EAF"/>
    <w:rsid w:val="0087146F"/>
    <w:rsid w:val="008910A6"/>
    <w:rsid w:val="00891DED"/>
    <w:rsid w:val="00895684"/>
    <w:rsid w:val="008A2C7C"/>
    <w:rsid w:val="008A36DA"/>
    <w:rsid w:val="008C4C0B"/>
    <w:rsid w:val="008D1369"/>
    <w:rsid w:val="008D2F93"/>
    <w:rsid w:val="008D46D1"/>
    <w:rsid w:val="008D7A2F"/>
    <w:rsid w:val="008E11D6"/>
    <w:rsid w:val="008E7356"/>
    <w:rsid w:val="00904877"/>
    <w:rsid w:val="00910DE9"/>
    <w:rsid w:val="00913C5C"/>
    <w:rsid w:val="00916CCA"/>
    <w:rsid w:val="0092029B"/>
    <w:rsid w:val="00927C93"/>
    <w:rsid w:val="00930024"/>
    <w:rsid w:val="009410AC"/>
    <w:rsid w:val="0094451F"/>
    <w:rsid w:val="00944888"/>
    <w:rsid w:val="009462BF"/>
    <w:rsid w:val="0094634C"/>
    <w:rsid w:val="009569AB"/>
    <w:rsid w:val="00956CF9"/>
    <w:rsid w:val="009651C5"/>
    <w:rsid w:val="009711C4"/>
    <w:rsid w:val="009711F9"/>
    <w:rsid w:val="00971AEB"/>
    <w:rsid w:val="00973171"/>
    <w:rsid w:val="00974AB2"/>
    <w:rsid w:val="0098178E"/>
    <w:rsid w:val="00984BBF"/>
    <w:rsid w:val="00984C5A"/>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146F"/>
    <w:rsid w:val="009E229F"/>
    <w:rsid w:val="009E4F19"/>
    <w:rsid w:val="009E6EEA"/>
    <w:rsid w:val="00A01CCD"/>
    <w:rsid w:val="00A073DA"/>
    <w:rsid w:val="00A1541E"/>
    <w:rsid w:val="00A22BAE"/>
    <w:rsid w:val="00A264CF"/>
    <w:rsid w:val="00A34CA9"/>
    <w:rsid w:val="00A34E8B"/>
    <w:rsid w:val="00A372F7"/>
    <w:rsid w:val="00A4707A"/>
    <w:rsid w:val="00A55613"/>
    <w:rsid w:val="00A55C33"/>
    <w:rsid w:val="00A55E65"/>
    <w:rsid w:val="00A64B12"/>
    <w:rsid w:val="00A6547B"/>
    <w:rsid w:val="00A65647"/>
    <w:rsid w:val="00A65B67"/>
    <w:rsid w:val="00A66E35"/>
    <w:rsid w:val="00A70E57"/>
    <w:rsid w:val="00A72A07"/>
    <w:rsid w:val="00A85C5E"/>
    <w:rsid w:val="00A8671C"/>
    <w:rsid w:val="00A936D3"/>
    <w:rsid w:val="00A97767"/>
    <w:rsid w:val="00AA0BEC"/>
    <w:rsid w:val="00AA204B"/>
    <w:rsid w:val="00AA3360"/>
    <w:rsid w:val="00AA42C1"/>
    <w:rsid w:val="00AB18FB"/>
    <w:rsid w:val="00AB6A4C"/>
    <w:rsid w:val="00AB6F04"/>
    <w:rsid w:val="00AC2828"/>
    <w:rsid w:val="00AC49F5"/>
    <w:rsid w:val="00AC6F6E"/>
    <w:rsid w:val="00AC7626"/>
    <w:rsid w:val="00AD0F14"/>
    <w:rsid w:val="00AD34FD"/>
    <w:rsid w:val="00AD4F57"/>
    <w:rsid w:val="00AD5F49"/>
    <w:rsid w:val="00AD7682"/>
    <w:rsid w:val="00AD7E41"/>
    <w:rsid w:val="00AF3DD8"/>
    <w:rsid w:val="00AF3DEF"/>
    <w:rsid w:val="00AF3EA4"/>
    <w:rsid w:val="00AF4A55"/>
    <w:rsid w:val="00AF5695"/>
    <w:rsid w:val="00B14027"/>
    <w:rsid w:val="00B16471"/>
    <w:rsid w:val="00B17764"/>
    <w:rsid w:val="00B17A7F"/>
    <w:rsid w:val="00B20AE3"/>
    <w:rsid w:val="00B32C53"/>
    <w:rsid w:val="00B47AF2"/>
    <w:rsid w:val="00B63482"/>
    <w:rsid w:val="00B6650C"/>
    <w:rsid w:val="00B71D07"/>
    <w:rsid w:val="00B75E4D"/>
    <w:rsid w:val="00B841E5"/>
    <w:rsid w:val="00B85AB5"/>
    <w:rsid w:val="00B91C42"/>
    <w:rsid w:val="00B91CE0"/>
    <w:rsid w:val="00B9323A"/>
    <w:rsid w:val="00B944B1"/>
    <w:rsid w:val="00BA036F"/>
    <w:rsid w:val="00BA0CC0"/>
    <w:rsid w:val="00BA3F59"/>
    <w:rsid w:val="00BA53FA"/>
    <w:rsid w:val="00BA5B47"/>
    <w:rsid w:val="00BA66E7"/>
    <w:rsid w:val="00BB4498"/>
    <w:rsid w:val="00BB6BE9"/>
    <w:rsid w:val="00BC6831"/>
    <w:rsid w:val="00BC7858"/>
    <w:rsid w:val="00BD308E"/>
    <w:rsid w:val="00BD67AF"/>
    <w:rsid w:val="00BD6E9D"/>
    <w:rsid w:val="00BE5794"/>
    <w:rsid w:val="00BF2D1F"/>
    <w:rsid w:val="00BF7264"/>
    <w:rsid w:val="00C006D6"/>
    <w:rsid w:val="00C01C68"/>
    <w:rsid w:val="00C03DAB"/>
    <w:rsid w:val="00C06C86"/>
    <w:rsid w:val="00C13B43"/>
    <w:rsid w:val="00C15035"/>
    <w:rsid w:val="00C1661E"/>
    <w:rsid w:val="00C257A1"/>
    <w:rsid w:val="00C35665"/>
    <w:rsid w:val="00C4363B"/>
    <w:rsid w:val="00C44BC3"/>
    <w:rsid w:val="00C47C58"/>
    <w:rsid w:val="00C523F2"/>
    <w:rsid w:val="00C52848"/>
    <w:rsid w:val="00C648A6"/>
    <w:rsid w:val="00C74A84"/>
    <w:rsid w:val="00C761DD"/>
    <w:rsid w:val="00C8070C"/>
    <w:rsid w:val="00C823E6"/>
    <w:rsid w:val="00C92338"/>
    <w:rsid w:val="00C930A8"/>
    <w:rsid w:val="00CA2215"/>
    <w:rsid w:val="00CA5B0C"/>
    <w:rsid w:val="00CA65D8"/>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38F0"/>
    <w:rsid w:val="00D3534B"/>
    <w:rsid w:val="00D354F1"/>
    <w:rsid w:val="00D36E31"/>
    <w:rsid w:val="00D40CCA"/>
    <w:rsid w:val="00D432FA"/>
    <w:rsid w:val="00D44095"/>
    <w:rsid w:val="00D4559F"/>
    <w:rsid w:val="00D45E05"/>
    <w:rsid w:val="00D53886"/>
    <w:rsid w:val="00D577FC"/>
    <w:rsid w:val="00D60D05"/>
    <w:rsid w:val="00D621D3"/>
    <w:rsid w:val="00D664F7"/>
    <w:rsid w:val="00D71671"/>
    <w:rsid w:val="00D737A8"/>
    <w:rsid w:val="00D81FAF"/>
    <w:rsid w:val="00D87FDA"/>
    <w:rsid w:val="00D921EF"/>
    <w:rsid w:val="00DA12B7"/>
    <w:rsid w:val="00DA3145"/>
    <w:rsid w:val="00DA737A"/>
    <w:rsid w:val="00DA7CCE"/>
    <w:rsid w:val="00DA7D6C"/>
    <w:rsid w:val="00DB1F0E"/>
    <w:rsid w:val="00DB3CE7"/>
    <w:rsid w:val="00DB4715"/>
    <w:rsid w:val="00DB49E4"/>
    <w:rsid w:val="00DB6F40"/>
    <w:rsid w:val="00DC2BBB"/>
    <w:rsid w:val="00DC4947"/>
    <w:rsid w:val="00DC5FC5"/>
    <w:rsid w:val="00DC6908"/>
    <w:rsid w:val="00DD1E14"/>
    <w:rsid w:val="00DE7A58"/>
    <w:rsid w:val="00DF5AE0"/>
    <w:rsid w:val="00E02AA5"/>
    <w:rsid w:val="00E063AD"/>
    <w:rsid w:val="00E12CE9"/>
    <w:rsid w:val="00E16043"/>
    <w:rsid w:val="00E219A7"/>
    <w:rsid w:val="00E236EF"/>
    <w:rsid w:val="00E31E83"/>
    <w:rsid w:val="00E34AD3"/>
    <w:rsid w:val="00E41A2D"/>
    <w:rsid w:val="00E420CF"/>
    <w:rsid w:val="00E444E4"/>
    <w:rsid w:val="00E5024D"/>
    <w:rsid w:val="00E562D1"/>
    <w:rsid w:val="00E60DCC"/>
    <w:rsid w:val="00E6284A"/>
    <w:rsid w:val="00E628EF"/>
    <w:rsid w:val="00E66041"/>
    <w:rsid w:val="00E7125F"/>
    <w:rsid w:val="00E73B68"/>
    <w:rsid w:val="00E76644"/>
    <w:rsid w:val="00E81AB0"/>
    <w:rsid w:val="00E82CCB"/>
    <w:rsid w:val="00E83DD6"/>
    <w:rsid w:val="00E84F23"/>
    <w:rsid w:val="00E86168"/>
    <w:rsid w:val="00E8724A"/>
    <w:rsid w:val="00E978B7"/>
    <w:rsid w:val="00EC0885"/>
    <w:rsid w:val="00EC6265"/>
    <w:rsid w:val="00ED377C"/>
    <w:rsid w:val="00EE101E"/>
    <w:rsid w:val="00EE260E"/>
    <w:rsid w:val="00EE3FB5"/>
    <w:rsid w:val="00EE52C2"/>
    <w:rsid w:val="00EF3B62"/>
    <w:rsid w:val="00F007CF"/>
    <w:rsid w:val="00F01BFD"/>
    <w:rsid w:val="00F05EA6"/>
    <w:rsid w:val="00F228C4"/>
    <w:rsid w:val="00F25F45"/>
    <w:rsid w:val="00F30ACB"/>
    <w:rsid w:val="00F36960"/>
    <w:rsid w:val="00F36EA2"/>
    <w:rsid w:val="00F40198"/>
    <w:rsid w:val="00F46602"/>
    <w:rsid w:val="00F47188"/>
    <w:rsid w:val="00F5066A"/>
    <w:rsid w:val="00F56193"/>
    <w:rsid w:val="00F61148"/>
    <w:rsid w:val="00F6451A"/>
    <w:rsid w:val="00F73078"/>
    <w:rsid w:val="00F7362A"/>
    <w:rsid w:val="00F82994"/>
    <w:rsid w:val="00F93F91"/>
    <w:rsid w:val="00F93FF2"/>
    <w:rsid w:val="00FA3933"/>
    <w:rsid w:val="00FA4877"/>
    <w:rsid w:val="00FB5FB9"/>
    <w:rsid w:val="00FB76FE"/>
    <w:rsid w:val="00FC630F"/>
    <w:rsid w:val="00FD01B0"/>
    <w:rsid w:val="00FD0E4E"/>
    <w:rsid w:val="00FD28A7"/>
    <w:rsid w:val="00FD56EB"/>
    <w:rsid w:val="00FD7E1A"/>
    <w:rsid w:val="00FE1163"/>
    <w:rsid w:val="00FF284D"/>
    <w:rsid w:val="00FF3E4F"/>
    <w:rsid w:val="00FF6199"/>
    <w:rsid w:val="01347A59"/>
    <w:rsid w:val="01431A4A"/>
    <w:rsid w:val="01464277"/>
    <w:rsid w:val="016D6AC7"/>
    <w:rsid w:val="017460A8"/>
    <w:rsid w:val="01830099"/>
    <w:rsid w:val="01994C0C"/>
    <w:rsid w:val="01BF37C7"/>
    <w:rsid w:val="022E6EEA"/>
    <w:rsid w:val="024A3CE3"/>
    <w:rsid w:val="028A186A"/>
    <w:rsid w:val="02DE573B"/>
    <w:rsid w:val="031173EF"/>
    <w:rsid w:val="0328776E"/>
    <w:rsid w:val="034C108A"/>
    <w:rsid w:val="035C0C4A"/>
    <w:rsid w:val="03661F65"/>
    <w:rsid w:val="0370464D"/>
    <w:rsid w:val="038375EC"/>
    <w:rsid w:val="03AF1619"/>
    <w:rsid w:val="03BE360A"/>
    <w:rsid w:val="03C2759E"/>
    <w:rsid w:val="03C36E72"/>
    <w:rsid w:val="04405C61"/>
    <w:rsid w:val="048E122E"/>
    <w:rsid w:val="04A10F62"/>
    <w:rsid w:val="04A44EF6"/>
    <w:rsid w:val="04A67D1B"/>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403200"/>
    <w:rsid w:val="086C395F"/>
    <w:rsid w:val="091D7F9E"/>
    <w:rsid w:val="09317B12"/>
    <w:rsid w:val="093E7609"/>
    <w:rsid w:val="093F1D52"/>
    <w:rsid w:val="094E3682"/>
    <w:rsid w:val="09603C0E"/>
    <w:rsid w:val="09630EDC"/>
    <w:rsid w:val="09741A2E"/>
    <w:rsid w:val="09862E1C"/>
    <w:rsid w:val="098D41AA"/>
    <w:rsid w:val="099037DC"/>
    <w:rsid w:val="09B3373D"/>
    <w:rsid w:val="09B62700"/>
    <w:rsid w:val="09C83435"/>
    <w:rsid w:val="09CA0F5B"/>
    <w:rsid w:val="09E65669"/>
    <w:rsid w:val="0A176022"/>
    <w:rsid w:val="0A1C108A"/>
    <w:rsid w:val="0A1E388E"/>
    <w:rsid w:val="0A620AA0"/>
    <w:rsid w:val="0AB063A2"/>
    <w:rsid w:val="0AB1211B"/>
    <w:rsid w:val="0AF21B4C"/>
    <w:rsid w:val="0B114967"/>
    <w:rsid w:val="0B1A7CC0"/>
    <w:rsid w:val="0B2E5519"/>
    <w:rsid w:val="0B510CC2"/>
    <w:rsid w:val="0B5C3034"/>
    <w:rsid w:val="0B68030A"/>
    <w:rsid w:val="0B684935"/>
    <w:rsid w:val="0C085820"/>
    <w:rsid w:val="0C230DF6"/>
    <w:rsid w:val="0C2D757F"/>
    <w:rsid w:val="0CD402F9"/>
    <w:rsid w:val="0CEA7622"/>
    <w:rsid w:val="0D04104B"/>
    <w:rsid w:val="0D1D5845"/>
    <w:rsid w:val="0D295F98"/>
    <w:rsid w:val="0D975F08"/>
    <w:rsid w:val="0DC2517F"/>
    <w:rsid w:val="0DCB52A1"/>
    <w:rsid w:val="0DCD71FF"/>
    <w:rsid w:val="0DE100BF"/>
    <w:rsid w:val="0E275B53"/>
    <w:rsid w:val="0E386917"/>
    <w:rsid w:val="0E852540"/>
    <w:rsid w:val="0E8704F7"/>
    <w:rsid w:val="0EA115D7"/>
    <w:rsid w:val="0EB13A8C"/>
    <w:rsid w:val="0EDB32C2"/>
    <w:rsid w:val="0EDD528C"/>
    <w:rsid w:val="0EE851DC"/>
    <w:rsid w:val="0EFA7D76"/>
    <w:rsid w:val="0F2412A4"/>
    <w:rsid w:val="0F3479B4"/>
    <w:rsid w:val="0F7A0D2D"/>
    <w:rsid w:val="0F8D1B79"/>
    <w:rsid w:val="0FAD1921"/>
    <w:rsid w:val="0FD51400"/>
    <w:rsid w:val="10016553"/>
    <w:rsid w:val="100573D2"/>
    <w:rsid w:val="10067489"/>
    <w:rsid w:val="107668AE"/>
    <w:rsid w:val="10A047C3"/>
    <w:rsid w:val="10AC3C68"/>
    <w:rsid w:val="112533CF"/>
    <w:rsid w:val="113A71DA"/>
    <w:rsid w:val="114E421F"/>
    <w:rsid w:val="11660951"/>
    <w:rsid w:val="117C46D6"/>
    <w:rsid w:val="11962DA9"/>
    <w:rsid w:val="11B73BE0"/>
    <w:rsid w:val="11BA701A"/>
    <w:rsid w:val="121A67F7"/>
    <w:rsid w:val="12416638"/>
    <w:rsid w:val="12843C71"/>
    <w:rsid w:val="129860D8"/>
    <w:rsid w:val="12AF0CEE"/>
    <w:rsid w:val="12B74C45"/>
    <w:rsid w:val="12B85E9B"/>
    <w:rsid w:val="12EF558E"/>
    <w:rsid w:val="12FA6367"/>
    <w:rsid w:val="131B68EE"/>
    <w:rsid w:val="131E40C5"/>
    <w:rsid w:val="13434F53"/>
    <w:rsid w:val="13531FC1"/>
    <w:rsid w:val="136F6921"/>
    <w:rsid w:val="139E0753"/>
    <w:rsid w:val="13B86493"/>
    <w:rsid w:val="13DF7EDB"/>
    <w:rsid w:val="14250B1D"/>
    <w:rsid w:val="146D732C"/>
    <w:rsid w:val="147A17CF"/>
    <w:rsid w:val="147E12BF"/>
    <w:rsid w:val="148D32B1"/>
    <w:rsid w:val="14922675"/>
    <w:rsid w:val="14D0319D"/>
    <w:rsid w:val="15A22D8C"/>
    <w:rsid w:val="16211595"/>
    <w:rsid w:val="162A064B"/>
    <w:rsid w:val="165E4F6A"/>
    <w:rsid w:val="16D2774D"/>
    <w:rsid w:val="16F25A0C"/>
    <w:rsid w:val="1700420E"/>
    <w:rsid w:val="17060160"/>
    <w:rsid w:val="172F4AF3"/>
    <w:rsid w:val="17742506"/>
    <w:rsid w:val="17887D5F"/>
    <w:rsid w:val="179E0C70"/>
    <w:rsid w:val="17C35302"/>
    <w:rsid w:val="17D8724F"/>
    <w:rsid w:val="17F04282"/>
    <w:rsid w:val="18370023"/>
    <w:rsid w:val="18371EB1"/>
    <w:rsid w:val="183728C5"/>
    <w:rsid w:val="183A3CE1"/>
    <w:rsid w:val="1844733F"/>
    <w:rsid w:val="18AF5EEB"/>
    <w:rsid w:val="18C35823"/>
    <w:rsid w:val="18D45952"/>
    <w:rsid w:val="19064FD3"/>
    <w:rsid w:val="1945415A"/>
    <w:rsid w:val="194C4AC8"/>
    <w:rsid w:val="196654F1"/>
    <w:rsid w:val="19983BCC"/>
    <w:rsid w:val="1998697F"/>
    <w:rsid w:val="19A86DB6"/>
    <w:rsid w:val="19E33973"/>
    <w:rsid w:val="19F33CB9"/>
    <w:rsid w:val="19FB3199"/>
    <w:rsid w:val="1A820B73"/>
    <w:rsid w:val="1AC75042"/>
    <w:rsid w:val="1AD13776"/>
    <w:rsid w:val="1AE31E7C"/>
    <w:rsid w:val="1AF5354A"/>
    <w:rsid w:val="1B440441"/>
    <w:rsid w:val="1B7828A4"/>
    <w:rsid w:val="1B801CC8"/>
    <w:rsid w:val="1B88172B"/>
    <w:rsid w:val="1B9A62B3"/>
    <w:rsid w:val="1BAB226E"/>
    <w:rsid w:val="1C20736E"/>
    <w:rsid w:val="1C3F5943"/>
    <w:rsid w:val="1C642CF5"/>
    <w:rsid w:val="1C8D752E"/>
    <w:rsid w:val="1CC46C32"/>
    <w:rsid w:val="1CE727EA"/>
    <w:rsid w:val="1D0D1432"/>
    <w:rsid w:val="1D0E1A25"/>
    <w:rsid w:val="1D202035"/>
    <w:rsid w:val="1D3D2FA4"/>
    <w:rsid w:val="1D807E56"/>
    <w:rsid w:val="1D8E6A35"/>
    <w:rsid w:val="1DA37E94"/>
    <w:rsid w:val="1DB206FF"/>
    <w:rsid w:val="1DDA4574"/>
    <w:rsid w:val="1DE101C9"/>
    <w:rsid w:val="1DE9461A"/>
    <w:rsid w:val="1E212E06"/>
    <w:rsid w:val="1E2A22F5"/>
    <w:rsid w:val="1E597E98"/>
    <w:rsid w:val="1E5D77F2"/>
    <w:rsid w:val="1E7C18CE"/>
    <w:rsid w:val="1E7D0965"/>
    <w:rsid w:val="1EAC07D7"/>
    <w:rsid w:val="1EB63E6E"/>
    <w:rsid w:val="1EE066D3"/>
    <w:rsid w:val="1F7466F8"/>
    <w:rsid w:val="1FA80B45"/>
    <w:rsid w:val="1FF031A1"/>
    <w:rsid w:val="203D0806"/>
    <w:rsid w:val="20506E01"/>
    <w:rsid w:val="20517888"/>
    <w:rsid w:val="206925C9"/>
    <w:rsid w:val="207B66B3"/>
    <w:rsid w:val="20895C0A"/>
    <w:rsid w:val="208C361B"/>
    <w:rsid w:val="209A437D"/>
    <w:rsid w:val="20D81FA4"/>
    <w:rsid w:val="212178D0"/>
    <w:rsid w:val="2143792E"/>
    <w:rsid w:val="216B4F34"/>
    <w:rsid w:val="218A0AEA"/>
    <w:rsid w:val="21960CEA"/>
    <w:rsid w:val="2196425A"/>
    <w:rsid w:val="21B4463F"/>
    <w:rsid w:val="21CC2F31"/>
    <w:rsid w:val="21E20569"/>
    <w:rsid w:val="220B214E"/>
    <w:rsid w:val="228C128A"/>
    <w:rsid w:val="22972076"/>
    <w:rsid w:val="22A07A2E"/>
    <w:rsid w:val="22D7082A"/>
    <w:rsid w:val="23337719"/>
    <w:rsid w:val="237C3DA7"/>
    <w:rsid w:val="23AB2B2B"/>
    <w:rsid w:val="23AD6B8C"/>
    <w:rsid w:val="23ED1676"/>
    <w:rsid w:val="2415163D"/>
    <w:rsid w:val="24183F9D"/>
    <w:rsid w:val="24925E82"/>
    <w:rsid w:val="24D34D10"/>
    <w:rsid w:val="251834B6"/>
    <w:rsid w:val="25685C13"/>
    <w:rsid w:val="259E79EC"/>
    <w:rsid w:val="25E66CC5"/>
    <w:rsid w:val="25F80F5A"/>
    <w:rsid w:val="26177488"/>
    <w:rsid w:val="266879AE"/>
    <w:rsid w:val="267D783B"/>
    <w:rsid w:val="2685028B"/>
    <w:rsid w:val="26BD19CD"/>
    <w:rsid w:val="27085757"/>
    <w:rsid w:val="270E526E"/>
    <w:rsid w:val="27724B6E"/>
    <w:rsid w:val="277D0F63"/>
    <w:rsid w:val="27C60B5C"/>
    <w:rsid w:val="27D52B4D"/>
    <w:rsid w:val="27E234BC"/>
    <w:rsid w:val="27FE6547"/>
    <w:rsid w:val="280F6FAD"/>
    <w:rsid w:val="281431DC"/>
    <w:rsid w:val="281F2449"/>
    <w:rsid w:val="284877C3"/>
    <w:rsid w:val="28610884"/>
    <w:rsid w:val="288602EB"/>
    <w:rsid w:val="288B2282"/>
    <w:rsid w:val="288E3AC9"/>
    <w:rsid w:val="2899001E"/>
    <w:rsid w:val="28AB49E9"/>
    <w:rsid w:val="28F113D4"/>
    <w:rsid w:val="291B0A33"/>
    <w:rsid w:val="293935AF"/>
    <w:rsid w:val="29534FB3"/>
    <w:rsid w:val="29600B3C"/>
    <w:rsid w:val="299B6018"/>
    <w:rsid w:val="29BB2501"/>
    <w:rsid w:val="2A0A4121"/>
    <w:rsid w:val="2A13795C"/>
    <w:rsid w:val="2A3646FC"/>
    <w:rsid w:val="2A842608"/>
    <w:rsid w:val="2A8B37C2"/>
    <w:rsid w:val="2A8F0515"/>
    <w:rsid w:val="2AB0404C"/>
    <w:rsid w:val="2B362C46"/>
    <w:rsid w:val="2B400F64"/>
    <w:rsid w:val="2B7703BB"/>
    <w:rsid w:val="2B795EE5"/>
    <w:rsid w:val="2BC4158A"/>
    <w:rsid w:val="2BDE7E4D"/>
    <w:rsid w:val="2BE315B0"/>
    <w:rsid w:val="2BEA0B91"/>
    <w:rsid w:val="2C02455B"/>
    <w:rsid w:val="2C1950D5"/>
    <w:rsid w:val="2C245E51"/>
    <w:rsid w:val="2C2A6DBE"/>
    <w:rsid w:val="2C332DE9"/>
    <w:rsid w:val="2C4364D9"/>
    <w:rsid w:val="2C583D4C"/>
    <w:rsid w:val="2C9E674E"/>
    <w:rsid w:val="2CE675AA"/>
    <w:rsid w:val="2D641088"/>
    <w:rsid w:val="2D854FBB"/>
    <w:rsid w:val="2DCA6606"/>
    <w:rsid w:val="2DD375EA"/>
    <w:rsid w:val="2E073308"/>
    <w:rsid w:val="2E457608"/>
    <w:rsid w:val="2E513E0B"/>
    <w:rsid w:val="2E532A1D"/>
    <w:rsid w:val="2E536EC1"/>
    <w:rsid w:val="2E9230E5"/>
    <w:rsid w:val="2EA66FF1"/>
    <w:rsid w:val="2EAB4607"/>
    <w:rsid w:val="2EC94C18"/>
    <w:rsid w:val="2ECB3794"/>
    <w:rsid w:val="2EE568C3"/>
    <w:rsid w:val="2F070443"/>
    <w:rsid w:val="2F7376F8"/>
    <w:rsid w:val="2F782E8B"/>
    <w:rsid w:val="2FF764FF"/>
    <w:rsid w:val="30134B5A"/>
    <w:rsid w:val="305A4537"/>
    <w:rsid w:val="305F48F9"/>
    <w:rsid w:val="30790154"/>
    <w:rsid w:val="30AE4883"/>
    <w:rsid w:val="30D20571"/>
    <w:rsid w:val="3204466B"/>
    <w:rsid w:val="323112C7"/>
    <w:rsid w:val="328C7E14"/>
    <w:rsid w:val="32CE2FBA"/>
    <w:rsid w:val="32E4458C"/>
    <w:rsid w:val="32F3657D"/>
    <w:rsid w:val="32FA5B5D"/>
    <w:rsid w:val="33072928"/>
    <w:rsid w:val="332E1CAB"/>
    <w:rsid w:val="33484B1B"/>
    <w:rsid w:val="33491B2B"/>
    <w:rsid w:val="334A26CA"/>
    <w:rsid w:val="33775400"/>
    <w:rsid w:val="33BC72B7"/>
    <w:rsid w:val="33EE2CBB"/>
    <w:rsid w:val="33F97153"/>
    <w:rsid w:val="346D04EA"/>
    <w:rsid w:val="34915268"/>
    <w:rsid w:val="34AE06E2"/>
    <w:rsid w:val="34D01715"/>
    <w:rsid w:val="34D85FC1"/>
    <w:rsid w:val="34E07AAC"/>
    <w:rsid w:val="35216B3A"/>
    <w:rsid w:val="355D23D3"/>
    <w:rsid w:val="356D334E"/>
    <w:rsid w:val="358D4A67"/>
    <w:rsid w:val="35B73253"/>
    <w:rsid w:val="35C75553"/>
    <w:rsid w:val="35EF127D"/>
    <w:rsid w:val="364770C9"/>
    <w:rsid w:val="37305FF2"/>
    <w:rsid w:val="373B4A03"/>
    <w:rsid w:val="375C6DE7"/>
    <w:rsid w:val="379C139A"/>
    <w:rsid w:val="37C036A0"/>
    <w:rsid w:val="37DC7F27"/>
    <w:rsid w:val="38103E95"/>
    <w:rsid w:val="38B13162"/>
    <w:rsid w:val="38B22A36"/>
    <w:rsid w:val="38D037D9"/>
    <w:rsid w:val="38D61D34"/>
    <w:rsid w:val="39534219"/>
    <w:rsid w:val="39691347"/>
    <w:rsid w:val="399F5BC4"/>
    <w:rsid w:val="39A24859"/>
    <w:rsid w:val="39C3314D"/>
    <w:rsid w:val="39CA6F6B"/>
    <w:rsid w:val="39FC7BE4"/>
    <w:rsid w:val="3A060195"/>
    <w:rsid w:val="3A0C2887"/>
    <w:rsid w:val="3A30175F"/>
    <w:rsid w:val="3A41222E"/>
    <w:rsid w:val="3A4F7B0F"/>
    <w:rsid w:val="3A8D5BE1"/>
    <w:rsid w:val="3A921E66"/>
    <w:rsid w:val="3AB962FE"/>
    <w:rsid w:val="3B183024"/>
    <w:rsid w:val="3B2220F5"/>
    <w:rsid w:val="3B3E2CBB"/>
    <w:rsid w:val="3B4007CD"/>
    <w:rsid w:val="3B5F6EA5"/>
    <w:rsid w:val="3BEA0701"/>
    <w:rsid w:val="3C36556B"/>
    <w:rsid w:val="3C4B742A"/>
    <w:rsid w:val="3C53008C"/>
    <w:rsid w:val="3C554F79"/>
    <w:rsid w:val="3C613DCF"/>
    <w:rsid w:val="3D2A34E3"/>
    <w:rsid w:val="3D566086"/>
    <w:rsid w:val="3D621EB8"/>
    <w:rsid w:val="3E2D53F7"/>
    <w:rsid w:val="3E320C4C"/>
    <w:rsid w:val="3E721CCA"/>
    <w:rsid w:val="3E7B6F01"/>
    <w:rsid w:val="3E8135D7"/>
    <w:rsid w:val="3EAF1EF2"/>
    <w:rsid w:val="3EE200BE"/>
    <w:rsid w:val="3F100628"/>
    <w:rsid w:val="3F1104B7"/>
    <w:rsid w:val="3F177A97"/>
    <w:rsid w:val="3F41064F"/>
    <w:rsid w:val="3F4351A4"/>
    <w:rsid w:val="3F536D21"/>
    <w:rsid w:val="3F6B74EC"/>
    <w:rsid w:val="3F9D7D00"/>
    <w:rsid w:val="404F5E77"/>
    <w:rsid w:val="406B3358"/>
    <w:rsid w:val="406E4439"/>
    <w:rsid w:val="4090365D"/>
    <w:rsid w:val="411F78B8"/>
    <w:rsid w:val="41596145"/>
    <w:rsid w:val="415E04EE"/>
    <w:rsid w:val="41F3318B"/>
    <w:rsid w:val="428E5E9A"/>
    <w:rsid w:val="43064811"/>
    <w:rsid w:val="434D7F2B"/>
    <w:rsid w:val="43525542"/>
    <w:rsid w:val="43874B40"/>
    <w:rsid w:val="43A044FF"/>
    <w:rsid w:val="43D67301"/>
    <w:rsid w:val="43E048FB"/>
    <w:rsid w:val="43EC14F2"/>
    <w:rsid w:val="440F6F8F"/>
    <w:rsid w:val="442567B2"/>
    <w:rsid w:val="4430585A"/>
    <w:rsid w:val="447A08AC"/>
    <w:rsid w:val="4496544D"/>
    <w:rsid w:val="44B244EA"/>
    <w:rsid w:val="44DE7751"/>
    <w:rsid w:val="45226EAF"/>
    <w:rsid w:val="45AD6A5F"/>
    <w:rsid w:val="45B02FE0"/>
    <w:rsid w:val="45D21CF5"/>
    <w:rsid w:val="45E858D0"/>
    <w:rsid w:val="45F34DBA"/>
    <w:rsid w:val="45F67CA3"/>
    <w:rsid w:val="45FB744E"/>
    <w:rsid w:val="46206CE3"/>
    <w:rsid w:val="46317690"/>
    <w:rsid w:val="464D1C38"/>
    <w:rsid w:val="46696E2A"/>
    <w:rsid w:val="46C54618"/>
    <w:rsid w:val="46CB3641"/>
    <w:rsid w:val="46D9135A"/>
    <w:rsid w:val="47046870"/>
    <w:rsid w:val="4709385D"/>
    <w:rsid w:val="472B7F4E"/>
    <w:rsid w:val="4736312B"/>
    <w:rsid w:val="474358CD"/>
    <w:rsid w:val="4773090D"/>
    <w:rsid w:val="478F5F58"/>
    <w:rsid w:val="4799729B"/>
    <w:rsid w:val="47AB4DBB"/>
    <w:rsid w:val="47C167F2"/>
    <w:rsid w:val="47D92111"/>
    <w:rsid w:val="47DE34E9"/>
    <w:rsid w:val="48177E83"/>
    <w:rsid w:val="485252BC"/>
    <w:rsid w:val="485611FE"/>
    <w:rsid w:val="48873598"/>
    <w:rsid w:val="488F4011"/>
    <w:rsid w:val="48AE39F0"/>
    <w:rsid w:val="48B06D4C"/>
    <w:rsid w:val="48C4659A"/>
    <w:rsid w:val="48DF5E57"/>
    <w:rsid w:val="492E50F9"/>
    <w:rsid w:val="49390EFD"/>
    <w:rsid w:val="497524EA"/>
    <w:rsid w:val="498F61B8"/>
    <w:rsid w:val="49A90533"/>
    <w:rsid w:val="49C93F70"/>
    <w:rsid w:val="4A4E2219"/>
    <w:rsid w:val="4AA77F21"/>
    <w:rsid w:val="4AF34927"/>
    <w:rsid w:val="4B3519D1"/>
    <w:rsid w:val="4B7C4DD8"/>
    <w:rsid w:val="4BB02E05"/>
    <w:rsid w:val="4BBB72B9"/>
    <w:rsid w:val="4BD20FCE"/>
    <w:rsid w:val="4C0C793F"/>
    <w:rsid w:val="4C0D46FC"/>
    <w:rsid w:val="4C2D08FA"/>
    <w:rsid w:val="4C8D5D8B"/>
    <w:rsid w:val="4CF6364B"/>
    <w:rsid w:val="4D29404E"/>
    <w:rsid w:val="4D410CA2"/>
    <w:rsid w:val="4D467EC5"/>
    <w:rsid w:val="4D646715"/>
    <w:rsid w:val="4D7660EF"/>
    <w:rsid w:val="4DAE7818"/>
    <w:rsid w:val="4DB964A1"/>
    <w:rsid w:val="4DFB23D2"/>
    <w:rsid w:val="4E00310E"/>
    <w:rsid w:val="4E50267E"/>
    <w:rsid w:val="4E5959D6"/>
    <w:rsid w:val="4EA2751F"/>
    <w:rsid w:val="4EA72C1D"/>
    <w:rsid w:val="4F1279A4"/>
    <w:rsid w:val="4F1D612B"/>
    <w:rsid w:val="4F1F4003"/>
    <w:rsid w:val="4F35568B"/>
    <w:rsid w:val="4F6665FD"/>
    <w:rsid w:val="4F9D7B44"/>
    <w:rsid w:val="4FA34BB1"/>
    <w:rsid w:val="4FB8672C"/>
    <w:rsid w:val="4FBA6769"/>
    <w:rsid w:val="4FD32187"/>
    <w:rsid w:val="4FD61815"/>
    <w:rsid w:val="50202421"/>
    <w:rsid w:val="503C735D"/>
    <w:rsid w:val="503D0A8A"/>
    <w:rsid w:val="510C31D4"/>
    <w:rsid w:val="5119769F"/>
    <w:rsid w:val="51567C36"/>
    <w:rsid w:val="5160707C"/>
    <w:rsid w:val="516B1EBC"/>
    <w:rsid w:val="51E90E1F"/>
    <w:rsid w:val="520C2D5F"/>
    <w:rsid w:val="523A5B1F"/>
    <w:rsid w:val="523B6EAF"/>
    <w:rsid w:val="52670DFD"/>
    <w:rsid w:val="52762A77"/>
    <w:rsid w:val="528D5C4E"/>
    <w:rsid w:val="52BA24D7"/>
    <w:rsid w:val="52E53CDC"/>
    <w:rsid w:val="53005B8A"/>
    <w:rsid w:val="53996FC4"/>
    <w:rsid w:val="54336600"/>
    <w:rsid w:val="548D7640"/>
    <w:rsid w:val="55061B79"/>
    <w:rsid w:val="55366A71"/>
    <w:rsid w:val="557F199D"/>
    <w:rsid w:val="55CF743F"/>
    <w:rsid w:val="56545C38"/>
    <w:rsid w:val="565952BB"/>
    <w:rsid w:val="566F7200"/>
    <w:rsid w:val="56717ADC"/>
    <w:rsid w:val="56C500AD"/>
    <w:rsid w:val="5748483A"/>
    <w:rsid w:val="574B00F6"/>
    <w:rsid w:val="574D1E50"/>
    <w:rsid w:val="57D670A6"/>
    <w:rsid w:val="57D91936"/>
    <w:rsid w:val="57E76149"/>
    <w:rsid w:val="57EA1DD9"/>
    <w:rsid w:val="57F639F8"/>
    <w:rsid w:val="58037222"/>
    <w:rsid w:val="583F79EB"/>
    <w:rsid w:val="58704048"/>
    <w:rsid w:val="58B50BB8"/>
    <w:rsid w:val="58B55EFF"/>
    <w:rsid w:val="58E74DA8"/>
    <w:rsid w:val="591C7D2C"/>
    <w:rsid w:val="59254E33"/>
    <w:rsid w:val="593A6B8B"/>
    <w:rsid w:val="59667064"/>
    <w:rsid w:val="596860D4"/>
    <w:rsid w:val="597520D2"/>
    <w:rsid w:val="59A85A64"/>
    <w:rsid w:val="59B92F1F"/>
    <w:rsid w:val="59DE4FE1"/>
    <w:rsid w:val="5A072969"/>
    <w:rsid w:val="5A2C21F1"/>
    <w:rsid w:val="5A4E660B"/>
    <w:rsid w:val="5A6D7B83"/>
    <w:rsid w:val="5ABC17C7"/>
    <w:rsid w:val="5ACB7C5C"/>
    <w:rsid w:val="5B0D5B7E"/>
    <w:rsid w:val="5B1433B1"/>
    <w:rsid w:val="5B1F1D55"/>
    <w:rsid w:val="5B5C6B06"/>
    <w:rsid w:val="5B667984"/>
    <w:rsid w:val="5BAF789E"/>
    <w:rsid w:val="5BC4220D"/>
    <w:rsid w:val="5C272C70"/>
    <w:rsid w:val="5C990449"/>
    <w:rsid w:val="5CAC13C7"/>
    <w:rsid w:val="5CB67F7B"/>
    <w:rsid w:val="5CCE30DB"/>
    <w:rsid w:val="5D1256CE"/>
    <w:rsid w:val="5D5201C0"/>
    <w:rsid w:val="5D881EC7"/>
    <w:rsid w:val="5D890870"/>
    <w:rsid w:val="5DA463E6"/>
    <w:rsid w:val="5E1A5919"/>
    <w:rsid w:val="5E465A3C"/>
    <w:rsid w:val="5E5802C6"/>
    <w:rsid w:val="5E6511F0"/>
    <w:rsid w:val="5F047BB1"/>
    <w:rsid w:val="5F225970"/>
    <w:rsid w:val="5F24793A"/>
    <w:rsid w:val="5F30625B"/>
    <w:rsid w:val="5F7563E8"/>
    <w:rsid w:val="5F7741D1"/>
    <w:rsid w:val="5F9A19AB"/>
    <w:rsid w:val="5F9C5723"/>
    <w:rsid w:val="5FA41E1F"/>
    <w:rsid w:val="5FBA204D"/>
    <w:rsid w:val="5FC06CFC"/>
    <w:rsid w:val="5FE57227"/>
    <w:rsid w:val="5FFF65AF"/>
    <w:rsid w:val="600644BF"/>
    <w:rsid w:val="60252722"/>
    <w:rsid w:val="606721D5"/>
    <w:rsid w:val="60714E01"/>
    <w:rsid w:val="6080533A"/>
    <w:rsid w:val="608605A7"/>
    <w:rsid w:val="60894B58"/>
    <w:rsid w:val="609603C4"/>
    <w:rsid w:val="610966E0"/>
    <w:rsid w:val="610F59A8"/>
    <w:rsid w:val="612105D5"/>
    <w:rsid w:val="61330A79"/>
    <w:rsid w:val="615803EB"/>
    <w:rsid w:val="61644D94"/>
    <w:rsid w:val="617C580C"/>
    <w:rsid w:val="619169E7"/>
    <w:rsid w:val="619A1CC6"/>
    <w:rsid w:val="61A84853"/>
    <w:rsid w:val="61BF2475"/>
    <w:rsid w:val="622A34BA"/>
    <w:rsid w:val="622B7232"/>
    <w:rsid w:val="62521D73"/>
    <w:rsid w:val="62547CD1"/>
    <w:rsid w:val="631A2E2B"/>
    <w:rsid w:val="63D84EDF"/>
    <w:rsid w:val="63F27EFF"/>
    <w:rsid w:val="64744EC0"/>
    <w:rsid w:val="647924D6"/>
    <w:rsid w:val="647A7108"/>
    <w:rsid w:val="64F36F37"/>
    <w:rsid w:val="65586590"/>
    <w:rsid w:val="65755781"/>
    <w:rsid w:val="65847385"/>
    <w:rsid w:val="65CD2602"/>
    <w:rsid w:val="65D34FAF"/>
    <w:rsid w:val="65D82E36"/>
    <w:rsid w:val="65E676F8"/>
    <w:rsid w:val="66061B48"/>
    <w:rsid w:val="661A3845"/>
    <w:rsid w:val="66482160"/>
    <w:rsid w:val="66B141AA"/>
    <w:rsid w:val="66B6400A"/>
    <w:rsid w:val="66BC06A7"/>
    <w:rsid w:val="674F751F"/>
    <w:rsid w:val="67801DCE"/>
    <w:rsid w:val="67994DEA"/>
    <w:rsid w:val="67A1334E"/>
    <w:rsid w:val="67AB5867"/>
    <w:rsid w:val="67AB6349"/>
    <w:rsid w:val="67B45A9E"/>
    <w:rsid w:val="68050BAD"/>
    <w:rsid w:val="684051B6"/>
    <w:rsid w:val="6865279D"/>
    <w:rsid w:val="68D347A9"/>
    <w:rsid w:val="68E81A16"/>
    <w:rsid w:val="68EF4B15"/>
    <w:rsid w:val="68F05D85"/>
    <w:rsid w:val="690A194F"/>
    <w:rsid w:val="69196036"/>
    <w:rsid w:val="695D754A"/>
    <w:rsid w:val="697C7152"/>
    <w:rsid w:val="69C32DD3"/>
    <w:rsid w:val="69D00DEB"/>
    <w:rsid w:val="69D5404A"/>
    <w:rsid w:val="69DA7818"/>
    <w:rsid w:val="69E05A38"/>
    <w:rsid w:val="69FD282D"/>
    <w:rsid w:val="6A131586"/>
    <w:rsid w:val="6A2D0F05"/>
    <w:rsid w:val="6A615EE7"/>
    <w:rsid w:val="6A7730D3"/>
    <w:rsid w:val="6A917936"/>
    <w:rsid w:val="6A9737B1"/>
    <w:rsid w:val="6AC42072"/>
    <w:rsid w:val="6B295B17"/>
    <w:rsid w:val="6B7307FB"/>
    <w:rsid w:val="6B7834E8"/>
    <w:rsid w:val="6B793025"/>
    <w:rsid w:val="6BE203D1"/>
    <w:rsid w:val="6C0D76BF"/>
    <w:rsid w:val="6C0D792D"/>
    <w:rsid w:val="6C3867D3"/>
    <w:rsid w:val="6C755C79"/>
    <w:rsid w:val="6CF41256"/>
    <w:rsid w:val="6D125276"/>
    <w:rsid w:val="6D170ADE"/>
    <w:rsid w:val="6D8A305E"/>
    <w:rsid w:val="6D8F4B19"/>
    <w:rsid w:val="6DA96A24"/>
    <w:rsid w:val="6DB8406F"/>
    <w:rsid w:val="6DCC4F94"/>
    <w:rsid w:val="6DDE15FC"/>
    <w:rsid w:val="6DE1146D"/>
    <w:rsid w:val="6E22773B"/>
    <w:rsid w:val="6E51210E"/>
    <w:rsid w:val="6E68124A"/>
    <w:rsid w:val="6E95247C"/>
    <w:rsid w:val="6EB96428"/>
    <w:rsid w:val="6EB973F2"/>
    <w:rsid w:val="6EFE3D04"/>
    <w:rsid w:val="6F00046B"/>
    <w:rsid w:val="6FDB225A"/>
    <w:rsid w:val="70161521"/>
    <w:rsid w:val="70535263"/>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905878"/>
    <w:rsid w:val="73AC4413"/>
    <w:rsid w:val="73C13552"/>
    <w:rsid w:val="73C96FD0"/>
    <w:rsid w:val="742C30C1"/>
    <w:rsid w:val="743C0E2B"/>
    <w:rsid w:val="74A0760B"/>
    <w:rsid w:val="74A87456"/>
    <w:rsid w:val="74B27425"/>
    <w:rsid w:val="74D3323E"/>
    <w:rsid w:val="74E67714"/>
    <w:rsid w:val="752370C9"/>
    <w:rsid w:val="75336FD3"/>
    <w:rsid w:val="753F3CA4"/>
    <w:rsid w:val="759119C2"/>
    <w:rsid w:val="75A26D62"/>
    <w:rsid w:val="75B64972"/>
    <w:rsid w:val="75C06DDC"/>
    <w:rsid w:val="75CD2F00"/>
    <w:rsid w:val="760761F4"/>
    <w:rsid w:val="761054DC"/>
    <w:rsid w:val="7647594D"/>
    <w:rsid w:val="769759B7"/>
    <w:rsid w:val="76982C90"/>
    <w:rsid w:val="76C55B25"/>
    <w:rsid w:val="76F6723F"/>
    <w:rsid w:val="773B361B"/>
    <w:rsid w:val="773C15B8"/>
    <w:rsid w:val="776E1C43"/>
    <w:rsid w:val="77967EC6"/>
    <w:rsid w:val="77D9522E"/>
    <w:rsid w:val="77EA751B"/>
    <w:rsid w:val="77ED3116"/>
    <w:rsid w:val="77ED700C"/>
    <w:rsid w:val="78006D3F"/>
    <w:rsid w:val="781140FE"/>
    <w:rsid w:val="78164FEC"/>
    <w:rsid w:val="78520C1D"/>
    <w:rsid w:val="787823FD"/>
    <w:rsid w:val="788D434B"/>
    <w:rsid w:val="78A30A77"/>
    <w:rsid w:val="78FA3D25"/>
    <w:rsid w:val="79415E38"/>
    <w:rsid w:val="795E2E8A"/>
    <w:rsid w:val="79645F30"/>
    <w:rsid w:val="79A47B9E"/>
    <w:rsid w:val="79DF0BD6"/>
    <w:rsid w:val="7A583589"/>
    <w:rsid w:val="7A7255A6"/>
    <w:rsid w:val="7ADA324A"/>
    <w:rsid w:val="7AEA5A84"/>
    <w:rsid w:val="7B03673F"/>
    <w:rsid w:val="7B136D89"/>
    <w:rsid w:val="7B3D5BB4"/>
    <w:rsid w:val="7BB87930"/>
    <w:rsid w:val="7BF22E42"/>
    <w:rsid w:val="7C26489A"/>
    <w:rsid w:val="7C5533D1"/>
    <w:rsid w:val="7C890B90"/>
    <w:rsid w:val="7C8D4919"/>
    <w:rsid w:val="7D136216"/>
    <w:rsid w:val="7D3467E3"/>
    <w:rsid w:val="7D491FE6"/>
    <w:rsid w:val="7D793376"/>
    <w:rsid w:val="7E0E1A8A"/>
    <w:rsid w:val="7E70757F"/>
    <w:rsid w:val="7E977CD1"/>
    <w:rsid w:val="7EC93128"/>
    <w:rsid w:val="7ED72E9F"/>
    <w:rsid w:val="7EE01327"/>
    <w:rsid w:val="7F12400D"/>
    <w:rsid w:val="7F250CAB"/>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0"/>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link w:val="28"/>
    <w:autoRedefine/>
    <w:semiHidden/>
    <w:unhideWhenUsed/>
    <w:qFormat/>
    <w:uiPriority w:val="99"/>
    <w:pPr>
      <w:jc w:val="left"/>
    </w:pPr>
    <w:rPr>
      <w:rFonts w:hint="eastAsia" w:ascii="等线" w:hAnsi="等线" w:eastAsia="等线" w:cs="Times New Roman"/>
    </w:rPr>
  </w:style>
  <w:style w:type="paragraph" w:styleId="7">
    <w:name w:val="Body Text"/>
    <w:basedOn w:val="1"/>
    <w:next w:val="8"/>
    <w:link w:val="34"/>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2"/>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6"/>
    <w:autoRedefine/>
    <w:semiHidden/>
    <w:unhideWhenUsed/>
    <w:qFormat/>
    <w:uiPriority w:val="99"/>
    <w:rPr>
      <w:sz w:val="18"/>
      <w:szCs w:val="18"/>
    </w:rPr>
  </w:style>
  <w:style w:type="paragraph" w:styleId="14">
    <w:name w:val="footer"/>
    <w:basedOn w:val="1"/>
    <w:link w:val="25"/>
    <w:autoRedefine/>
    <w:unhideWhenUsed/>
    <w:qFormat/>
    <w:uiPriority w:val="99"/>
    <w:pPr>
      <w:tabs>
        <w:tab w:val="center" w:pos="4153"/>
        <w:tab w:val="right" w:pos="8306"/>
      </w:tabs>
      <w:snapToGrid w:val="0"/>
      <w:jc w:val="left"/>
    </w:pPr>
    <w:rPr>
      <w:sz w:val="18"/>
      <w:szCs w:val="18"/>
    </w:rPr>
  </w:style>
  <w:style w:type="paragraph" w:styleId="15">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autoRedefine/>
    <w:semiHidden/>
    <w:unhideWhenUsed/>
    <w:qFormat/>
    <w:uiPriority w:val="99"/>
    <w:rPr>
      <w:sz w:val="24"/>
    </w:rPr>
  </w:style>
  <w:style w:type="paragraph" w:styleId="17">
    <w:name w:val="annotation subject"/>
    <w:basedOn w:val="6"/>
    <w:next w:val="6"/>
    <w:link w:val="29"/>
    <w:autoRedefine/>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0"/>
    <w:rPr>
      <w:lang w:val="en-US" w:eastAsia="zh-CN" w:bidi="ar-SA"/>
    </w:rPr>
  </w:style>
  <w:style w:type="character" w:styleId="22">
    <w:name w:val="Emphasis"/>
    <w:basedOn w:val="20"/>
    <w:qFormat/>
    <w:uiPriority w:val="20"/>
    <w:rPr>
      <w:i/>
    </w:rPr>
  </w:style>
  <w:style w:type="character" w:styleId="23">
    <w:name w:val="annotation reference"/>
    <w:basedOn w:val="20"/>
    <w:autoRedefine/>
    <w:semiHidden/>
    <w:unhideWhenUsed/>
    <w:qFormat/>
    <w:uiPriority w:val="99"/>
    <w:rPr>
      <w:sz w:val="21"/>
      <w:szCs w:val="21"/>
    </w:rPr>
  </w:style>
  <w:style w:type="character" w:customStyle="1" w:styleId="24">
    <w:name w:val="页眉 字符"/>
    <w:basedOn w:val="20"/>
    <w:link w:val="15"/>
    <w:autoRedefine/>
    <w:qFormat/>
    <w:uiPriority w:val="99"/>
    <w:rPr>
      <w:sz w:val="18"/>
      <w:szCs w:val="18"/>
    </w:rPr>
  </w:style>
  <w:style w:type="character" w:customStyle="1" w:styleId="25">
    <w:name w:val="页脚 字符"/>
    <w:basedOn w:val="20"/>
    <w:link w:val="14"/>
    <w:autoRedefine/>
    <w:qFormat/>
    <w:uiPriority w:val="99"/>
    <w:rPr>
      <w:sz w:val="18"/>
      <w:szCs w:val="18"/>
    </w:rPr>
  </w:style>
  <w:style w:type="character" w:customStyle="1" w:styleId="26">
    <w:name w:val="批注框文本 字符"/>
    <w:basedOn w:val="20"/>
    <w:link w:val="13"/>
    <w:autoRedefine/>
    <w:semiHidden/>
    <w:qFormat/>
    <w:uiPriority w:val="99"/>
    <w:rPr>
      <w:sz w:val="18"/>
      <w:szCs w:val="18"/>
    </w:rPr>
  </w:style>
  <w:style w:type="paragraph" w:styleId="27">
    <w:name w:val="List Paragraph"/>
    <w:basedOn w:val="1"/>
    <w:autoRedefine/>
    <w:qFormat/>
    <w:uiPriority w:val="34"/>
    <w:pPr>
      <w:ind w:firstLine="420" w:firstLineChars="200"/>
    </w:pPr>
  </w:style>
  <w:style w:type="character" w:customStyle="1" w:styleId="28">
    <w:name w:val="批注文字 字符"/>
    <w:basedOn w:val="20"/>
    <w:link w:val="6"/>
    <w:autoRedefine/>
    <w:semiHidden/>
    <w:qFormat/>
    <w:uiPriority w:val="99"/>
  </w:style>
  <w:style w:type="character" w:customStyle="1" w:styleId="29">
    <w:name w:val="批注主题 字符"/>
    <w:basedOn w:val="28"/>
    <w:link w:val="17"/>
    <w:autoRedefine/>
    <w:semiHidden/>
    <w:qFormat/>
    <w:uiPriority w:val="99"/>
    <w:rPr>
      <w:b/>
      <w:bCs/>
    </w:rPr>
  </w:style>
  <w:style w:type="character" w:customStyle="1" w:styleId="30">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1">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2">
    <w:name w:val="纯文本 字符"/>
    <w:basedOn w:val="20"/>
    <w:link w:val="12"/>
    <w:autoRedefine/>
    <w:qFormat/>
    <w:uiPriority w:val="99"/>
    <w:rPr>
      <w:rFonts w:ascii="宋体" w:hAnsi="Courier New" w:eastAsia="宋体" w:cs="宋体"/>
      <w:kern w:val="0"/>
      <w:sz w:val="20"/>
      <w:szCs w:val="20"/>
    </w:rPr>
  </w:style>
  <w:style w:type="character" w:customStyle="1" w:styleId="33">
    <w:name w:val="标题 1 字符"/>
    <w:basedOn w:val="20"/>
    <w:link w:val="2"/>
    <w:autoRedefine/>
    <w:qFormat/>
    <w:uiPriority w:val="9"/>
    <w:rPr>
      <w:b/>
      <w:bCs/>
      <w:kern w:val="44"/>
      <w:sz w:val="44"/>
      <w:szCs w:val="44"/>
    </w:rPr>
  </w:style>
  <w:style w:type="character" w:customStyle="1" w:styleId="34">
    <w:name w:val="正文文本 字符"/>
    <w:basedOn w:val="20"/>
    <w:link w:val="7"/>
    <w:autoRedefine/>
    <w:qFormat/>
    <w:uiPriority w:val="99"/>
    <w:rPr>
      <w:rFonts w:ascii="Times New Roman" w:hAnsi="Times New Roman" w:eastAsia="宋体" w:cs="Times New Roman"/>
      <w:kern w:val="0"/>
      <w:szCs w:val="21"/>
    </w:rPr>
  </w:style>
  <w:style w:type="paragraph" w:customStyle="1" w:styleId="35">
    <w:name w:val="List Paragraph1"/>
    <w:basedOn w:val="1"/>
    <w:autoRedefine/>
    <w:qFormat/>
    <w:uiPriority w:val="0"/>
    <w:pPr>
      <w:ind w:firstLine="420" w:firstLineChars="200"/>
    </w:pPr>
    <w:rPr>
      <w:rFonts w:ascii="等线" w:hAnsi="等线" w:eastAsia="等线" w:cs="Times New Roman"/>
      <w:szCs w:val="21"/>
    </w:rPr>
  </w:style>
  <w:style w:type="paragraph" w:customStyle="1" w:styleId="36">
    <w:name w:val="普通(网站) Char"/>
    <w:basedOn w:val="1"/>
    <w:autoRedefine/>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37">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font11"/>
    <w:basedOn w:val="20"/>
    <w:qFormat/>
    <w:uiPriority w:val="0"/>
    <w:rPr>
      <w:rFonts w:hint="eastAsia" w:ascii="宋体" w:hAnsi="宋体" w:eastAsia="宋体" w:cs="宋体"/>
      <w:b/>
      <w:bCs/>
      <w:color w:val="000000"/>
      <w:sz w:val="22"/>
      <w:szCs w:val="22"/>
      <w:u w:val="none"/>
    </w:rPr>
  </w:style>
  <w:style w:type="paragraph" w:customStyle="1" w:styleId="39">
    <w:name w:val="正文_4_0"/>
    <w:basedOn w:val="4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3_0"/>
    <w:qFormat/>
    <w:uiPriority w:val="0"/>
    <w:pPr>
      <w:widowControl w:val="0"/>
      <w:jc w:val="both"/>
    </w:pPr>
    <w:rPr>
      <w:rFonts w:ascii="Calibri" w:hAnsi="Calibri" w:eastAsia="宋体" w:cs="Times New Roman"/>
      <w:kern w:val="2"/>
      <w:sz w:val="21"/>
      <w:szCs w:val="22"/>
      <w:lang w:val="en-US" w:eastAsia="zh-CN" w:bidi="ar-SA"/>
    </w:rPr>
  </w:style>
  <w:style w:type="table" w:customStyle="1" w:styleId="42">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1610</Words>
  <Characters>1876</Characters>
  <Lines>91</Lines>
  <Paragraphs>25</Paragraphs>
  <TotalTime>10</TotalTime>
  <ScaleCrop>false</ScaleCrop>
  <LinksUpToDate>false</LinksUpToDate>
  <CharactersWithSpaces>1935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2025-01-20T03:23:00Z</cp:lastPrinted>
  <dcterms:modified xsi:type="dcterms:W3CDTF">2025-07-01T09:01:41Z</dcterms:modified>
  <cp:revision>1221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CC8086E146024D338FE9887358450871_13</vt:lpwstr>
  </property>
  <property fmtid="{D5CDD505-2E9C-101B-9397-08002B2CF9AE}" pid="4" name="KSOTemplateDocerSaveRecord">
    <vt:lpwstr>eyJoZGlkIjoiY2UzOGVjYTkyYTRhZGNhZWE3ODEwZDk3MzE3NWQwYzciLCJ1c2VySWQiOiI2NzMzMzUyNzQifQ==</vt:lpwstr>
  </property>
</Properties>
</file>