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469F">
      <w:pPr>
        <w:jc w:val="center"/>
        <w:rPr>
          <w:rFonts w:ascii="宋体" w:hAnsi="宋体" w:eastAsia="宋体"/>
          <w:color w:val="auto"/>
          <w:sz w:val="48"/>
          <w:szCs w:val="48"/>
          <w:highlight w:val="none"/>
          <w:u w:val="single"/>
        </w:rPr>
      </w:pPr>
    </w:p>
    <w:p w14:paraId="79A02DF4">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广西大学机械教学实验中心大楼项目精装修工程专业分包</w:t>
      </w:r>
    </w:p>
    <w:p w14:paraId="43D3FCAC">
      <w:pPr>
        <w:jc w:val="center"/>
        <w:rPr>
          <w:rFonts w:ascii="宋体" w:hAnsi="宋体" w:eastAsia="宋体"/>
          <w:color w:val="auto"/>
          <w:sz w:val="36"/>
          <w:szCs w:val="36"/>
          <w:highlight w:val="none"/>
        </w:rPr>
      </w:pPr>
    </w:p>
    <w:p w14:paraId="64E8136E">
      <w:pPr>
        <w:jc w:val="center"/>
        <w:rPr>
          <w:rFonts w:ascii="宋体" w:hAnsi="宋体" w:eastAsia="宋体"/>
          <w:color w:val="auto"/>
          <w:sz w:val="36"/>
          <w:szCs w:val="36"/>
          <w:highlight w:val="none"/>
        </w:rPr>
      </w:pPr>
    </w:p>
    <w:p w14:paraId="649B08F6">
      <w:pPr>
        <w:jc w:val="center"/>
        <w:rPr>
          <w:rFonts w:ascii="宋体" w:hAnsi="宋体" w:eastAsia="宋体"/>
          <w:color w:val="auto"/>
          <w:sz w:val="36"/>
          <w:szCs w:val="36"/>
          <w:highlight w:val="none"/>
        </w:rPr>
      </w:pPr>
    </w:p>
    <w:p w14:paraId="001E7EC2">
      <w:pPr>
        <w:jc w:val="center"/>
        <w:rPr>
          <w:rFonts w:ascii="宋体" w:hAnsi="宋体" w:eastAsia="宋体"/>
          <w:color w:val="auto"/>
          <w:sz w:val="36"/>
          <w:szCs w:val="36"/>
          <w:highlight w:val="none"/>
        </w:rPr>
      </w:pPr>
    </w:p>
    <w:p w14:paraId="39BE3709">
      <w:pPr>
        <w:jc w:val="center"/>
        <w:rPr>
          <w:rFonts w:ascii="宋体" w:hAnsi="宋体" w:eastAsia="宋体"/>
          <w:color w:val="auto"/>
          <w:sz w:val="36"/>
          <w:szCs w:val="36"/>
          <w:highlight w:val="none"/>
        </w:rPr>
      </w:pPr>
    </w:p>
    <w:p w14:paraId="0F2E0431">
      <w:pPr>
        <w:jc w:val="center"/>
        <w:rPr>
          <w:rFonts w:ascii="宋体" w:hAnsi="宋体" w:eastAsia="宋体"/>
          <w:color w:val="auto"/>
          <w:sz w:val="36"/>
          <w:szCs w:val="36"/>
          <w:highlight w:val="none"/>
        </w:rPr>
      </w:pPr>
    </w:p>
    <w:p w14:paraId="4A3621DA">
      <w:pPr>
        <w:jc w:val="center"/>
        <w:rPr>
          <w:rFonts w:hint="default" w:ascii="宋体" w:hAnsi="宋体" w:eastAsia="宋体"/>
          <w:b/>
          <w:bCs/>
          <w:color w:val="auto"/>
          <w:sz w:val="72"/>
          <w:szCs w:val="72"/>
          <w:highlight w:val="none"/>
          <w:lang w:val="en-US" w:eastAsia="zh-CN"/>
        </w:rPr>
      </w:pPr>
      <w:r>
        <w:rPr>
          <w:rFonts w:hint="eastAsia" w:ascii="宋体" w:hAnsi="宋体" w:eastAsia="宋体"/>
          <w:b/>
          <w:bCs/>
          <w:color w:val="auto"/>
          <w:sz w:val="72"/>
          <w:szCs w:val="72"/>
          <w:highlight w:val="none"/>
          <w:lang w:val="en-US" w:eastAsia="zh-CN"/>
        </w:rPr>
        <w:t>公开比选文件</w:t>
      </w:r>
    </w:p>
    <w:p w14:paraId="5814B2F4">
      <w:pPr>
        <w:jc w:val="center"/>
        <w:rPr>
          <w:rFonts w:ascii="宋体" w:hAnsi="宋体" w:eastAsia="宋体"/>
          <w:color w:val="auto"/>
          <w:sz w:val="36"/>
          <w:szCs w:val="36"/>
          <w:highlight w:val="none"/>
        </w:rPr>
      </w:pPr>
    </w:p>
    <w:p w14:paraId="7C0092F9">
      <w:pPr>
        <w:jc w:val="center"/>
        <w:rPr>
          <w:rFonts w:ascii="宋体" w:hAnsi="宋体" w:eastAsia="宋体"/>
          <w:color w:val="auto"/>
          <w:sz w:val="36"/>
          <w:szCs w:val="36"/>
          <w:highlight w:val="none"/>
        </w:rPr>
      </w:pPr>
    </w:p>
    <w:p w14:paraId="0E3716A7">
      <w:pPr>
        <w:jc w:val="center"/>
        <w:rPr>
          <w:rFonts w:ascii="宋体" w:hAnsi="宋体" w:eastAsia="宋体"/>
          <w:color w:val="auto"/>
          <w:sz w:val="36"/>
          <w:szCs w:val="36"/>
          <w:highlight w:val="none"/>
        </w:rPr>
      </w:pPr>
    </w:p>
    <w:p w14:paraId="4D42D352">
      <w:pPr>
        <w:jc w:val="center"/>
        <w:rPr>
          <w:rFonts w:ascii="宋体" w:hAnsi="宋体" w:eastAsia="宋体"/>
          <w:color w:val="auto"/>
          <w:sz w:val="36"/>
          <w:szCs w:val="36"/>
          <w:highlight w:val="none"/>
        </w:rPr>
      </w:pPr>
    </w:p>
    <w:p w14:paraId="33D06A9B">
      <w:pPr>
        <w:jc w:val="center"/>
        <w:rPr>
          <w:rFonts w:ascii="宋体" w:hAnsi="宋体" w:eastAsia="宋体"/>
          <w:color w:val="auto"/>
          <w:sz w:val="36"/>
          <w:szCs w:val="36"/>
          <w:highlight w:val="none"/>
        </w:rPr>
      </w:pPr>
    </w:p>
    <w:p w14:paraId="5DF0B93C">
      <w:pPr>
        <w:jc w:val="center"/>
        <w:rPr>
          <w:rFonts w:ascii="宋体" w:hAnsi="宋体" w:eastAsia="宋体"/>
          <w:color w:val="auto"/>
          <w:sz w:val="36"/>
          <w:szCs w:val="36"/>
          <w:highlight w:val="none"/>
        </w:rPr>
      </w:pPr>
    </w:p>
    <w:p w14:paraId="4AD1A570">
      <w:pPr>
        <w:jc w:val="center"/>
        <w:rPr>
          <w:rFonts w:ascii="宋体" w:hAnsi="宋体" w:eastAsia="宋体"/>
          <w:color w:val="auto"/>
          <w:sz w:val="36"/>
          <w:szCs w:val="36"/>
          <w:highlight w:val="none"/>
        </w:rPr>
      </w:pPr>
    </w:p>
    <w:p w14:paraId="355BAA5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0BAE13CE">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2025年6月</w:t>
      </w:r>
    </w:p>
    <w:p w14:paraId="6614330F">
      <w:pPr>
        <w:jc w:val="center"/>
        <w:rPr>
          <w:rFonts w:ascii="宋体" w:hAnsi="宋体" w:eastAsia="宋体"/>
          <w:color w:val="auto"/>
          <w:sz w:val="36"/>
          <w:szCs w:val="36"/>
          <w:highlight w:val="none"/>
        </w:rPr>
      </w:pPr>
    </w:p>
    <w:p w14:paraId="6DD84818">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jc w:val="center"/>
        <w:rPr>
          <w:rFonts w:ascii="宋体" w:hAnsi="宋体" w:eastAsia="宋体"/>
          <w:color w:val="auto"/>
          <w:sz w:val="36"/>
          <w:szCs w:val="36"/>
          <w:highlight w:val="none"/>
        </w:rPr>
      </w:pPr>
    </w:p>
    <w:p w14:paraId="16540E2A">
      <w:pPr>
        <w:spacing w:line="48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第一章</w:t>
      </w:r>
      <w:r>
        <w:rPr>
          <w:rFonts w:hint="eastAsia" w:ascii="宋体" w:hAnsi="宋体" w:eastAsia="宋体"/>
          <w:color w:val="auto"/>
          <w:sz w:val="24"/>
          <w:szCs w:val="24"/>
          <w:highlight w:val="none"/>
          <w:lang w:eastAsia="zh-CN"/>
        </w:rPr>
        <w:t>邀请函</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768241E1">
      <w:pPr>
        <w:jc w:val="center"/>
        <w:rPr>
          <w:rFonts w:ascii="宋体" w:hAnsi="宋体" w:eastAsia="宋体"/>
          <w:color w:val="auto"/>
          <w:sz w:val="36"/>
          <w:szCs w:val="36"/>
          <w:highlight w:val="none"/>
        </w:rPr>
      </w:pPr>
    </w:p>
    <w:p w14:paraId="4F379D9E">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jc w:val="center"/>
        <w:rPr>
          <w:rFonts w:ascii="宋体" w:hAnsi="宋体" w:eastAsia="宋体"/>
          <w:color w:val="auto"/>
          <w:sz w:val="36"/>
          <w:szCs w:val="36"/>
          <w:highlight w:val="none"/>
          <w:u w:val="single"/>
        </w:rPr>
      </w:pPr>
    </w:p>
    <w:p w14:paraId="158660F0">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广西大学机械教学实验中心大楼项目精装修工程专业分包</w:t>
      </w:r>
      <w:bookmarkStart w:id="875" w:name="_GoBack"/>
      <w:bookmarkEnd w:id="875"/>
      <w:r>
        <w:rPr>
          <w:rFonts w:hint="eastAsia" w:ascii="宋体" w:hAnsi="宋体" w:eastAsia="宋体"/>
          <w:color w:val="auto"/>
          <w:sz w:val="48"/>
          <w:szCs w:val="48"/>
          <w:highlight w:val="none"/>
          <w:u w:val="single"/>
          <w:lang w:eastAsia="zh-CN"/>
        </w:rPr>
        <w:t>专业分包比选公告</w:t>
      </w:r>
    </w:p>
    <w:p w14:paraId="187A62D2">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广西大学机械教学实验中心大楼项目精装修工程专业分包专业分包</w:t>
      </w:r>
    </w:p>
    <w:p w14:paraId="70D60000">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rPr>
        <w:t>人民币</w:t>
      </w:r>
      <w:r>
        <w:rPr>
          <w:rFonts w:hint="eastAsia" w:ascii="宋体" w:hAnsi="宋体" w:eastAsia="宋体"/>
          <w:color w:val="auto"/>
          <w:sz w:val="24"/>
          <w:szCs w:val="24"/>
          <w:highlight w:val="none"/>
          <w:u w:val="single"/>
          <w:lang w:val="en-US" w:eastAsia="zh-CN"/>
        </w:rPr>
        <w:t>大写：玖佰肆拾壹万陆仟陆佰壹拾捌元肆角捌分，小写：￥9416618.48</w:t>
      </w:r>
      <w:r>
        <w:rPr>
          <w:rFonts w:hint="eastAsia" w:ascii="宋体" w:hAnsi="宋体" w:eastAsia="宋体"/>
          <w:color w:val="auto"/>
          <w:sz w:val="24"/>
          <w:szCs w:val="24"/>
          <w:highlight w:val="none"/>
          <w:u w:val="single"/>
        </w:rPr>
        <w:t>元</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税率为9%</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w:t>
      </w:r>
      <w:r>
        <w:rPr>
          <w:rFonts w:hint="eastAsia" w:ascii="宋体" w:hAnsi="宋体" w:eastAsia="宋体"/>
          <w:color w:val="auto"/>
          <w:sz w:val="24"/>
          <w:szCs w:val="24"/>
          <w:highlight w:val="none"/>
          <w:lang w:eastAsia="zh-CN"/>
        </w:rPr>
        <w:t>；应标单位总价及单价均不能高于我司所提供的控制价，否则视为废标文件</w:t>
      </w:r>
      <w:r>
        <w:rPr>
          <w:rFonts w:hint="eastAsia" w:ascii="宋体" w:hAnsi="宋体" w:eastAsia="宋体"/>
          <w:color w:val="auto"/>
          <w:sz w:val="24"/>
          <w:szCs w:val="24"/>
          <w:highlight w:val="none"/>
        </w:rPr>
        <w:t>。</w:t>
      </w:r>
    </w:p>
    <w:p w14:paraId="6DD5E69F">
      <w:pPr>
        <w:pStyle w:val="35"/>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（3）工期：</w:t>
      </w:r>
      <w:r>
        <w:rPr>
          <w:rFonts w:hint="eastAsia" w:ascii="宋体" w:hAnsi="宋体" w:eastAsia="宋体"/>
          <w:color w:val="auto"/>
          <w:sz w:val="24"/>
          <w:szCs w:val="24"/>
          <w:highlight w:val="none"/>
          <w:u w:val="single"/>
          <w:lang w:val="en-US" w:eastAsia="zh-CN"/>
        </w:rPr>
        <w:t>194日历天</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暂定工期2025年 6月29日至2026 年1月9日，实际</w:t>
      </w:r>
      <w:r>
        <w:rPr>
          <w:rFonts w:hint="eastAsia" w:ascii="宋体" w:hAnsi="宋体" w:eastAsia="宋体"/>
          <w:color w:val="auto"/>
          <w:sz w:val="24"/>
          <w:szCs w:val="24"/>
          <w:highlight w:val="none"/>
        </w:rPr>
        <w:t>开工日期以比选人实际发出的开工令时间为准）；比选申请人的施工工期不能影响施工总进度工期；严格按比选人节点完成合同内容；如超期的，超期赔偿由比选申请人承担。</w:t>
      </w:r>
    </w:p>
    <w:p w14:paraId="2E2E2B2E">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（3）项目地点：</w:t>
      </w:r>
      <w:r>
        <w:rPr>
          <w:rFonts w:hint="eastAsia" w:eastAsia="宋体" w:cs="Times New Roman"/>
          <w:color w:val="auto"/>
          <w:sz w:val="24"/>
          <w:szCs w:val="24"/>
          <w:highlight w:val="none"/>
          <w:u w:val="single"/>
          <w:lang w:val="en-US" w:eastAsia="zh-CN"/>
        </w:rPr>
        <w:t>南宁市大学东路100号广西大学校园内</w:t>
      </w:r>
      <w:r>
        <w:rPr>
          <w:rFonts w:hint="eastAsia" w:ascii="宋体" w:hAnsi="宋体" w:eastAsia="宋体"/>
          <w:color w:val="auto"/>
          <w:sz w:val="24"/>
          <w:szCs w:val="24"/>
          <w:highlight w:val="none"/>
          <w:u w:val="single"/>
        </w:rPr>
        <w:t>。</w:t>
      </w:r>
    </w:p>
    <w:p w14:paraId="492B5EEA">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（4）比选具体内容及范围：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（5）其他情况：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13990C7">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6</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27</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3FFAE315">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35"/>
        <w:spacing w:line="480" w:lineRule="exact"/>
        <w:ind w:left="720" w:firstLine="0" w:firstLineChars="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唐欢</w:t>
      </w:r>
    </w:p>
    <w:p w14:paraId="15379FB4">
      <w:pPr>
        <w:pStyle w:val="35"/>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/18677191910</w:t>
      </w:r>
    </w:p>
    <w:p w14:paraId="74FB830D">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val="en-US" w:eastAsia="zh-CN"/>
        </w:rPr>
        <w:t>邮箱</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lang w:val="en-US" w:eastAsia="zh-CN"/>
        </w:rPr>
        <w:t>36947122@qq.com</w:t>
      </w:r>
    </w:p>
    <w:p w14:paraId="4B719ECA">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1D6DCEE8">
      <w:pPr>
        <w:pStyle w:val="35"/>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层综合管理</w:t>
      </w:r>
      <w:r>
        <w:rPr>
          <w:rFonts w:hint="eastAsia" w:ascii="宋体" w:hAnsi="宋体" w:eastAsia="宋体"/>
          <w:color w:val="auto"/>
          <w:sz w:val="24"/>
          <w:szCs w:val="24"/>
          <w:highlight w:val="none"/>
          <w:u w:val="single"/>
          <w:lang w:val="en-US" w:eastAsia="zh-CN"/>
        </w:rPr>
        <w:t>部</w:t>
      </w:r>
    </w:p>
    <w:p w14:paraId="20D3C589">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16FE73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2BD0B0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南宁轨道地产建筑工程有限责任公司</w:t>
      </w:r>
    </w:p>
    <w:p w14:paraId="779E6E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2025年6月24日</w:t>
      </w:r>
    </w:p>
    <w:p w14:paraId="2893BF57">
      <w:pPr>
        <w:pStyle w:val="35"/>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p>
    <w:p w14:paraId="723293DC">
      <w:pPr>
        <w:pStyle w:val="35"/>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63BC86B6">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748"/>
        <w:gridCol w:w="8856"/>
      </w:tblGrid>
      <w:tr w14:paraId="31E5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34A20A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343ED8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0C6DA5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5CA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105A1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0E8EC9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62904A4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6B8FDB5">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（1）为中华人民共和国境内依法设立的法人或其他组织，具备有效的营业执照，具备</w:t>
            </w:r>
            <w:r>
              <w:rPr>
                <w:rFonts w:hint="eastAsia" w:ascii="宋体" w:hAnsi="宋体" w:eastAsia="宋体"/>
                <w:color w:val="auto"/>
                <w:sz w:val="24"/>
                <w:szCs w:val="24"/>
                <w:highlight w:val="none"/>
                <w:u w:val="single"/>
                <w:lang w:val="en-US" w:eastAsia="zh-CN"/>
              </w:rPr>
              <w:t>建筑装修装饰工程专业承包资质</w:t>
            </w:r>
            <w:r>
              <w:rPr>
                <w:rFonts w:hint="eastAsia" w:ascii="宋体" w:hAnsi="宋体" w:eastAsia="宋体"/>
                <w:color w:val="auto"/>
                <w:sz w:val="24"/>
                <w:szCs w:val="24"/>
                <w:highlight w:val="none"/>
              </w:rPr>
              <w:t>，以及有效的安全生产许可证。</w:t>
            </w:r>
          </w:p>
          <w:p w14:paraId="724A8318">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（2）拟配置项目管理机构要求：</w:t>
            </w:r>
          </w:p>
          <w:p w14:paraId="4864A5BE">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    ①拟配置项目负责人：具有</w:t>
            </w:r>
            <w:r>
              <w:rPr>
                <w:rFonts w:hint="eastAsia" w:ascii="宋体" w:hAnsi="宋体" w:eastAsia="宋体"/>
                <w:color w:val="auto"/>
                <w:sz w:val="24"/>
                <w:szCs w:val="24"/>
                <w:highlight w:val="none"/>
                <w:u w:val="single"/>
                <w:lang w:eastAsia="zh-CN"/>
              </w:rPr>
              <w:t>建筑工程</w:t>
            </w:r>
            <w:r>
              <w:rPr>
                <w:rFonts w:hint="eastAsia" w:ascii="宋体" w:hAnsi="宋体" w:eastAsia="宋体"/>
                <w:color w:val="auto"/>
                <w:sz w:val="24"/>
                <w:szCs w:val="24"/>
                <w:highlight w:val="none"/>
                <w:u w:val="single"/>
              </w:rPr>
              <w:t>专业二级</w:t>
            </w:r>
            <w:r>
              <w:rPr>
                <w:rFonts w:hint="eastAsia" w:ascii="宋体" w:hAnsi="宋体" w:eastAsia="宋体"/>
                <w:color w:val="auto"/>
                <w:sz w:val="24"/>
                <w:szCs w:val="24"/>
                <w:highlight w:val="none"/>
              </w:rPr>
              <w:t>或以上建造师注册证书及安全考核B证。</w:t>
            </w:r>
          </w:p>
          <w:p w14:paraId="5CB0CDD6">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 xml:space="preserve">    ②拟配置项目管理人员：</w:t>
            </w:r>
            <w:r>
              <w:rPr>
                <w:rFonts w:hint="eastAsia" w:ascii="宋体" w:hAnsi="宋体" w:eastAsia="宋体"/>
                <w:color w:val="auto"/>
                <w:sz w:val="24"/>
                <w:szCs w:val="24"/>
                <w:highlight w:val="none"/>
                <w:u w:val="single"/>
                <w:lang w:val="en-US" w:eastAsia="zh-CN"/>
              </w:rPr>
              <w:t>技术负责人1人</w:t>
            </w:r>
            <w:r>
              <w:rPr>
                <w:rFonts w:hint="eastAsia" w:ascii="宋体" w:hAnsi="宋体" w:eastAsia="宋体"/>
                <w:color w:val="auto"/>
                <w:sz w:val="24"/>
                <w:szCs w:val="24"/>
                <w:highlight w:val="none"/>
                <w:u w:val="single"/>
              </w:rPr>
              <w:t>，具有</w:t>
            </w:r>
            <w:r>
              <w:rPr>
                <w:rFonts w:hint="eastAsia" w:ascii="宋体" w:hAnsi="宋体" w:eastAsia="宋体"/>
                <w:color w:val="auto"/>
                <w:sz w:val="24"/>
                <w:szCs w:val="24"/>
                <w:highlight w:val="none"/>
                <w:u w:val="single"/>
                <w:lang w:val="en-US" w:eastAsia="zh-CN"/>
              </w:rPr>
              <w:t>中级或以上工程师职称</w:t>
            </w:r>
            <w:r>
              <w:rPr>
                <w:rFonts w:hint="eastAsia" w:ascii="宋体" w:hAnsi="宋体" w:eastAsia="宋体"/>
                <w:color w:val="auto"/>
                <w:sz w:val="24"/>
                <w:szCs w:val="24"/>
                <w:highlight w:val="none"/>
              </w:rPr>
              <w:t>、专职安全员1人，具有安全员证及安全考核C证（广西以外若无岗位证书的必须提供安全考核C证）</w:t>
            </w:r>
          </w:p>
          <w:p w14:paraId="240C42B4">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）无重大税收违法失信主体截图（信用中国网址：https://www.creditchina.gov.cn/xinyongfuwu/zhongdashuishouweifaanjian/）</w:t>
            </w:r>
          </w:p>
          <w:p w14:paraId="668DEA7E">
            <w:pPr>
              <w:spacing w:line="480" w:lineRule="exact"/>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lang w:eastAsia="zh-CN"/>
              </w:rPr>
              <w:t>）无严重失信主体名单截图（信用中国网址：https://www.creditchina.gov.cn/xinyongfuwu/shixinheimingdan/）</w:t>
            </w:r>
          </w:p>
          <w:p w14:paraId="78CB74D5">
            <w:pPr>
              <w:spacing w:line="480" w:lineRule="exact"/>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lang w:eastAsia="zh-CN"/>
              </w:rPr>
              <w:t>）财务报表或银行资信证明（2022年 1 月 1 日至比选申请截止日期任意一年第三方出具的财务报表净利润为正值，或由基本户开户银行开具的无超期、未标注欠息、诉讼等不良记录、账户未休眠的资信证明）</w:t>
            </w:r>
          </w:p>
          <w:p w14:paraId="5080546D">
            <w:pPr>
              <w:spacing w:line="480" w:lineRule="exact"/>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lang w:eastAsia="zh-CN"/>
              </w:rPr>
              <w:t>）提供一个自2022年1月1日至比选申请截止日期至内完成过或在建单项合同金额达500万元及以上装饰装修工程类业绩合同</w:t>
            </w:r>
          </w:p>
          <w:p w14:paraId="719188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E5763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281663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4B9ED2B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10A9D2C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741939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3C34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9B90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7E9384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2CAEA9F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40A5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1D899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1A8CD9D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56148E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6C43D09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6F68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38F4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7CA7128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680A498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09A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09E8F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70C0FA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59D0D2A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70BE0ED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10C47B15">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5DC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423CB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053DF6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199D93A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综合评分法</w:t>
            </w:r>
            <w:r>
              <w:rPr>
                <w:rFonts w:hint="eastAsia" w:ascii="宋体" w:hAnsi="宋体" w:eastAsia="宋体"/>
                <w:color w:val="auto"/>
                <w:sz w:val="24"/>
                <w:szCs w:val="24"/>
                <w:highlight w:val="none"/>
              </w:rPr>
              <w:t>（评审价以不含税总报价为基准）</w:t>
            </w:r>
            <w:r>
              <w:rPr>
                <w:rFonts w:hint="eastAsia" w:ascii="宋体" w:hAnsi="宋体" w:eastAsia="宋体" w:cs="Times New Roman"/>
                <w:color w:val="auto"/>
                <w:sz w:val="24"/>
                <w:szCs w:val="24"/>
                <w:highlight w:val="none"/>
                <w:lang w:bidi="ar"/>
              </w:rPr>
              <w:t>，具体详见评审办法章节。</w:t>
            </w:r>
          </w:p>
        </w:tc>
      </w:tr>
      <w:tr w14:paraId="25CD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0B4C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29CB41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40472C8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21127A2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33449DA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929F4CC">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076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1CD1A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0DB57E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022A929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81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053CC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43E8AA7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5FACCF7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0484D0B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35B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9DC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2231DFC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6E2AB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1D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94F6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3D2966D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56811C6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2D92E8CB">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33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851D1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67FF523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3A9243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4A30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134992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3D0976D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6AB18E5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39F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97B9A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02E1040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1B162D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D2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A7930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8D0F76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514D1B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E5B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8DAF9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3818FA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6831C68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4379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D453C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173658E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35007A5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338C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E0AD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471BEE1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35C9DD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5830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DCA06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7F05CA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AC639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2058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73D9A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8D8CFD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4A52A4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BD2B3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7653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9E66D7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41BDAD8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7AB897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2723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85619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5B1C03A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701915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CC1855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F1D763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208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490F04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6C38DC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25776F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3637D4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C03EE0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FD41A8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03183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FED9B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5FBB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457CB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2C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988" w:type="dxa"/>
            <w:vAlign w:val="center"/>
          </w:tcPr>
          <w:p w14:paraId="05D9D7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6FB735B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59174F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079575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56EEC0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3566C91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5C379EF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288E82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DBA304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6704B0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6D3FFAD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7F0576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239E6E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08E1BF5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243C8A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49D2AB5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20399299">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11042C9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13F9C8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75039066"/>
      <w:bookmarkStart w:id="1" w:name="_Toc390098421"/>
      <w:bookmarkStart w:id="2" w:name="_Toc383891170"/>
      <w:bookmarkStart w:id="3" w:name="_Toc492478720"/>
      <w:bookmarkStart w:id="4" w:name="_Toc385427795"/>
      <w:bookmarkStart w:id="5" w:name="_Toc12940"/>
      <w:bookmarkStart w:id="6" w:name="_Toc17075"/>
      <w:bookmarkStart w:id="7" w:name="_Toc114134610"/>
      <w:bookmarkStart w:id="8" w:name="_Toc7306"/>
      <w:bookmarkStart w:id="9" w:name="_Toc22115"/>
      <w:bookmarkStart w:id="10" w:name="_Toc12983507"/>
      <w:bookmarkStart w:id="11" w:name="_Toc24844"/>
      <w:bookmarkStart w:id="12" w:name="_Toc31477"/>
      <w:bookmarkStart w:id="13" w:name="_Toc8288"/>
      <w:bookmarkStart w:id="14" w:name="_Toc17568"/>
      <w:bookmarkStart w:id="15" w:name="_Toc7797"/>
      <w:bookmarkStart w:id="16" w:name="_Toc307"/>
      <w:bookmarkStart w:id="17" w:name="_Toc22845"/>
      <w:bookmarkStart w:id="18" w:name="_Toc9929"/>
      <w:bookmarkStart w:id="19" w:name="_Toc25786"/>
      <w:bookmarkStart w:id="20" w:name="_Toc25750593"/>
      <w:bookmarkStart w:id="21" w:name="_Toc10653"/>
      <w:bookmarkStart w:id="22" w:name="_Toc29859"/>
      <w:bookmarkStart w:id="23" w:name="_Toc29401"/>
      <w:bookmarkStart w:id="24" w:name="_Toc30498"/>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705E37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6549E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12983514"/>
      <w:bookmarkStart w:id="26" w:name="_Toc4384"/>
      <w:bookmarkStart w:id="27" w:name="_Toc114134617"/>
      <w:bookmarkStart w:id="28" w:name="_Toc12456"/>
      <w:bookmarkStart w:id="29" w:name="_Toc1733"/>
      <w:bookmarkStart w:id="30" w:name="_Toc26150"/>
      <w:bookmarkStart w:id="31" w:name="_Toc492478727"/>
      <w:bookmarkStart w:id="32" w:name="_Toc29862"/>
      <w:bookmarkStart w:id="33" w:name="_Toc20025"/>
      <w:bookmarkStart w:id="34" w:name="_Toc26680"/>
      <w:bookmarkStart w:id="35" w:name="_Toc23794"/>
      <w:bookmarkStart w:id="36" w:name="_Toc21673"/>
      <w:bookmarkStart w:id="37" w:name="_Toc18350"/>
      <w:bookmarkStart w:id="38" w:name="_Toc11259"/>
      <w:bookmarkStart w:id="39" w:name="_Toc16435"/>
      <w:bookmarkStart w:id="40" w:name="_Toc390098428"/>
      <w:bookmarkStart w:id="41" w:name="_Toc12074"/>
      <w:bookmarkStart w:id="42" w:name="_Toc385427802"/>
      <w:bookmarkStart w:id="43" w:name="_Toc9592"/>
      <w:bookmarkStart w:id="44" w:name="_Toc16186"/>
      <w:bookmarkStart w:id="45" w:name="_Toc383891177"/>
      <w:bookmarkStart w:id="46" w:name="_Toc13418"/>
      <w:bookmarkStart w:id="47" w:name="_Toc25750600"/>
      <w:bookmarkStart w:id="48" w:name="_Toc375039073"/>
      <w:bookmarkStart w:id="49" w:name="_Toc2819"/>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28065"/>
      <w:bookmarkStart w:id="51" w:name="_Toc385427803"/>
      <w:bookmarkStart w:id="52" w:name="_Toc114134618"/>
      <w:bookmarkStart w:id="53" w:name="_Toc11040"/>
      <w:bookmarkStart w:id="54" w:name="_Toc1047"/>
      <w:bookmarkStart w:id="55" w:name="_Toc15570"/>
      <w:bookmarkStart w:id="56" w:name="_Toc11161"/>
      <w:bookmarkStart w:id="57" w:name="_Toc25770"/>
      <w:bookmarkStart w:id="58" w:name="_Toc22026"/>
      <w:bookmarkStart w:id="59" w:name="_Toc25750601"/>
      <w:bookmarkStart w:id="60" w:name="_Toc16237"/>
      <w:bookmarkStart w:id="61" w:name="_Toc12207"/>
      <w:bookmarkStart w:id="62" w:name="_Toc383891178"/>
      <w:bookmarkStart w:id="63" w:name="_Toc26753"/>
      <w:bookmarkStart w:id="64" w:name="_Toc3492"/>
      <w:bookmarkStart w:id="65" w:name="_Toc24935"/>
      <w:bookmarkStart w:id="66" w:name="_Toc28296"/>
      <w:bookmarkStart w:id="67" w:name="_Toc19885"/>
      <w:bookmarkStart w:id="68" w:name="_Toc6261"/>
      <w:bookmarkStart w:id="69" w:name="_Toc24857"/>
      <w:bookmarkStart w:id="70" w:name="_Toc375039074"/>
      <w:bookmarkStart w:id="71" w:name="_Toc9887"/>
      <w:bookmarkStart w:id="72" w:name="_Toc390098429"/>
      <w:bookmarkStart w:id="73" w:name="_Toc12983515"/>
      <w:bookmarkStart w:id="74" w:name="_Toc492478728"/>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30356"/>
      <w:bookmarkStart w:id="76" w:name="_Toc23364"/>
      <w:bookmarkStart w:id="77" w:name="_Toc53"/>
      <w:bookmarkStart w:id="78" w:name="_Toc383891179"/>
      <w:bookmarkStart w:id="79" w:name="_Toc15809"/>
      <w:bookmarkStart w:id="80" w:name="_Toc114134619"/>
      <w:bookmarkStart w:id="81" w:name="_Toc12983516"/>
      <w:bookmarkStart w:id="82" w:name="_Toc22476"/>
      <w:bookmarkStart w:id="83" w:name="_Toc28164"/>
      <w:bookmarkStart w:id="84" w:name="_Toc3464"/>
      <w:bookmarkStart w:id="85" w:name="_Toc16307"/>
      <w:bookmarkStart w:id="86" w:name="_Toc14323"/>
      <w:bookmarkStart w:id="87" w:name="_Toc385427804"/>
      <w:bookmarkStart w:id="88" w:name="_Toc3411"/>
      <w:bookmarkStart w:id="89" w:name="_Toc492478729"/>
      <w:bookmarkStart w:id="90" w:name="_Toc25750602"/>
      <w:bookmarkStart w:id="91" w:name="_Toc24760"/>
      <w:bookmarkStart w:id="92" w:name="_Toc19681"/>
      <w:bookmarkStart w:id="93" w:name="_Toc30991"/>
      <w:bookmarkStart w:id="94" w:name="_Toc29881"/>
      <w:bookmarkStart w:id="95" w:name="_Toc3877"/>
      <w:bookmarkStart w:id="96" w:name="_Toc390098430"/>
      <w:bookmarkStart w:id="97" w:name="_Toc375039075"/>
      <w:bookmarkStart w:id="98" w:name="_Toc18149"/>
      <w:bookmarkStart w:id="99" w:name="_Toc23229"/>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2395"/>
      <w:bookmarkStart w:id="101" w:name="_Toc25750603"/>
      <w:bookmarkStart w:id="102" w:name="_Toc20248"/>
      <w:bookmarkStart w:id="103" w:name="_Toc383891180"/>
      <w:bookmarkStart w:id="104" w:name="_Toc20490"/>
      <w:bookmarkStart w:id="105" w:name="_Toc27019"/>
      <w:bookmarkStart w:id="106" w:name="_Toc7608"/>
      <w:bookmarkStart w:id="107" w:name="_Toc675"/>
      <w:bookmarkStart w:id="108" w:name="_Toc12983517"/>
      <w:bookmarkStart w:id="109" w:name="_Toc492478730"/>
      <w:bookmarkStart w:id="110" w:name="_Toc8151"/>
      <w:bookmarkStart w:id="111" w:name="_Toc114134620"/>
      <w:bookmarkStart w:id="112" w:name="_Toc23002"/>
      <w:bookmarkStart w:id="113" w:name="_Toc14630"/>
      <w:bookmarkStart w:id="114" w:name="_Toc16783"/>
      <w:bookmarkStart w:id="115" w:name="_Toc15919"/>
      <w:bookmarkStart w:id="116" w:name="_Toc27194"/>
      <w:bookmarkStart w:id="117" w:name="_Toc11211"/>
      <w:bookmarkStart w:id="118" w:name="_Toc14308"/>
      <w:bookmarkStart w:id="119" w:name="_Toc3670"/>
      <w:bookmarkStart w:id="120" w:name="_Toc15448"/>
      <w:bookmarkStart w:id="121" w:name="_Toc385427805"/>
      <w:bookmarkStart w:id="122" w:name="_Toc21144"/>
      <w:bookmarkStart w:id="123" w:name="_Toc375039076"/>
      <w:bookmarkStart w:id="124" w:name="_Toc390098431"/>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6671"/>
      <w:bookmarkStart w:id="126" w:name="_Toc31743"/>
      <w:bookmarkStart w:id="127" w:name="_Toc3799"/>
      <w:bookmarkStart w:id="128" w:name="_Toc26482"/>
      <w:bookmarkStart w:id="129" w:name="_Toc114134621"/>
      <w:bookmarkStart w:id="130" w:name="_Toc16653"/>
      <w:bookmarkStart w:id="131" w:name="_Toc383891181"/>
      <w:bookmarkStart w:id="132" w:name="_Toc17526"/>
      <w:bookmarkStart w:id="133" w:name="_Toc25750604"/>
      <w:bookmarkStart w:id="134" w:name="_Toc12983518"/>
      <w:bookmarkStart w:id="135" w:name="_Toc26974"/>
      <w:bookmarkStart w:id="136" w:name="_Toc17379"/>
      <w:bookmarkStart w:id="137" w:name="_Toc492478731"/>
      <w:bookmarkStart w:id="138" w:name="_Toc385427806"/>
      <w:bookmarkStart w:id="139" w:name="_Toc375039077"/>
      <w:bookmarkStart w:id="140" w:name="_Toc7857"/>
      <w:bookmarkStart w:id="141" w:name="_Toc3813"/>
      <w:bookmarkStart w:id="142" w:name="_Toc390098432"/>
      <w:bookmarkStart w:id="143" w:name="_Toc24264"/>
      <w:bookmarkStart w:id="144" w:name="_Toc17338"/>
      <w:bookmarkStart w:id="145" w:name="_Toc21084"/>
      <w:bookmarkStart w:id="146" w:name="_Toc14123"/>
      <w:bookmarkStart w:id="147" w:name="_Toc22295"/>
      <w:bookmarkStart w:id="148" w:name="_Toc20685"/>
      <w:bookmarkStart w:id="149" w:name="_Toc9416"/>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5538DD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05125A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12947"/>
      <w:bookmarkStart w:id="151" w:name="_Toc5836"/>
      <w:bookmarkStart w:id="152" w:name="_Toc492478732"/>
      <w:bookmarkStart w:id="153" w:name="_Toc18875"/>
      <w:bookmarkStart w:id="154" w:name="_Toc25750605"/>
      <w:bookmarkStart w:id="155" w:name="_Toc385427807"/>
      <w:bookmarkStart w:id="156" w:name="_Toc2710"/>
      <w:bookmarkStart w:id="157" w:name="_Toc25459"/>
      <w:bookmarkStart w:id="158" w:name="_Toc375039078"/>
      <w:bookmarkStart w:id="159" w:name="_Toc383891182"/>
      <w:bookmarkStart w:id="160" w:name="_Toc15940"/>
      <w:bookmarkStart w:id="161" w:name="_Toc28476"/>
      <w:bookmarkStart w:id="162" w:name="_Toc114134622"/>
      <w:bookmarkStart w:id="163" w:name="_Toc390098433"/>
      <w:bookmarkStart w:id="164" w:name="_Toc26064"/>
      <w:bookmarkStart w:id="165" w:name="_Toc21706"/>
      <w:bookmarkStart w:id="166" w:name="_Toc20156"/>
      <w:bookmarkStart w:id="167" w:name="_Toc7428"/>
      <w:bookmarkStart w:id="168" w:name="_Toc12762"/>
      <w:bookmarkStart w:id="169" w:name="_Toc28880"/>
      <w:bookmarkStart w:id="170" w:name="_Toc10220"/>
      <w:bookmarkStart w:id="171" w:name="_Toc1664"/>
      <w:bookmarkStart w:id="172" w:name="_Toc21430"/>
      <w:bookmarkStart w:id="173" w:name="_Toc21448"/>
      <w:bookmarkStart w:id="174" w:name="_Toc12983519"/>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5690"/>
      <w:bookmarkStart w:id="176" w:name="_Toc23114"/>
      <w:bookmarkStart w:id="177" w:name="_Toc375039082"/>
      <w:bookmarkStart w:id="178" w:name="_Toc114134624"/>
      <w:bookmarkStart w:id="179" w:name="_Toc20070"/>
      <w:bookmarkStart w:id="180" w:name="_Toc7808"/>
      <w:bookmarkStart w:id="181" w:name="_Toc1604"/>
      <w:bookmarkStart w:id="182" w:name="_Toc20493"/>
      <w:bookmarkStart w:id="183" w:name="_Toc28555"/>
      <w:bookmarkStart w:id="184" w:name="_Toc845"/>
      <w:bookmarkStart w:id="185" w:name="_Toc492478736"/>
      <w:bookmarkStart w:id="186" w:name="_Toc2268"/>
      <w:bookmarkStart w:id="187" w:name="_Toc390098437"/>
      <w:bookmarkStart w:id="188" w:name="_Toc30499"/>
      <w:bookmarkStart w:id="189" w:name="_Toc25750607"/>
      <w:bookmarkStart w:id="190" w:name="_Toc28997"/>
      <w:bookmarkStart w:id="191" w:name="_Toc4433"/>
      <w:bookmarkStart w:id="192" w:name="_Toc24656"/>
      <w:bookmarkStart w:id="193" w:name="_Toc10918"/>
      <w:bookmarkStart w:id="194" w:name="_Toc12983521"/>
      <w:bookmarkStart w:id="195" w:name="_Toc383891186"/>
      <w:bookmarkStart w:id="196" w:name="_Toc20643"/>
      <w:bookmarkStart w:id="197" w:name="_Toc691"/>
      <w:bookmarkStart w:id="198" w:name="_Toc9117"/>
      <w:bookmarkStart w:id="199" w:name="_Toc385427811"/>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25468"/>
      <w:bookmarkStart w:id="201" w:name="_Toc12435"/>
      <w:bookmarkStart w:id="202" w:name="_Toc3414"/>
      <w:bookmarkStart w:id="203" w:name="_Toc301"/>
      <w:bookmarkStart w:id="204" w:name="_Toc14672"/>
      <w:bookmarkStart w:id="205" w:name="_Toc24922"/>
      <w:bookmarkStart w:id="206" w:name="_Toc29108"/>
      <w:bookmarkStart w:id="207" w:name="_Toc32525"/>
      <w:bookmarkStart w:id="208" w:name="_Toc19603"/>
      <w:bookmarkStart w:id="209" w:name="_Toc390098438"/>
      <w:bookmarkStart w:id="210" w:name="_Toc27730"/>
      <w:bookmarkStart w:id="211" w:name="_Toc6065"/>
      <w:bookmarkStart w:id="212" w:name="_Toc12983522"/>
      <w:bookmarkStart w:id="213" w:name="_Toc383891187"/>
      <w:bookmarkStart w:id="214" w:name="_Toc19044"/>
      <w:bookmarkStart w:id="215" w:name="_Toc4216"/>
      <w:bookmarkStart w:id="216" w:name="_Toc375039083"/>
      <w:bookmarkStart w:id="217" w:name="_Toc12506"/>
      <w:bookmarkStart w:id="218" w:name="_Toc32020"/>
      <w:bookmarkStart w:id="219" w:name="_Toc25684"/>
      <w:bookmarkStart w:id="220" w:name="_Toc8100"/>
      <w:bookmarkStart w:id="221" w:name="_Toc385427812"/>
      <w:bookmarkStart w:id="222" w:name="_Toc492478737"/>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85427813"/>
      <w:bookmarkStart w:id="224" w:name="_Toc390098439"/>
      <w:bookmarkStart w:id="225" w:name="_Toc383891188"/>
      <w:bookmarkStart w:id="226" w:name="_Toc375039084"/>
      <w:bookmarkStart w:id="227" w:name="_Toc114134625"/>
      <w:bookmarkStart w:id="228" w:name="_Toc492478738"/>
      <w:bookmarkStart w:id="229" w:name="_Toc1315"/>
      <w:bookmarkStart w:id="230" w:name="_Toc2975"/>
      <w:bookmarkStart w:id="231" w:name="_Toc759"/>
      <w:bookmarkStart w:id="232" w:name="_Toc12983523"/>
      <w:bookmarkStart w:id="233" w:name="_Toc32054"/>
      <w:bookmarkStart w:id="234" w:name="_Toc6101"/>
      <w:bookmarkStart w:id="235" w:name="_Toc1952"/>
      <w:bookmarkStart w:id="236" w:name="_Toc30187"/>
      <w:bookmarkStart w:id="237" w:name="_Toc18322"/>
      <w:bookmarkStart w:id="238" w:name="_Toc15116"/>
      <w:bookmarkStart w:id="239" w:name="_Toc16409"/>
      <w:bookmarkStart w:id="240" w:name="_Toc2113"/>
      <w:bookmarkStart w:id="241" w:name="_Toc10234"/>
      <w:bookmarkStart w:id="242" w:name="_Toc26776"/>
      <w:bookmarkStart w:id="243" w:name="_Toc26551"/>
      <w:bookmarkStart w:id="244" w:name="_Toc30452"/>
      <w:bookmarkStart w:id="245" w:name="_Toc30962"/>
      <w:bookmarkStart w:id="246" w:name="_Toc23177"/>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9495"/>
      <w:bookmarkStart w:id="248" w:name="_Toc13875"/>
      <w:bookmarkStart w:id="249" w:name="_Toc9307"/>
      <w:bookmarkStart w:id="250" w:name="_Toc18616"/>
      <w:bookmarkStart w:id="251" w:name="_Toc13829"/>
      <w:bookmarkStart w:id="252" w:name="_Toc390098440"/>
      <w:bookmarkStart w:id="253" w:name="_Toc17200"/>
      <w:bookmarkStart w:id="254" w:name="_Toc12329"/>
      <w:bookmarkStart w:id="255" w:name="_Toc12983524"/>
      <w:bookmarkStart w:id="256" w:name="_Toc383891189"/>
      <w:bookmarkStart w:id="257" w:name="_Toc15663"/>
      <w:bookmarkStart w:id="258" w:name="_Toc25750609"/>
      <w:bookmarkStart w:id="259" w:name="_Toc26249"/>
      <w:bookmarkStart w:id="260" w:name="_Toc15071"/>
      <w:bookmarkStart w:id="261" w:name="_Toc492478739"/>
      <w:bookmarkStart w:id="262" w:name="_Toc12117"/>
      <w:bookmarkStart w:id="263" w:name="_Toc385427814"/>
      <w:bookmarkStart w:id="264" w:name="_Toc114134626"/>
      <w:bookmarkStart w:id="265" w:name="_Toc15735"/>
      <w:bookmarkStart w:id="266" w:name="_Toc24648"/>
      <w:bookmarkStart w:id="267" w:name="_Toc30196"/>
      <w:bookmarkStart w:id="268" w:name="_Toc15650"/>
      <w:bookmarkStart w:id="269" w:name="_Toc5922"/>
      <w:bookmarkStart w:id="270" w:name="_Toc375039085"/>
      <w:bookmarkStart w:id="271" w:name="_Toc13621"/>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90098441"/>
      <w:bookmarkStart w:id="273" w:name="_Toc385427815"/>
      <w:bookmarkStart w:id="274" w:name="_Toc375039086"/>
      <w:bookmarkStart w:id="275" w:name="_Toc383891190"/>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11096"/>
      <w:bookmarkStart w:id="277" w:name="_Toc6339"/>
      <w:bookmarkStart w:id="278" w:name="_Toc22445"/>
      <w:bookmarkStart w:id="279" w:name="_Toc492478740"/>
      <w:bookmarkStart w:id="280" w:name="_Toc6482"/>
      <w:bookmarkStart w:id="281" w:name="_Toc32760"/>
      <w:bookmarkStart w:id="282" w:name="_Toc16818"/>
      <w:bookmarkStart w:id="283" w:name="_Toc642"/>
      <w:bookmarkStart w:id="284" w:name="_Toc2337"/>
      <w:bookmarkStart w:id="285" w:name="_Toc4735"/>
      <w:bookmarkStart w:id="286" w:name="_Toc11039"/>
      <w:bookmarkStart w:id="287" w:name="_Toc22180"/>
      <w:bookmarkStart w:id="288" w:name="_Toc28071"/>
      <w:bookmarkStart w:id="289" w:name="_Toc25750610"/>
      <w:bookmarkStart w:id="290" w:name="_Toc23859"/>
      <w:bookmarkStart w:id="291" w:name="_Toc13883"/>
      <w:bookmarkStart w:id="292" w:name="_Toc12983525"/>
      <w:bookmarkStart w:id="293" w:name="_Toc114134627"/>
      <w:bookmarkStart w:id="294" w:name="_Toc16755"/>
      <w:bookmarkStart w:id="295" w:name="_Toc11255"/>
      <w:bookmarkStart w:id="296" w:name="_Toc16266"/>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492478741"/>
      <w:bookmarkStart w:id="298" w:name="_Toc9522"/>
      <w:bookmarkStart w:id="299" w:name="_Toc375039087"/>
      <w:bookmarkStart w:id="300" w:name="_Toc14239"/>
      <w:bookmarkStart w:id="301" w:name="_Toc26431"/>
      <w:bookmarkStart w:id="302" w:name="_Toc25750611"/>
      <w:bookmarkStart w:id="303" w:name="_Toc3597"/>
      <w:bookmarkStart w:id="304" w:name="_Toc21960"/>
      <w:bookmarkStart w:id="305" w:name="_Toc23404"/>
      <w:bookmarkStart w:id="306" w:name="_Toc29066"/>
      <w:bookmarkStart w:id="307" w:name="_Toc383891191"/>
      <w:bookmarkStart w:id="308" w:name="_Toc11373"/>
      <w:bookmarkStart w:id="309" w:name="_Toc32252"/>
      <w:bookmarkStart w:id="310" w:name="_Toc390098442"/>
      <w:bookmarkStart w:id="311" w:name="_Toc29473"/>
      <w:bookmarkStart w:id="312" w:name="_Toc385427816"/>
      <w:bookmarkStart w:id="313" w:name="_Toc10818"/>
      <w:bookmarkStart w:id="314" w:name="_Toc13581"/>
      <w:bookmarkStart w:id="315" w:name="_Toc15252"/>
      <w:bookmarkStart w:id="316" w:name="_Toc32621"/>
      <w:bookmarkStart w:id="317" w:name="_Toc114134628"/>
      <w:bookmarkStart w:id="318" w:name="_Toc12983526"/>
      <w:bookmarkStart w:id="319" w:name="_Toc324"/>
      <w:bookmarkStart w:id="320" w:name="_Toc22945"/>
      <w:bookmarkStart w:id="321" w:name="_Toc2226"/>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24030"/>
      <w:bookmarkStart w:id="323" w:name="_Toc28452"/>
      <w:bookmarkStart w:id="324" w:name="_Toc243"/>
      <w:bookmarkStart w:id="325" w:name="_Toc375039088"/>
      <w:bookmarkStart w:id="326" w:name="_Toc14411"/>
      <w:bookmarkStart w:id="327" w:name="_Toc383891192"/>
      <w:bookmarkStart w:id="328" w:name="_Toc390098443"/>
      <w:bookmarkStart w:id="329" w:name="_Toc23449"/>
      <w:bookmarkStart w:id="330" w:name="_Toc385427817"/>
      <w:bookmarkStart w:id="331" w:name="_Toc25750612"/>
      <w:bookmarkStart w:id="332" w:name="_Toc25427"/>
      <w:bookmarkStart w:id="333" w:name="_Toc27195"/>
      <w:bookmarkStart w:id="334" w:name="_Toc21796"/>
      <w:bookmarkStart w:id="335" w:name="_Toc9706"/>
      <w:bookmarkStart w:id="336" w:name="_Toc492478742"/>
      <w:bookmarkStart w:id="337" w:name="_Toc14522"/>
      <w:bookmarkStart w:id="338" w:name="_Toc12983527"/>
      <w:bookmarkStart w:id="339" w:name="_Toc4605"/>
      <w:bookmarkStart w:id="340" w:name="_Toc26282"/>
      <w:bookmarkStart w:id="341" w:name="_Toc31033"/>
      <w:bookmarkStart w:id="342" w:name="_Toc12682"/>
      <w:bookmarkStart w:id="343" w:name="_Toc8636"/>
      <w:bookmarkStart w:id="344" w:name="_Toc17797"/>
      <w:bookmarkStart w:id="345" w:name="_Toc114134629"/>
      <w:bookmarkStart w:id="346" w:name="_Toc29208"/>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383891193"/>
      <w:bookmarkStart w:id="348" w:name="_Toc25433"/>
      <w:bookmarkStart w:id="349" w:name="_Toc31978"/>
      <w:bookmarkStart w:id="350" w:name="_Toc2306"/>
      <w:bookmarkStart w:id="351" w:name="_Toc10325"/>
      <w:bookmarkStart w:id="352" w:name="_Toc5592"/>
      <w:bookmarkStart w:id="353" w:name="_Toc4291"/>
      <w:bookmarkStart w:id="354" w:name="_Toc22587"/>
      <w:bookmarkStart w:id="355" w:name="_Toc385427818"/>
      <w:bookmarkStart w:id="356" w:name="_Toc492478743"/>
      <w:bookmarkStart w:id="357" w:name="_Toc18076"/>
      <w:bookmarkStart w:id="358" w:name="_Toc24485"/>
      <w:bookmarkStart w:id="359" w:name="_Toc12182"/>
      <w:bookmarkStart w:id="360" w:name="_Toc28694"/>
      <w:bookmarkStart w:id="361" w:name="_Toc9728"/>
      <w:bookmarkStart w:id="362" w:name="_Toc11529"/>
      <w:bookmarkStart w:id="363" w:name="_Toc375039089"/>
      <w:bookmarkStart w:id="364" w:name="_Toc390098444"/>
      <w:bookmarkStart w:id="365" w:name="_Toc3006"/>
      <w:bookmarkStart w:id="366" w:name="_Toc16856"/>
      <w:bookmarkStart w:id="367" w:name="_Toc12983528"/>
      <w:bookmarkStart w:id="368" w:name="_Toc9549"/>
      <w:bookmarkStart w:id="369" w:name="_Toc29264"/>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2E4D0C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4674"/>
      <w:bookmarkStart w:id="372" w:name="_Toc492478744"/>
      <w:bookmarkStart w:id="373" w:name="_Toc5182"/>
      <w:bookmarkStart w:id="374" w:name="_Toc12983529"/>
      <w:bookmarkStart w:id="375" w:name="_Toc10883"/>
      <w:bookmarkStart w:id="376" w:name="_Toc25116"/>
      <w:bookmarkStart w:id="377" w:name="_Toc895"/>
      <w:bookmarkStart w:id="378" w:name="_Toc9264"/>
      <w:bookmarkStart w:id="379" w:name="_Toc23705"/>
      <w:bookmarkStart w:id="380" w:name="_Toc375039090"/>
      <w:bookmarkStart w:id="381" w:name="_Toc385427819"/>
      <w:bookmarkStart w:id="382" w:name="_Toc383891194"/>
      <w:bookmarkStart w:id="383" w:name="_Toc6974"/>
      <w:bookmarkStart w:id="384" w:name="_Toc9309"/>
      <w:bookmarkStart w:id="385" w:name="_Toc4638"/>
      <w:bookmarkStart w:id="386" w:name="_Toc390098445"/>
      <w:bookmarkStart w:id="387" w:name="_Toc4825"/>
      <w:bookmarkStart w:id="388" w:name="_Toc6377"/>
      <w:bookmarkStart w:id="389" w:name="_Toc18919"/>
      <w:bookmarkStart w:id="390" w:name="_Toc24196"/>
      <w:bookmarkStart w:id="391" w:name="_Toc10292"/>
      <w:bookmarkStart w:id="392" w:name="_Toc6839"/>
      <w:bookmarkStart w:id="393" w:name="_Toc4365"/>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83891195"/>
      <w:bookmarkStart w:id="397" w:name="_Toc375039091"/>
      <w:bookmarkStart w:id="398" w:name="_Toc390098446"/>
      <w:bookmarkStart w:id="399" w:name="_Toc385427820"/>
      <w:bookmarkStart w:id="400" w:name="_Toc11263"/>
      <w:bookmarkStart w:id="401" w:name="_Toc21819"/>
      <w:bookmarkStart w:id="402" w:name="_Toc16068"/>
      <w:bookmarkStart w:id="403" w:name="_Toc17785"/>
      <w:bookmarkStart w:id="404" w:name="_Toc12983530"/>
      <w:bookmarkStart w:id="405" w:name="_Toc11013"/>
      <w:bookmarkStart w:id="406" w:name="_Toc25750615"/>
      <w:bookmarkStart w:id="407" w:name="_Toc1920"/>
      <w:bookmarkStart w:id="408" w:name="_Toc24687"/>
      <w:bookmarkStart w:id="409" w:name="_Toc24630"/>
      <w:bookmarkStart w:id="410" w:name="_Toc16601"/>
      <w:bookmarkStart w:id="411" w:name="_Toc25270"/>
      <w:bookmarkStart w:id="412" w:name="_Toc492478745"/>
      <w:bookmarkStart w:id="413" w:name="_Toc9391"/>
      <w:bookmarkStart w:id="414" w:name="_Toc30671"/>
      <w:bookmarkStart w:id="415" w:name="_Toc27636"/>
      <w:bookmarkStart w:id="416" w:name="_Toc15466"/>
      <w:bookmarkStart w:id="417" w:name="_Toc23699"/>
      <w:bookmarkStart w:id="418" w:name="_Toc114134632"/>
      <w:bookmarkStart w:id="419" w:name="_Toc13202"/>
      <w:bookmarkStart w:id="420" w:name="_Toc5267"/>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14719"/>
      <w:bookmarkStart w:id="423" w:name="_Toc492478746"/>
      <w:bookmarkStart w:id="424" w:name="_Toc27570"/>
      <w:bookmarkStart w:id="425" w:name="_Toc5386"/>
      <w:bookmarkStart w:id="426" w:name="_Toc13421"/>
      <w:bookmarkStart w:id="427" w:name="_Toc385427821"/>
      <w:bookmarkStart w:id="428" w:name="_Toc18803"/>
      <w:bookmarkStart w:id="429" w:name="_Toc29929"/>
      <w:bookmarkStart w:id="430" w:name="_Toc16072"/>
      <w:bookmarkStart w:id="431" w:name="_Toc114134633"/>
      <w:bookmarkStart w:id="432" w:name="_Toc8295"/>
      <w:bookmarkStart w:id="433" w:name="_Toc24755"/>
      <w:bookmarkStart w:id="434" w:name="_Toc18063"/>
      <w:bookmarkStart w:id="435" w:name="_Toc15"/>
      <w:bookmarkStart w:id="436" w:name="_Toc383891196"/>
      <w:bookmarkStart w:id="437" w:name="_Toc390098447"/>
      <w:bookmarkStart w:id="438" w:name="_Toc12983531"/>
      <w:bookmarkStart w:id="439" w:name="_Toc833"/>
      <w:bookmarkStart w:id="440" w:name="_Toc17980"/>
      <w:bookmarkStart w:id="441" w:name="_Toc1456"/>
      <w:bookmarkStart w:id="442" w:name="_Toc25047"/>
      <w:bookmarkStart w:id="443" w:name="_Toc25750616"/>
      <w:bookmarkStart w:id="444" w:name="_Toc26137"/>
      <w:bookmarkStart w:id="445" w:name="_Toc11716"/>
      <w:bookmarkStart w:id="446" w:name="_Toc375039093"/>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15988"/>
      <w:bookmarkStart w:id="448" w:name="_Toc114134634"/>
      <w:bookmarkStart w:id="449" w:name="_Toc30207"/>
      <w:bookmarkStart w:id="450" w:name="_Toc20523"/>
      <w:bookmarkStart w:id="451" w:name="_Toc383891197"/>
      <w:bookmarkStart w:id="452" w:name="_Toc7858"/>
      <w:bookmarkStart w:id="453" w:name="_Toc29504"/>
      <w:bookmarkStart w:id="454" w:name="_Toc19810"/>
      <w:bookmarkStart w:id="455" w:name="_Toc12983532"/>
      <w:bookmarkStart w:id="456" w:name="_Toc12671"/>
      <w:bookmarkStart w:id="457" w:name="_Toc12909"/>
      <w:bookmarkStart w:id="458" w:name="_Toc390098448"/>
      <w:bookmarkStart w:id="459" w:name="_Toc16963"/>
      <w:bookmarkStart w:id="460" w:name="_Toc385427822"/>
      <w:bookmarkStart w:id="461" w:name="_Toc25750617"/>
      <w:bookmarkStart w:id="462" w:name="_Toc654"/>
      <w:bookmarkStart w:id="463" w:name="_Toc25734"/>
      <w:bookmarkStart w:id="464" w:name="_Toc21167"/>
      <w:bookmarkStart w:id="465" w:name="_Toc9941"/>
      <w:bookmarkStart w:id="466" w:name="_Toc12960"/>
      <w:bookmarkStart w:id="467" w:name="_Toc492478747"/>
      <w:bookmarkStart w:id="468" w:name="_Toc18515"/>
      <w:bookmarkStart w:id="469" w:name="_Toc9602"/>
      <w:bookmarkStart w:id="470" w:name="_Toc12555"/>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390098449"/>
      <w:bookmarkStart w:id="475" w:name="_Toc8827"/>
      <w:bookmarkStart w:id="476" w:name="_Toc22510"/>
      <w:bookmarkStart w:id="477" w:name="_Toc6624"/>
      <w:bookmarkStart w:id="478" w:name="_Toc24327"/>
      <w:bookmarkStart w:id="479" w:name="_Toc27670"/>
      <w:bookmarkStart w:id="480" w:name="_Toc12983533"/>
      <w:bookmarkStart w:id="481" w:name="_Toc23267"/>
      <w:bookmarkStart w:id="482" w:name="_Toc13768"/>
      <w:bookmarkStart w:id="483" w:name="_Toc28843"/>
      <w:bookmarkStart w:id="484" w:name="_Toc14799"/>
      <w:bookmarkStart w:id="485" w:name="_Toc14860"/>
      <w:bookmarkStart w:id="486" w:name="_Toc383891198"/>
      <w:bookmarkStart w:id="487" w:name="_Toc385427823"/>
      <w:bookmarkStart w:id="488" w:name="_Toc114134635"/>
      <w:bookmarkStart w:id="489" w:name="_Toc11077"/>
      <w:bookmarkStart w:id="490" w:name="_Toc25750618"/>
      <w:bookmarkStart w:id="491" w:name="_Toc30429"/>
      <w:bookmarkStart w:id="492" w:name="_Toc1983"/>
      <w:bookmarkStart w:id="493" w:name="_Toc28701"/>
      <w:bookmarkStart w:id="494" w:name="_Toc492478748"/>
      <w:bookmarkStart w:id="495" w:name="_Toc13743"/>
      <w:bookmarkStart w:id="496" w:name="_Toc5983"/>
      <w:bookmarkStart w:id="497" w:name="_Toc28898"/>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16884"/>
      <w:bookmarkStart w:id="499" w:name="_Toc12983534"/>
      <w:bookmarkStart w:id="500" w:name="_Toc26318"/>
      <w:bookmarkStart w:id="501" w:name="_Toc9040"/>
      <w:bookmarkStart w:id="502" w:name="_Toc18093"/>
      <w:bookmarkStart w:id="503" w:name="_Toc390098450"/>
      <w:bookmarkStart w:id="504" w:name="_Toc29146"/>
      <w:bookmarkStart w:id="505" w:name="_Toc4397"/>
      <w:bookmarkStart w:id="506" w:name="_Toc385427824"/>
      <w:bookmarkStart w:id="507" w:name="_Toc492478749"/>
      <w:bookmarkStart w:id="508" w:name="_Toc28992"/>
      <w:bookmarkStart w:id="509" w:name="_Toc30017"/>
      <w:bookmarkStart w:id="510" w:name="_Toc20519"/>
      <w:bookmarkStart w:id="511" w:name="_Toc6908"/>
      <w:bookmarkStart w:id="512" w:name="_Toc5926"/>
      <w:bookmarkStart w:id="513" w:name="_Toc5607"/>
      <w:bookmarkStart w:id="514" w:name="_Toc22681"/>
      <w:bookmarkStart w:id="515" w:name="_Toc114134636"/>
      <w:bookmarkStart w:id="516" w:name="_Toc26070"/>
      <w:bookmarkStart w:id="517" w:name="_Toc5437"/>
      <w:bookmarkStart w:id="518" w:name="_Toc383891199"/>
      <w:bookmarkStart w:id="519" w:name="_Toc25750619"/>
      <w:bookmarkStart w:id="520" w:name="_Toc1915"/>
      <w:bookmarkStart w:id="521" w:name="_Toc12795"/>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492478750"/>
      <w:bookmarkStart w:id="523" w:name="_Toc22063"/>
      <w:bookmarkStart w:id="524" w:name="_Toc385427825"/>
      <w:bookmarkStart w:id="525" w:name="_Toc12983535"/>
      <w:bookmarkStart w:id="526" w:name="_Toc383891200"/>
      <w:bookmarkStart w:id="527" w:name="_Toc21468"/>
      <w:bookmarkStart w:id="528" w:name="_Toc12167"/>
      <w:bookmarkStart w:id="529" w:name="_Toc23956"/>
      <w:bookmarkStart w:id="530" w:name="_Toc29398"/>
      <w:bookmarkStart w:id="531" w:name="_Toc26239"/>
      <w:bookmarkStart w:id="532" w:name="_Toc17236"/>
      <w:bookmarkStart w:id="533" w:name="_Toc22146"/>
      <w:bookmarkStart w:id="534" w:name="_Toc23808"/>
      <w:bookmarkStart w:id="535" w:name="_Toc15051"/>
      <w:bookmarkStart w:id="536" w:name="_Toc31646"/>
      <w:bookmarkStart w:id="537" w:name="_Toc390098451"/>
      <w:bookmarkStart w:id="538" w:name="_Toc25750620"/>
      <w:bookmarkStart w:id="539" w:name="_Toc20874"/>
      <w:bookmarkStart w:id="540" w:name="_Toc23999"/>
      <w:bookmarkStart w:id="541" w:name="_Toc20912"/>
      <w:bookmarkStart w:id="542" w:name="_Toc1027"/>
      <w:bookmarkStart w:id="543" w:name="_Toc20810"/>
      <w:bookmarkStart w:id="544" w:name="_Toc114134637"/>
      <w:bookmarkStart w:id="545" w:name="_Toc19477"/>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114134638"/>
      <w:bookmarkStart w:id="547" w:name="_Toc24176"/>
      <w:bookmarkStart w:id="548" w:name="_Toc8959"/>
      <w:bookmarkStart w:id="549" w:name="_Toc492478751"/>
      <w:bookmarkStart w:id="550" w:name="_Toc9737"/>
      <w:bookmarkStart w:id="551" w:name="_Toc22994"/>
      <w:bookmarkStart w:id="552" w:name="_Toc16418"/>
      <w:bookmarkStart w:id="553" w:name="_Toc23907"/>
      <w:bookmarkStart w:id="554" w:name="_Toc3258"/>
      <w:bookmarkStart w:id="555" w:name="_Toc4958"/>
      <w:bookmarkStart w:id="556" w:name="_Toc20444"/>
      <w:bookmarkStart w:id="557" w:name="_Toc5319"/>
      <w:bookmarkStart w:id="558" w:name="_Toc29276"/>
      <w:bookmarkStart w:id="559" w:name="_Toc383891201"/>
      <w:bookmarkStart w:id="560" w:name="_Toc20854"/>
      <w:bookmarkStart w:id="561" w:name="_Toc19936"/>
      <w:bookmarkStart w:id="562" w:name="_Toc9812"/>
      <w:bookmarkStart w:id="563" w:name="_Toc27112"/>
      <w:bookmarkStart w:id="564" w:name="_Toc1004"/>
      <w:bookmarkStart w:id="565" w:name="_Toc385427826"/>
      <w:bookmarkStart w:id="566" w:name="_Toc25750621"/>
      <w:bookmarkStart w:id="567" w:name="_Toc12983536"/>
      <w:bookmarkStart w:id="568" w:name="_Toc20881"/>
      <w:bookmarkStart w:id="569" w:name="_Toc390098452"/>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32344"/>
      <w:bookmarkStart w:id="571" w:name="_Toc11657"/>
      <w:bookmarkStart w:id="572" w:name="_Toc507"/>
      <w:bookmarkStart w:id="573" w:name="_Toc27803"/>
      <w:bookmarkStart w:id="574" w:name="_Toc11010"/>
      <w:bookmarkStart w:id="575" w:name="_Toc12983537"/>
      <w:bookmarkStart w:id="576" w:name="_Toc28489"/>
      <w:bookmarkStart w:id="577" w:name="_Toc114134639"/>
      <w:bookmarkStart w:id="578" w:name="_Toc25750622"/>
      <w:bookmarkStart w:id="579" w:name="_Toc19322"/>
      <w:bookmarkStart w:id="580" w:name="_Toc17460"/>
      <w:bookmarkStart w:id="581" w:name="_Toc492478752"/>
      <w:bookmarkStart w:id="582" w:name="_Toc31774"/>
      <w:bookmarkStart w:id="583" w:name="_Toc22500"/>
      <w:bookmarkStart w:id="584" w:name="_Toc27289"/>
      <w:bookmarkStart w:id="585" w:name="_Toc383891202"/>
      <w:bookmarkStart w:id="586" w:name="_Toc390098453"/>
      <w:bookmarkStart w:id="587" w:name="_Toc8845"/>
      <w:bookmarkStart w:id="588" w:name="_Toc1450"/>
      <w:bookmarkStart w:id="589" w:name="_Toc8074"/>
      <w:bookmarkStart w:id="590" w:name="_Toc385427827"/>
      <w:bookmarkStart w:id="591" w:name="_Toc3358"/>
      <w:bookmarkStart w:id="592" w:name="_Toc15146"/>
      <w:bookmarkStart w:id="593" w:name="_Toc14300"/>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12983538"/>
      <w:bookmarkStart w:id="595" w:name="_Toc5172"/>
      <w:bookmarkStart w:id="596" w:name="_Toc383891203"/>
      <w:bookmarkStart w:id="597" w:name="_Toc37"/>
      <w:bookmarkStart w:id="598" w:name="_Toc17823"/>
      <w:bookmarkStart w:id="599" w:name="_Toc5257"/>
      <w:bookmarkStart w:id="600" w:name="_Toc26470"/>
      <w:bookmarkStart w:id="601" w:name="_Toc14042"/>
      <w:bookmarkStart w:id="602" w:name="_Toc3761"/>
      <w:bookmarkStart w:id="603" w:name="_Toc385427828"/>
      <w:bookmarkStart w:id="604" w:name="_Toc27664"/>
      <w:bookmarkStart w:id="605" w:name="_Toc13986"/>
      <w:bookmarkStart w:id="606" w:name="_Toc19634"/>
      <w:bookmarkStart w:id="607" w:name="_Toc1215"/>
      <w:bookmarkStart w:id="608" w:name="_Toc21947"/>
      <w:bookmarkStart w:id="609" w:name="_Toc16732"/>
      <w:bookmarkStart w:id="610" w:name="_Toc22182"/>
      <w:bookmarkStart w:id="611" w:name="_Toc492478753"/>
      <w:bookmarkStart w:id="612" w:name="_Toc375039095"/>
      <w:bookmarkStart w:id="613" w:name="_Toc18192"/>
      <w:bookmarkStart w:id="614" w:name="_Toc15932"/>
      <w:bookmarkStart w:id="615" w:name="_Toc21142"/>
      <w:bookmarkStart w:id="616" w:name="_Toc390098454"/>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31757"/>
      <w:bookmarkStart w:id="620" w:name="_Toc14454"/>
      <w:bookmarkStart w:id="621" w:name="_Toc12031"/>
      <w:bookmarkStart w:id="622" w:name="_Toc26919"/>
      <w:bookmarkStart w:id="623" w:name="_Toc390098455"/>
      <w:bookmarkStart w:id="624" w:name="_Toc26954"/>
      <w:bookmarkStart w:id="625" w:name="_Toc383891204"/>
      <w:bookmarkStart w:id="626" w:name="_Toc6886"/>
      <w:bookmarkStart w:id="627" w:name="_Toc1116"/>
      <w:bookmarkStart w:id="628" w:name="_Toc375039096"/>
      <w:bookmarkStart w:id="629" w:name="_Toc1945"/>
      <w:bookmarkStart w:id="630" w:name="_Toc385427829"/>
      <w:bookmarkStart w:id="631" w:name="_Toc3769"/>
      <w:bookmarkStart w:id="632" w:name="_Toc2422"/>
      <w:bookmarkStart w:id="633" w:name="_Toc14235"/>
      <w:bookmarkStart w:id="634" w:name="_Toc10962"/>
      <w:bookmarkStart w:id="635" w:name="_Toc17042"/>
      <w:bookmarkStart w:id="636" w:name="_Toc20979"/>
      <w:bookmarkStart w:id="637" w:name="_Toc25257"/>
      <w:bookmarkStart w:id="638" w:name="_Toc12983539"/>
      <w:bookmarkStart w:id="639" w:name="_Toc5959"/>
      <w:bookmarkStart w:id="640" w:name="_Toc492478754"/>
      <w:bookmarkStart w:id="641" w:name="_Toc11126"/>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114134642"/>
      <w:bookmarkStart w:id="645" w:name="_Toc375039097"/>
      <w:bookmarkStart w:id="646" w:name="_Toc24681"/>
      <w:bookmarkStart w:id="647" w:name="_Toc12421"/>
      <w:bookmarkStart w:id="648" w:name="_Toc18800"/>
      <w:bookmarkStart w:id="649" w:name="_Toc6000"/>
      <w:bookmarkStart w:id="650" w:name="_Toc9113"/>
      <w:bookmarkStart w:id="651" w:name="_Toc12983540"/>
      <w:bookmarkStart w:id="652" w:name="_Toc492478755"/>
      <w:bookmarkStart w:id="653" w:name="_Toc385427830"/>
      <w:bookmarkStart w:id="654" w:name="_Toc31958"/>
      <w:bookmarkStart w:id="655" w:name="_Toc383891205"/>
      <w:bookmarkStart w:id="656" w:name="_Toc27839"/>
      <w:bookmarkStart w:id="657" w:name="_Toc26653"/>
      <w:bookmarkStart w:id="658" w:name="_Toc21516"/>
      <w:bookmarkStart w:id="659" w:name="_Toc30278"/>
      <w:bookmarkStart w:id="660" w:name="_Toc19952"/>
      <w:bookmarkStart w:id="661" w:name="_Toc2326"/>
      <w:bookmarkStart w:id="662" w:name="_Toc390098456"/>
      <w:bookmarkStart w:id="663" w:name="_Toc4743"/>
      <w:bookmarkStart w:id="664" w:name="_Toc22975"/>
      <w:bookmarkStart w:id="665" w:name="_Toc8834"/>
      <w:bookmarkStart w:id="666" w:name="_Toc24580"/>
      <w:bookmarkStart w:id="667" w:name="_Toc25431"/>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114134643"/>
      <w:bookmarkStart w:id="669" w:name="_Toc30026"/>
      <w:bookmarkStart w:id="670" w:name="_Toc21975"/>
      <w:bookmarkStart w:id="671" w:name="_Toc383891206"/>
      <w:bookmarkStart w:id="672" w:name="_Toc375039098"/>
      <w:bookmarkStart w:id="673" w:name="_Toc11795"/>
      <w:bookmarkStart w:id="674" w:name="_Toc18878"/>
      <w:bookmarkStart w:id="675" w:name="_Toc22688"/>
      <w:bookmarkStart w:id="676" w:name="_Toc21728"/>
      <w:bookmarkStart w:id="677" w:name="_Toc390098457"/>
      <w:bookmarkStart w:id="678" w:name="_Toc22323"/>
      <w:bookmarkStart w:id="679" w:name="_Toc8938"/>
      <w:bookmarkStart w:id="680" w:name="_Toc20642"/>
      <w:bookmarkStart w:id="681" w:name="_Toc385427831"/>
      <w:bookmarkStart w:id="682" w:name="_Toc25750626"/>
      <w:bookmarkStart w:id="683" w:name="_Toc1269"/>
      <w:bookmarkStart w:id="684" w:name="_Toc26143"/>
      <w:bookmarkStart w:id="685" w:name="_Toc28661"/>
      <w:bookmarkStart w:id="686" w:name="_Toc10522"/>
      <w:bookmarkStart w:id="687" w:name="_Toc492478756"/>
      <w:bookmarkStart w:id="688" w:name="_Toc12983541"/>
      <w:bookmarkStart w:id="689" w:name="_Toc26525"/>
      <w:bookmarkStart w:id="690" w:name="_Toc30743"/>
      <w:bookmarkStart w:id="691" w:name="_Toc13914"/>
      <w:bookmarkStart w:id="692" w:name="_Toc31011"/>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385427832"/>
      <w:bookmarkStart w:id="694" w:name="_Toc383891207"/>
      <w:bookmarkStart w:id="695" w:name="_Toc25750627"/>
      <w:bookmarkStart w:id="696" w:name="_Toc1873"/>
      <w:bookmarkStart w:id="697" w:name="_Toc114134644"/>
      <w:bookmarkStart w:id="698" w:name="_Toc14832"/>
      <w:bookmarkStart w:id="699" w:name="_Toc377"/>
      <w:bookmarkStart w:id="700" w:name="_Toc375039099"/>
      <w:bookmarkStart w:id="701" w:name="_Toc18977"/>
      <w:bookmarkStart w:id="702" w:name="_Toc31336"/>
      <w:bookmarkStart w:id="703" w:name="_Toc16111"/>
      <w:bookmarkStart w:id="704" w:name="_Toc25797"/>
      <w:bookmarkStart w:id="705" w:name="_Toc17153"/>
      <w:bookmarkStart w:id="706" w:name="_Toc11913"/>
      <w:bookmarkStart w:id="707" w:name="_Toc390098458"/>
      <w:bookmarkStart w:id="708" w:name="_Toc19128"/>
      <w:bookmarkStart w:id="709" w:name="_Toc492478757"/>
      <w:bookmarkStart w:id="710" w:name="_Toc17818"/>
      <w:bookmarkStart w:id="711" w:name="_Toc13417"/>
      <w:bookmarkStart w:id="712" w:name="_Toc19774"/>
      <w:bookmarkStart w:id="713" w:name="_Toc24183"/>
      <w:bookmarkStart w:id="714" w:name="_Toc23649"/>
      <w:bookmarkStart w:id="715" w:name="_Toc12983542"/>
      <w:bookmarkStart w:id="716" w:name="_Toc14325"/>
      <w:bookmarkStart w:id="717" w:name="_Toc14301"/>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22657"/>
      <w:bookmarkStart w:id="719" w:name="_Toc27683"/>
      <w:bookmarkStart w:id="720" w:name="_Toc10348"/>
      <w:bookmarkStart w:id="721" w:name="_Toc19943"/>
      <w:bookmarkStart w:id="722" w:name="_Toc20680"/>
      <w:bookmarkStart w:id="723" w:name="_Toc21798"/>
      <w:bookmarkStart w:id="724" w:name="_Toc12983543"/>
      <w:bookmarkStart w:id="725" w:name="_Toc375039100"/>
      <w:bookmarkStart w:id="726" w:name="_Toc385427833"/>
      <w:bookmarkStart w:id="727" w:name="_Toc390098459"/>
      <w:bookmarkStart w:id="728" w:name="_Toc921"/>
      <w:bookmarkStart w:id="729" w:name="_Toc19556"/>
      <w:bookmarkStart w:id="730" w:name="_Toc13596"/>
      <w:bookmarkStart w:id="731" w:name="_Toc32424"/>
      <w:bookmarkStart w:id="732" w:name="_Toc5061"/>
      <w:bookmarkStart w:id="733" w:name="_Toc114134645"/>
      <w:bookmarkStart w:id="734" w:name="_Toc12065"/>
      <w:bookmarkStart w:id="735" w:name="_Toc383891208"/>
      <w:bookmarkStart w:id="736" w:name="_Toc2061"/>
      <w:bookmarkStart w:id="737" w:name="_Toc9636"/>
      <w:bookmarkStart w:id="738" w:name="_Toc25750628"/>
      <w:bookmarkStart w:id="739" w:name="_Toc13605"/>
      <w:bookmarkStart w:id="740" w:name="_Toc673"/>
      <w:bookmarkStart w:id="741" w:name="_Toc492478758"/>
      <w:bookmarkStart w:id="742" w:name="_Toc17953"/>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114134646"/>
      <w:bookmarkStart w:id="744" w:name="_Toc1862"/>
      <w:bookmarkStart w:id="745" w:name="_Toc5767"/>
      <w:bookmarkStart w:id="746" w:name="_Toc15048"/>
      <w:bookmarkStart w:id="747" w:name="_Toc21217"/>
      <w:bookmarkStart w:id="748" w:name="_Toc383891209"/>
      <w:bookmarkStart w:id="749" w:name="_Toc29993"/>
      <w:bookmarkStart w:id="750" w:name="_Toc25208"/>
      <w:bookmarkStart w:id="751" w:name="_Toc28815"/>
      <w:bookmarkStart w:id="752" w:name="_Toc30862"/>
      <w:bookmarkStart w:id="753" w:name="_Toc22442"/>
      <w:bookmarkStart w:id="754" w:name="_Toc24240"/>
      <w:bookmarkStart w:id="755" w:name="_Toc5617"/>
      <w:bookmarkStart w:id="756" w:name="_Toc385427834"/>
      <w:bookmarkStart w:id="757" w:name="_Toc390098460"/>
      <w:bookmarkStart w:id="758" w:name="_Toc8628"/>
      <w:bookmarkStart w:id="759" w:name="_Toc4190"/>
      <w:bookmarkStart w:id="760" w:name="_Toc21570"/>
      <w:bookmarkStart w:id="761" w:name="_Toc24885"/>
      <w:bookmarkStart w:id="762" w:name="_Toc18694"/>
      <w:bookmarkStart w:id="763" w:name="_Toc25750629"/>
      <w:bookmarkStart w:id="764" w:name="_Toc1780"/>
      <w:bookmarkStart w:id="765" w:name="_Toc12983544"/>
      <w:bookmarkStart w:id="766" w:name="_Toc492478759"/>
      <w:bookmarkStart w:id="767" w:name="_Toc375039101"/>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25483"/>
      <w:bookmarkStart w:id="769" w:name="_Toc24750"/>
      <w:bookmarkStart w:id="770" w:name="_Toc375039102"/>
      <w:bookmarkStart w:id="771" w:name="_Toc11079"/>
      <w:bookmarkStart w:id="772" w:name="_Toc383891210"/>
      <w:bookmarkStart w:id="773" w:name="_Toc114134647"/>
      <w:bookmarkStart w:id="774" w:name="_Toc23817"/>
      <w:bookmarkStart w:id="775" w:name="_Toc29857"/>
      <w:bookmarkStart w:id="776" w:name="_Toc5576"/>
      <w:bookmarkStart w:id="777" w:name="_Toc17281"/>
      <w:bookmarkStart w:id="778" w:name="_Toc25750630"/>
      <w:bookmarkStart w:id="779" w:name="_Toc6599"/>
      <w:bookmarkStart w:id="780" w:name="_Toc8104"/>
      <w:bookmarkStart w:id="781" w:name="_Toc25632"/>
      <w:bookmarkStart w:id="782" w:name="_Toc16371"/>
      <w:bookmarkStart w:id="783" w:name="_Toc12983545"/>
      <w:bookmarkStart w:id="784" w:name="_Toc11412"/>
      <w:bookmarkStart w:id="785" w:name="_Toc385427835"/>
      <w:bookmarkStart w:id="786" w:name="_Toc390098461"/>
      <w:bookmarkStart w:id="787" w:name="_Toc31814"/>
      <w:bookmarkStart w:id="788" w:name="_Toc16589"/>
      <w:bookmarkStart w:id="789" w:name="_Toc492478760"/>
      <w:bookmarkStart w:id="790" w:name="_Toc9981"/>
      <w:bookmarkStart w:id="791" w:name="_Toc9433"/>
      <w:bookmarkStart w:id="792" w:name="_Toc20178"/>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ADA8E04">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25B45A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02058B72">
      <w:pPr>
        <w:shd w:val="clear"/>
        <w:spacing w:line="360" w:lineRule="auto"/>
        <w:jc w:val="left"/>
        <w:rPr>
          <w:rFonts w:hint="default" w:ascii="Times New Roman" w:hAnsi="Times New Roman" w:eastAsia="华文中宋"/>
          <w:b/>
          <w:color w:val="auto"/>
          <w:sz w:val="48"/>
          <w:szCs w:val="48"/>
          <w:highlight w:val="none"/>
          <w:u w:val="single"/>
          <w:lang w:val="en-US"/>
        </w:rPr>
      </w:pPr>
      <w:r>
        <w:rPr>
          <w:rFonts w:hint="eastAsia" w:ascii="Times New Roman" w:hAnsi="Times New Roman" w:eastAsia="仿宋_GB2312"/>
          <w:bCs/>
          <w:color w:val="auto"/>
          <w:sz w:val="28"/>
          <w:szCs w:val="28"/>
          <w:highlight w:val="none"/>
        </w:rPr>
        <w:t>合同编号：</w:t>
      </w:r>
    </w:p>
    <w:p w14:paraId="29C34B57">
      <w:pPr>
        <w:shd w:val="clear"/>
        <w:spacing w:line="360" w:lineRule="auto"/>
        <w:jc w:val="center"/>
        <w:rPr>
          <w:rFonts w:ascii="Times New Roman" w:hAnsi="Times New Roman" w:eastAsia="华文中宋"/>
          <w:b/>
          <w:color w:val="auto"/>
          <w:sz w:val="48"/>
          <w:szCs w:val="48"/>
          <w:highlight w:val="none"/>
        </w:rPr>
      </w:pPr>
    </w:p>
    <w:p w14:paraId="442E018E">
      <w:pPr>
        <w:shd w:val="clear"/>
        <w:spacing w:line="360" w:lineRule="auto"/>
        <w:jc w:val="center"/>
        <w:rPr>
          <w:rFonts w:ascii="Times New Roman" w:hAnsi="Times New Roman" w:eastAsia="华文中宋"/>
          <w:b/>
          <w:color w:val="auto"/>
          <w:sz w:val="48"/>
          <w:szCs w:val="48"/>
          <w:highlight w:val="none"/>
        </w:rPr>
      </w:pPr>
    </w:p>
    <w:p w14:paraId="33FE70DD">
      <w:pPr>
        <w:shd w:val="clear"/>
        <w:spacing w:line="360" w:lineRule="auto"/>
        <w:jc w:val="center"/>
        <w:rPr>
          <w:rFonts w:ascii="Times New Roman" w:hAnsi="Times New Roman" w:eastAsia="华文中宋"/>
          <w:b/>
          <w:color w:val="auto"/>
          <w:sz w:val="48"/>
          <w:szCs w:val="48"/>
          <w:highlight w:val="none"/>
        </w:rPr>
      </w:pPr>
    </w:p>
    <w:p w14:paraId="433CA4AD">
      <w:pPr>
        <w:shd w:val="clear"/>
        <w:spacing w:line="360" w:lineRule="auto"/>
        <w:jc w:val="center"/>
        <w:rPr>
          <w:rFonts w:ascii="Times New Roman" w:hAnsi="Times New Roman" w:eastAsia="华文中宋"/>
          <w:b/>
          <w:color w:val="auto"/>
          <w:sz w:val="56"/>
          <w:szCs w:val="56"/>
          <w:highlight w:val="none"/>
        </w:rPr>
      </w:pPr>
      <w:r>
        <w:rPr>
          <w:rFonts w:hint="eastAsia" w:ascii="Times New Roman" w:hAnsi="Times New Roman" w:eastAsia="华文中宋"/>
          <w:b/>
          <w:color w:val="auto"/>
          <w:sz w:val="36"/>
          <w:szCs w:val="36"/>
          <w:highlight w:val="none"/>
          <w:lang w:eastAsia="zh-CN"/>
        </w:rPr>
        <w:t>广西大学机械教学实验中心大楼项目</w:t>
      </w:r>
      <w:r>
        <w:rPr>
          <w:rFonts w:hint="eastAsia" w:ascii="Times New Roman" w:hAnsi="Times New Roman" w:eastAsia="华文中宋"/>
          <w:b/>
          <w:color w:val="auto"/>
          <w:sz w:val="36"/>
          <w:szCs w:val="36"/>
          <w:highlight w:val="none"/>
          <w:lang w:val="en-US" w:eastAsia="zh-CN"/>
        </w:rPr>
        <w:t xml:space="preserve">               </w:t>
      </w:r>
      <w:r>
        <w:rPr>
          <w:rFonts w:hint="eastAsia" w:ascii="Times New Roman" w:hAnsi="Times New Roman" w:eastAsia="华文中宋"/>
          <w:b/>
          <w:color w:val="auto"/>
          <w:sz w:val="36"/>
          <w:szCs w:val="36"/>
          <w:highlight w:val="none"/>
          <w:lang w:eastAsia="zh-CN"/>
        </w:rPr>
        <w:t>精装修工程专业分包合同</w:t>
      </w:r>
      <w:r>
        <w:rPr>
          <w:rFonts w:ascii="Times New Roman" w:hAnsi="Times New Roman" w:eastAsia="华文中宋"/>
          <w:b/>
          <w:color w:val="auto"/>
          <w:sz w:val="56"/>
          <w:szCs w:val="56"/>
          <w:highlight w:val="none"/>
        </w:rPr>
        <w:br w:type="textWrapping"/>
      </w:r>
    </w:p>
    <w:p w14:paraId="08866B40">
      <w:pPr>
        <w:shd w:val="clear"/>
        <w:spacing w:line="360" w:lineRule="auto"/>
        <w:jc w:val="center"/>
        <w:rPr>
          <w:rFonts w:ascii="Times New Roman" w:hAnsi="Times New Roman" w:eastAsia="华文中宋"/>
          <w:b/>
          <w:color w:val="auto"/>
          <w:sz w:val="48"/>
          <w:szCs w:val="48"/>
          <w:highlight w:val="none"/>
        </w:rPr>
      </w:pPr>
    </w:p>
    <w:p w14:paraId="0B5B14F0">
      <w:pPr>
        <w:shd w:val="clear"/>
        <w:spacing w:line="360" w:lineRule="auto"/>
        <w:jc w:val="center"/>
        <w:rPr>
          <w:rFonts w:ascii="Times New Roman" w:hAnsi="Times New Roman" w:eastAsia="黑体"/>
          <w:b/>
          <w:color w:val="auto"/>
          <w:sz w:val="48"/>
          <w:szCs w:val="48"/>
          <w:highlight w:val="none"/>
        </w:rPr>
      </w:pPr>
    </w:p>
    <w:p w14:paraId="403EEC44">
      <w:pPr>
        <w:shd w:val="clear"/>
        <w:spacing w:line="360" w:lineRule="auto"/>
        <w:jc w:val="center"/>
        <w:rPr>
          <w:rFonts w:ascii="Times New Roman" w:hAnsi="Times New Roman" w:eastAsia="华文中宋"/>
          <w:b/>
          <w:color w:val="auto"/>
          <w:sz w:val="48"/>
          <w:szCs w:val="48"/>
          <w:highlight w:val="none"/>
        </w:rPr>
      </w:pPr>
    </w:p>
    <w:p w14:paraId="48FAC591">
      <w:pPr>
        <w:shd w:val="clear"/>
        <w:spacing w:line="360" w:lineRule="auto"/>
        <w:jc w:val="center"/>
        <w:rPr>
          <w:rFonts w:ascii="Times New Roman" w:hAnsi="Times New Roman" w:eastAsia="华文中宋"/>
          <w:b/>
          <w:color w:val="auto"/>
          <w:sz w:val="48"/>
          <w:szCs w:val="48"/>
          <w:highlight w:val="none"/>
        </w:rPr>
      </w:pPr>
    </w:p>
    <w:p w14:paraId="577A35D9">
      <w:pPr>
        <w:shd w:val="clear"/>
        <w:spacing w:line="360" w:lineRule="auto"/>
        <w:ind w:firstLine="562" w:firstLineChars="200"/>
        <w:rPr>
          <w:rFonts w:ascii="仿宋_GB2312" w:hAnsi="仿宋_GB2312" w:eastAsia="仿宋_GB2312" w:cs="仿宋_GB2312"/>
          <w:b/>
          <w:bCs/>
          <w:color w:val="auto"/>
          <w:sz w:val="28"/>
          <w:szCs w:val="28"/>
          <w:highlight w:val="none"/>
        </w:rPr>
      </w:pPr>
    </w:p>
    <w:p w14:paraId="2BE0A1AE">
      <w:pPr>
        <w:shd w:val="clear"/>
        <w:spacing w:line="360" w:lineRule="auto"/>
        <w:ind w:firstLine="562" w:firstLineChars="200"/>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bCs/>
          <w:color w:val="auto"/>
          <w:sz w:val="28"/>
          <w:szCs w:val="28"/>
          <w:highlight w:val="none"/>
        </w:rPr>
        <w:t>甲    方：</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b/>
          <w:bCs/>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63A76361">
      <w:pPr>
        <w:shd w:val="clear"/>
        <w:spacing w:line="360" w:lineRule="auto"/>
        <w:ind w:firstLine="562" w:firstLineChars="200"/>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bCs/>
          <w:color w:val="auto"/>
          <w:sz w:val="28"/>
          <w:szCs w:val="28"/>
          <w:highlight w:val="none"/>
        </w:rPr>
        <w:t>乙    方：</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279C71E8">
      <w:pPr>
        <w:shd w:val="clear"/>
        <w:spacing w:line="360" w:lineRule="auto"/>
        <w:ind w:firstLine="562"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b/>
          <w:bCs/>
          <w:color w:val="auto"/>
          <w:sz w:val="28"/>
          <w:szCs w:val="28"/>
          <w:highlight w:val="none"/>
        </w:rPr>
        <w:t>签订时间：</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b/>
          <w:color w:val="auto"/>
          <w:sz w:val="28"/>
          <w:szCs w:val="28"/>
          <w:highlight w:val="none"/>
          <w:lang w:val="en-US" w:eastAsia="zh-CN"/>
        </w:rPr>
        <w:t>2025年6月18日</w:t>
      </w:r>
      <w:r>
        <w:rPr>
          <w:rFonts w:hint="eastAsia" w:ascii="仿宋_GB2312" w:hAnsi="仿宋_GB2312" w:eastAsia="仿宋_GB2312" w:cs="仿宋_GB2312"/>
          <w:b/>
          <w:color w:val="auto"/>
          <w:sz w:val="28"/>
          <w:szCs w:val="28"/>
          <w:highlight w:val="none"/>
        </w:rPr>
        <w:t>】</w:t>
      </w:r>
    </w:p>
    <w:p w14:paraId="37CA99D0">
      <w:pPr>
        <w:shd w:val="clear"/>
        <w:spacing w:line="360" w:lineRule="auto"/>
        <w:ind w:firstLine="562" w:firstLineChars="200"/>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bCs/>
          <w:color w:val="auto"/>
          <w:sz w:val="28"/>
          <w:szCs w:val="28"/>
          <w:highlight w:val="none"/>
        </w:rPr>
        <w:t>签订地点：</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b/>
          <w:bCs/>
          <w:color w:val="auto"/>
          <w:sz w:val="28"/>
          <w:szCs w:val="28"/>
          <w:highlight w:val="none"/>
          <w:lang w:val="en-US" w:eastAsia="zh-CN"/>
        </w:rPr>
        <w:t>广西南宁</w:t>
      </w:r>
      <w:r>
        <w:rPr>
          <w:rFonts w:hint="eastAsia" w:ascii="仿宋_GB2312" w:hAnsi="仿宋_GB2312" w:eastAsia="仿宋_GB2312" w:cs="仿宋_GB2312"/>
          <w:b/>
          <w:color w:val="auto"/>
          <w:sz w:val="28"/>
          <w:szCs w:val="28"/>
          <w:highlight w:val="none"/>
        </w:rPr>
        <w:t>】</w:t>
      </w:r>
    </w:p>
    <w:p w14:paraId="09E23E79">
      <w:pPr>
        <w:shd w:val="clear"/>
        <w:spacing w:line="360" w:lineRule="auto"/>
        <w:jc w:val="center"/>
        <w:rPr>
          <w:rFonts w:ascii="华文中宋" w:hAnsi="华文中宋" w:eastAsia="华文中宋"/>
          <w:b/>
          <w:bCs/>
          <w:color w:val="auto"/>
          <w:sz w:val="40"/>
          <w:szCs w:val="40"/>
          <w:highlight w:val="none"/>
        </w:rPr>
      </w:pPr>
      <w:bookmarkStart w:id="793" w:name="_Toc930"/>
    </w:p>
    <w:p w14:paraId="1EF89DE5">
      <w:pPr>
        <w:pStyle w:val="9"/>
        <w:shd w:val="clear"/>
        <w:rPr>
          <w:rFonts w:ascii="华文中宋" w:hAnsi="华文中宋" w:eastAsia="华文中宋"/>
          <w:b/>
          <w:bCs/>
          <w:color w:val="auto"/>
          <w:sz w:val="40"/>
          <w:szCs w:val="40"/>
          <w:highlight w:val="none"/>
        </w:rPr>
      </w:pPr>
    </w:p>
    <w:p w14:paraId="69777AD3">
      <w:pPr>
        <w:shd w:val="clear"/>
        <w:rPr>
          <w:color w:val="auto"/>
          <w:highlight w:val="none"/>
        </w:rPr>
        <w:sectPr>
          <w:headerReference r:id="rId4" w:type="first"/>
          <w:footerReference r:id="rId6" w:type="first"/>
          <w:headerReference r:id="rId3" w:type="even"/>
          <w:footerReference r:id="rId5" w:type="even"/>
          <w:pgSz w:w="11906" w:h="16838"/>
          <w:pgMar w:top="1440" w:right="1800" w:bottom="1440" w:left="1800" w:header="851" w:footer="992" w:gutter="0"/>
          <w:pgNumType w:start="1"/>
          <w:cols w:space="425" w:num="1"/>
          <w:docGrid w:type="lines" w:linePitch="312" w:charSpace="0"/>
        </w:sectPr>
      </w:pPr>
    </w:p>
    <w:bookmarkEnd w:id="793"/>
    <w:p w14:paraId="47836C84">
      <w:pPr>
        <w:pStyle w:val="50"/>
        <w:shd w:val="clear"/>
        <w:spacing w:before="0" w:after="0" w:line="360" w:lineRule="auto"/>
        <w:jc w:val="center"/>
        <w:rPr>
          <w:rFonts w:ascii="Times New Roman" w:hAnsi="Times New Roman" w:eastAsia="华文中宋"/>
          <w:color w:val="auto"/>
          <w:sz w:val="40"/>
          <w:szCs w:val="40"/>
          <w:highlight w:val="none"/>
        </w:rPr>
      </w:pPr>
      <w:r>
        <w:rPr>
          <w:rFonts w:ascii="Times New Roman" w:hAnsi="Times New Roman" w:eastAsia="华文中宋"/>
          <w:color w:val="auto"/>
          <w:sz w:val="40"/>
          <w:szCs w:val="40"/>
          <w:highlight w:val="none"/>
          <w:lang w:val="zh-CN"/>
        </w:rPr>
        <w:t>目</w:t>
      </w:r>
      <w:r>
        <w:rPr>
          <w:rFonts w:hint="eastAsia" w:ascii="Times New Roman" w:hAnsi="Times New Roman" w:eastAsia="华文中宋"/>
          <w:color w:val="auto"/>
          <w:sz w:val="40"/>
          <w:szCs w:val="40"/>
          <w:highlight w:val="none"/>
          <w:lang w:val="zh-CN"/>
        </w:rPr>
        <w:t xml:space="preserve">  </w:t>
      </w:r>
      <w:r>
        <w:rPr>
          <w:rFonts w:ascii="Times New Roman" w:hAnsi="Times New Roman" w:eastAsia="华文中宋"/>
          <w:color w:val="auto"/>
          <w:sz w:val="40"/>
          <w:szCs w:val="40"/>
          <w:highlight w:val="none"/>
          <w:lang w:val="zh-CN"/>
        </w:rPr>
        <w:t>录</w:t>
      </w:r>
    </w:p>
    <w:p w14:paraId="17E6E583">
      <w:pPr>
        <w:pStyle w:val="18"/>
        <w:shd w:val="clear"/>
        <w:tabs>
          <w:tab w:val="clear" w:pos="1890"/>
        </w:tabs>
        <w:spacing w:before="156" w:beforeLines="50" w:after="156" w:afterLines="50" w:line="360" w:lineRule="auto"/>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TOC \o "1-4" \h \z \u</w:instrText>
      </w:r>
      <w:r>
        <w:rPr>
          <w:rFonts w:ascii="Times New Roman" w:hAnsi="Times New Roman" w:eastAsia="仿宋_GB2312" w:cs="Times New Roman"/>
          <w:color w:val="auto"/>
          <w:highlight w:val="none"/>
        </w:rPr>
        <w:fldChar w:fldCharType="separate"/>
      </w:r>
      <w:r>
        <w:rPr>
          <w:color w:val="auto"/>
          <w:highlight w:val="none"/>
        </w:rPr>
        <w:fldChar w:fldCharType="begin"/>
      </w:r>
      <w:r>
        <w:rPr>
          <w:color w:val="auto"/>
          <w:highlight w:val="none"/>
        </w:rPr>
        <w:instrText xml:space="preserve"> HYPERLINK \l "_Toc9748" </w:instrText>
      </w:r>
      <w:r>
        <w:rPr>
          <w:color w:val="auto"/>
          <w:highlight w:val="none"/>
        </w:rPr>
        <w:fldChar w:fldCharType="separate"/>
      </w:r>
      <w:r>
        <w:rPr>
          <w:rFonts w:ascii="Times New Roman" w:hAnsi="Times New Roman" w:eastAsia="仿宋_GB2312" w:cs="Times New Roman"/>
          <w:b/>
          <w:bCs/>
          <w:color w:val="auto"/>
          <w:sz w:val="28"/>
          <w:szCs w:val="28"/>
          <w:highlight w:val="none"/>
        </w:rPr>
        <w:t>第一部分  合同协议书</w:t>
      </w:r>
      <w:r>
        <w:rPr>
          <w:rFonts w:ascii="Times New Roman" w:hAnsi="Times New Roman" w:eastAsia="仿宋_GB2312" w:cs="Times New Roman"/>
          <w:b/>
          <w:bCs/>
          <w:color w:val="auto"/>
          <w:highlight w:val="none"/>
        </w:rPr>
        <w:fldChar w:fldCharType="end"/>
      </w:r>
    </w:p>
    <w:p w14:paraId="0FFF991A">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"_Toc32715" </w:instrText>
      </w:r>
      <w:r>
        <w:rPr>
          <w:color w:val="auto"/>
          <w:highlight w:val="none"/>
        </w:rPr>
        <w:fldChar w:fldCharType="separate"/>
      </w:r>
      <w:r>
        <w:rPr>
          <w:rFonts w:ascii="Times New Roman" w:hAnsi="Times New Roman" w:eastAsia="仿宋_GB2312" w:cs="Times New Roman"/>
          <w:color w:val="auto"/>
          <w:highlight w:val="none"/>
        </w:rPr>
        <w:t>一、工程概况</w:t>
      </w:r>
      <w:r>
        <w:rPr>
          <w:rFonts w:ascii="Times New Roman" w:hAnsi="Times New Roman" w:eastAsia="仿宋_GB2312" w:cs="Times New Roman"/>
          <w:color w:val="auto"/>
          <w:highlight w:val="none"/>
        </w:rPr>
        <w:fldChar w:fldCharType="end"/>
      </w:r>
    </w:p>
    <w:p w14:paraId="5BA12AFF">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"_Toc28269" </w:instrText>
      </w:r>
      <w:r>
        <w:rPr>
          <w:color w:val="auto"/>
          <w:highlight w:val="none"/>
        </w:rPr>
        <w:fldChar w:fldCharType="separate"/>
      </w:r>
      <w:r>
        <w:rPr>
          <w:rFonts w:ascii="Times New Roman" w:hAnsi="Times New Roman" w:eastAsia="仿宋_GB2312" w:cs="Times New Roman"/>
          <w:color w:val="auto"/>
          <w:highlight w:val="none"/>
        </w:rPr>
        <w:t>二、分包合同工期</w:t>
      </w:r>
      <w:r>
        <w:rPr>
          <w:rFonts w:ascii="Times New Roman" w:hAnsi="Times New Roman" w:eastAsia="仿宋_GB2312" w:cs="Times New Roman"/>
          <w:color w:val="auto"/>
          <w:highlight w:val="none"/>
        </w:rPr>
        <w:fldChar w:fldCharType="end"/>
      </w:r>
    </w:p>
    <w:p w14:paraId="50FB6D73">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"_Toc1508" </w:instrText>
      </w:r>
      <w:r>
        <w:rPr>
          <w:color w:val="auto"/>
          <w:highlight w:val="none"/>
        </w:rPr>
        <w:fldChar w:fldCharType="separate"/>
      </w:r>
      <w:r>
        <w:rPr>
          <w:rFonts w:ascii="Times New Roman" w:hAnsi="Times New Roman" w:eastAsia="仿宋_GB2312" w:cs="Times New Roman"/>
          <w:color w:val="auto"/>
          <w:highlight w:val="none"/>
        </w:rPr>
        <w:t>三、质量标准</w:t>
      </w:r>
      <w:r>
        <w:rPr>
          <w:rFonts w:ascii="Times New Roman" w:hAnsi="Times New Roman" w:eastAsia="仿宋_GB2312" w:cs="Times New Roman"/>
          <w:color w:val="auto"/>
          <w:highlight w:val="none"/>
        </w:rPr>
        <w:fldChar w:fldCharType="end"/>
      </w:r>
    </w:p>
    <w:p w14:paraId="58A2B56F">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"_Toc20821" </w:instrText>
      </w:r>
      <w:r>
        <w:rPr>
          <w:color w:val="auto"/>
          <w:highlight w:val="none"/>
        </w:rPr>
        <w:fldChar w:fldCharType="separate"/>
      </w:r>
      <w:r>
        <w:rPr>
          <w:rFonts w:ascii="Times New Roman" w:hAnsi="Times New Roman" w:eastAsia="仿宋_GB2312" w:cs="Times New Roman"/>
          <w:color w:val="auto"/>
          <w:highlight w:val="none"/>
        </w:rPr>
        <w:t>四、签约合同价与合同价格形式</w:t>
      </w:r>
      <w:r>
        <w:rPr>
          <w:rFonts w:ascii="Times New Roman" w:hAnsi="Times New Roman" w:eastAsia="仿宋_GB2312" w:cs="Times New Roman"/>
          <w:color w:val="auto"/>
          <w:highlight w:val="none"/>
        </w:rPr>
        <w:fldChar w:fldCharType="end"/>
      </w:r>
    </w:p>
    <w:p w14:paraId="7517494C">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"_Toc17844" </w:instrText>
      </w:r>
      <w:r>
        <w:rPr>
          <w:color w:val="auto"/>
          <w:highlight w:val="none"/>
        </w:rPr>
        <w:fldChar w:fldCharType="separate"/>
      </w:r>
      <w:r>
        <w:rPr>
          <w:rFonts w:ascii="Times New Roman" w:hAnsi="Times New Roman" w:eastAsia="仿宋_GB2312" w:cs="Times New Roman"/>
          <w:color w:val="auto"/>
          <w:highlight w:val="none"/>
        </w:rPr>
        <w:t>五、工程款支付</w:t>
      </w:r>
      <w:r>
        <w:rPr>
          <w:rFonts w:ascii="Times New Roman" w:hAnsi="Times New Roman" w:eastAsia="仿宋_GB2312" w:cs="Times New Roman"/>
          <w:color w:val="auto"/>
          <w:highlight w:val="none"/>
        </w:rPr>
        <w:fldChar w:fldCharType="end"/>
      </w:r>
    </w:p>
    <w:p w14:paraId="1963F0FB">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"_Toc32758" </w:instrText>
      </w:r>
      <w:r>
        <w:rPr>
          <w:color w:val="auto"/>
          <w:highlight w:val="none"/>
        </w:rPr>
        <w:fldChar w:fldCharType="separate"/>
      </w:r>
      <w:r>
        <w:rPr>
          <w:rFonts w:ascii="Times New Roman" w:hAnsi="Times New Roman" w:eastAsia="仿宋_GB2312" w:cs="Times New Roman"/>
          <w:color w:val="auto"/>
          <w:highlight w:val="none"/>
        </w:rPr>
        <w:t>六、增值税条款</w:t>
      </w:r>
      <w:r>
        <w:rPr>
          <w:rFonts w:ascii="Times New Roman" w:hAnsi="Times New Roman" w:eastAsia="仿宋_GB2312" w:cs="Times New Roman"/>
          <w:color w:val="auto"/>
          <w:highlight w:val="none"/>
        </w:rPr>
        <w:fldChar w:fldCharType="end"/>
      </w:r>
    </w:p>
    <w:p w14:paraId="2A209724">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"_Toc30912" </w:instrText>
      </w:r>
      <w:r>
        <w:rPr>
          <w:color w:val="auto"/>
          <w:highlight w:val="none"/>
        </w:rPr>
        <w:fldChar w:fldCharType="separate"/>
      </w:r>
      <w:r>
        <w:rPr>
          <w:rFonts w:ascii="Times New Roman" w:hAnsi="Times New Roman" w:eastAsia="仿宋_GB2312" w:cs="Times New Roman"/>
          <w:color w:val="auto"/>
          <w:highlight w:val="none"/>
        </w:rPr>
        <w:t>七、材料供应</w:t>
      </w:r>
      <w:r>
        <w:rPr>
          <w:rFonts w:ascii="Times New Roman" w:hAnsi="Times New Roman" w:eastAsia="仿宋_GB2312" w:cs="Times New Roman"/>
          <w:color w:val="auto"/>
          <w:highlight w:val="none"/>
        </w:rPr>
        <w:fldChar w:fldCharType="end"/>
      </w:r>
    </w:p>
    <w:p w14:paraId="3F52FE45">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"_Toc3743" </w:instrText>
      </w:r>
      <w:r>
        <w:rPr>
          <w:color w:val="auto"/>
          <w:highlight w:val="none"/>
        </w:rPr>
        <w:fldChar w:fldCharType="separate"/>
      </w:r>
      <w:r>
        <w:rPr>
          <w:rFonts w:ascii="Times New Roman" w:hAnsi="Times New Roman" w:eastAsia="仿宋_GB2312" w:cs="Times New Roman"/>
          <w:color w:val="auto"/>
          <w:highlight w:val="none"/>
        </w:rPr>
        <w:t>八、各类机械及安全防护用品供应</w:t>
      </w:r>
      <w:r>
        <w:rPr>
          <w:rFonts w:ascii="Times New Roman" w:hAnsi="Times New Roman" w:eastAsia="仿宋_GB2312" w:cs="Times New Roman"/>
          <w:color w:val="auto"/>
          <w:highlight w:val="none"/>
        </w:rPr>
        <w:fldChar w:fldCharType="end"/>
      </w:r>
    </w:p>
    <w:p w14:paraId="6DF16DC3">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"_Toc10107" </w:instrText>
      </w:r>
      <w:r>
        <w:rPr>
          <w:color w:val="auto"/>
          <w:highlight w:val="none"/>
        </w:rPr>
        <w:fldChar w:fldCharType="separate"/>
      </w:r>
      <w:r>
        <w:rPr>
          <w:rFonts w:ascii="Times New Roman" w:hAnsi="Times New Roman" w:eastAsia="仿宋_GB2312" w:cs="Times New Roman"/>
          <w:color w:val="auto"/>
          <w:highlight w:val="none"/>
        </w:rPr>
        <w:t>九、甲乙方代表</w:t>
      </w:r>
      <w:r>
        <w:rPr>
          <w:rFonts w:ascii="Times New Roman" w:hAnsi="Times New Roman" w:eastAsia="仿宋_GB2312" w:cs="Times New Roman"/>
          <w:color w:val="auto"/>
          <w:highlight w:val="none"/>
        </w:rPr>
        <w:fldChar w:fldCharType="end"/>
      </w:r>
    </w:p>
    <w:p w14:paraId="620CC3BB">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"_Toc31726" </w:instrText>
      </w:r>
      <w:r>
        <w:rPr>
          <w:color w:val="auto"/>
          <w:highlight w:val="none"/>
        </w:rPr>
        <w:fldChar w:fldCharType="separate"/>
      </w:r>
      <w:r>
        <w:rPr>
          <w:rFonts w:ascii="Times New Roman" w:hAnsi="Times New Roman" w:eastAsia="仿宋_GB2312" w:cs="Times New Roman"/>
          <w:color w:val="auto"/>
          <w:highlight w:val="none"/>
        </w:rPr>
        <w:t>十、合同文件构成及解释顺序</w:t>
      </w:r>
      <w:r>
        <w:rPr>
          <w:rFonts w:ascii="Times New Roman" w:hAnsi="Times New Roman" w:eastAsia="仿宋_GB2312" w:cs="Times New Roman"/>
          <w:color w:val="auto"/>
          <w:highlight w:val="none"/>
        </w:rPr>
        <w:fldChar w:fldCharType="end"/>
      </w:r>
    </w:p>
    <w:p w14:paraId="1EBDBA5F">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"_Toc22067" </w:instrText>
      </w:r>
      <w:r>
        <w:rPr>
          <w:color w:val="auto"/>
          <w:highlight w:val="none"/>
        </w:rPr>
        <w:fldChar w:fldCharType="separate"/>
      </w:r>
      <w:r>
        <w:rPr>
          <w:rFonts w:ascii="Times New Roman" w:hAnsi="Times New Roman" w:eastAsia="仿宋_GB2312" w:cs="Times New Roman"/>
          <w:color w:val="auto"/>
          <w:highlight w:val="none"/>
        </w:rPr>
        <w:t>十一、乙方承诺</w:t>
      </w:r>
      <w:r>
        <w:rPr>
          <w:rFonts w:ascii="Times New Roman" w:hAnsi="Times New Roman" w:eastAsia="仿宋_GB2312" w:cs="Times New Roman"/>
          <w:color w:val="auto"/>
          <w:highlight w:val="none"/>
        </w:rPr>
        <w:fldChar w:fldCharType="end"/>
      </w:r>
    </w:p>
    <w:p w14:paraId="6FA39564">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"_Toc25205" </w:instrText>
      </w:r>
      <w:r>
        <w:rPr>
          <w:color w:val="auto"/>
          <w:highlight w:val="none"/>
        </w:rPr>
        <w:fldChar w:fldCharType="separate"/>
      </w:r>
      <w:r>
        <w:rPr>
          <w:rFonts w:ascii="Times New Roman" w:hAnsi="Times New Roman" w:eastAsia="仿宋_GB2312" w:cs="Times New Roman"/>
          <w:color w:val="auto"/>
          <w:highlight w:val="none"/>
        </w:rPr>
        <w:t>十二、工程保修缺陷责任</w:t>
      </w:r>
      <w:r>
        <w:rPr>
          <w:rFonts w:ascii="Times New Roman" w:hAnsi="Times New Roman" w:eastAsia="仿宋_GB2312" w:cs="Times New Roman"/>
          <w:color w:val="auto"/>
          <w:highlight w:val="none"/>
        </w:rPr>
        <w:fldChar w:fldCharType="end"/>
      </w:r>
    </w:p>
    <w:p w14:paraId="71A71715">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"_Toc18094" </w:instrText>
      </w:r>
      <w:r>
        <w:rPr>
          <w:color w:val="auto"/>
          <w:highlight w:val="none"/>
        </w:rPr>
        <w:fldChar w:fldCharType="separate"/>
      </w:r>
      <w:r>
        <w:rPr>
          <w:rFonts w:ascii="Times New Roman" w:hAnsi="Times New Roman" w:eastAsia="仿宋_GB2312" w:cs="Times New Roman"/>
          <w:color w:val="auto"/>
          <w:highlight w:val="none"/>
        </w:rPr>
        <w:t>十三、争议解决</w:t>
      </w:r>
      <w:r>
        <w:rPr>
          <w:rFonts w:ascii="Times New Roman" w:hAnsi="Times New Roman" w:eastAsia="仿宋_GB2312" w:cs="Times New Roman"/>
          <w:color w:val="auto"/>
          <w:highlight w:val="none"/>
        </w:rPr>
        <w:fldChar w:fldCharType="end"/>
      </w:r>
    </w:p>
    <w:p w14:paraId="322D8747">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"_Toc12410" </w:instrText>
      </w:r>
      <w:r>
        <w:rPr>
          <w:color w:val="auto"/>
          <w:highlight w:val="none"/>
        </w:rPr>
        <w:fldChar w:fldCharType="separate"/>
      </w:r>
      <w:r>
        <w:rPr>
          <w:rFonts w:ascii="Times New Roman" w:hAnsi="Times New Roman" w:eastAsia="仿宋_GB2312" w:cs="Times New Roman"/>
          <w:color w:val="auto"/>
          <w:highlight w:val="none"/>
        </w:rPr>
        <w:t>十四、附则</w:t>
      </w:r>
      <w:r>
        <w:rPr>
          <w:rFonts w:ascii="Times New Roman" w:hAnsi="Times New Roman" w:eastAsia="仿宋_GB2312" w:cs="Times New Roman"/>
          <w:color w:val="auto"/>
          <w:highlight w:val="none"/>
        </w:rPr>
        <w:fldChar w:fldCharType="end"/>
      </w:r>
    </w:p>
    <w:p w14:paraId="17AB7202">
      <w:pPr>
        <w:pStyle w:val="18"/>
        <w:shd w:val="clear"/>
        <w:tabs>
          <w:tab w:val="clear" w:pos="1890"/>
        </w:tabs>
        <w:spacing w:before="156" w:beforeLines="50" w:after="156" w:afterLines="50" w:line="360" w:lineRule="auto"/>
        <w:rPr>
          <w:rFonts w:ascii="Times New Roman" w:hAnsi="Times New Roman" w:eastAsia="仿宋_GB2312" w:cs="Times New Roman"/>
          <w:color w:val="auto"/>
          <w:sz w:val="28"/>
          <w:szCs w:val="28"/>
          <w:highlight w:val="none"/>
        </w:rPr>
      </w:pPr>
      <w:r>
        <w:rPr>
          <w:color w:val="auto"/>
          <w:highlight w:val="none"/>
        </w:rPr>
        <w:fldChar w:fldCharType="begin"/>
      </w:r>
      <w:r>
        <w:rPr>
          <w:color w:val="auto"/>
          <w:highlight w:val="none"/>
        </w:rPr>
        <w:instrText xml:space="preserve"> HYPERLINK \l "_Toc23392" </w:instrText>
      </w:r>
      <w:r>
        <w:rPr>
          <w:color w:val="auto"/>
          <w:highlight w:val="none"/>
        </w:rPr>
        <w:fldChar w:fldCharType="separate"/>
      </w:r>
      <w:r>
        <w:rPr>
          <w:rFonts w:ascii="Times New Roman" w:hAnsi="Times New Roman" w:eastAsia="仿宋_GB2312" w:cs="Times New Roman"/>
          <w:b/>
          <w:bCs/>
          <w:color w:val="auto"/>
          <w:sz w:val="28"/>
          <w:szCs w:val="28"/>
          <w:highlight w:val="none"/>
        </w:rPr>
        <w:t>第二部分  合同条款</w:t>
      </w:r>
      <w:r>
        <w:rPr>
          <w:rFonts w:ascii="Times New Roman" w:hAnsi="Times New Roman" w:eastAsia="仿宋_GB2312" w:cs="Times New Roman"/>
          <w:color w:val="auto"/>
          <w:sz w:val="28"/>
          <w:szCs w:val="28"/>
          <w:highlight w:val="none"/>
        </w:rPr>
        <w:fldChar w:fldCharType="end"/>
      </w:r>
    </w:p>
    <w:p w14:paraId="27416795">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"_Toc24255" </w:instrText>
      </w:r>
      <w:r>
        <w:rPr>
          <w:color w:val="auto"/>
          <w:highlight w:val="none"/>
        </w:rPr>
        <w:fldChar w:fldCharType="separate"/>
      </w:r>
      <w:r>
        <w:rPr>
          <w:rFonts w:ascii="Times New Roman" w:hAnsi="Times New Roman" w:eastAsia="仿宋_GB2312" w:cs="Times New Roman"/>
          <w:color w:val="auto"/>
          <w:highlight w:val="none"/>
        </w:rPr>
        <w:t>1. 一般约定</w:t>
      </w:r>
      <w:r>
        <w:rPr>
          <w:rFonts w:ascii="Times New Roman" w:hAnsi="Times New Roman" w:eastAsia="仿宋_GB2312" w:cs="Times New Roman"/>
          <w:color w:val="auto"/>
          <w:highlight w:val="none"/>
        </w:rPr>
        <w:fldChar w:fldCharType="end"/>
      </w:r>
    </w:p>
    <w:p w14:paraId="132F8318">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"_Toc20896" </w:instrText>
      </w:r>
      <w:r>
        <w:rPr>
          <w:color w:val="auto"/>
          <w:highlight w:val="none"/>
        </w:rPr>
        <w:fldChar w:fldCharType="separate"/>
      </w:r>
      <w:r>
        <w:rPr>
          <w:rFonts w:ascii="Times New Roman" w:hAnsi="Times New Roman" w:eastAsia="仿宋_GB2312" w:cs="Times New Roman"/>
          <w:color w:val="auto"/>
          <w:highlight w:val="none"/>
        </w:rPr>
        <w:t>2. 甲方</w:t>
      </w:r>
      <w:r>
        <w:rPr>
          <w:rFonts w:ascii="Times New Roman" w:hAnsi="Times New Roman" w:eastAsia="仿宋_GB2312" w:cs="Times New Roman"/>
          <w:color w:val="auto"/>
          <w:highlight w:val="none"/>
        </w:rPr>
        <w:fldChar w:fldCharType="end"/>
      </w:r>
    </w:p>
    <w:p w14:paraId="20C4D988">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"_Toc9842" </w:instrText>
      </w:r>
      <w:r>
        <w:rPr>
          <w:color w:val="auto"/>
          <w:highlight w:val="none"/>
        </w:rPr>
        <w:fldChar w:fldCharType="separate"/>
      </w:r>
      <w:r>
        <w:rPr>
          <w:rFonts w:ascii="Times New Roman" w:hAnsi="Times New Roman" w:eastAsia="仿宋_GB2312" w:cs="Times New Roman"/>
          <w:color w:val="auto"/>
          <w:highlight w:val="none"/>
        </w:rPr>
        <w:t>3. 乙方</w:t>
      </w:r>
      <w:r>
        <w:rPr>
          <w:rFonts w:ascii="Times New Roman" w:hAnsi="Times New Roman" w:eastAsia="仿宋_GB2312" w:cs="Times New Roman"/>
          <w:color w:val="auto"/>
          <w:highlight w:val="none"/>
        </w:rPr>
        <w:fldChar w:fldCharType="end"/>
      </w:r>
    </w:p>
    <w:p w14:paraId="3AD9F785">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"_Toc29262" </w:instrText>
      </w:r>
      <w:r>
        <w:rPr>
          <w:color w:val="auto"/>
          <w:highlight w:val="none"/>
        </w:rPr>
        <w:fldChar w:fldCharType="separate"/>
      </w:r>
      <w:r>
        <w:rPr>
          <w:rFonts w:ascii="Times New Roman" w:hAnsi="Times New Roman" w:eastAsia="仿宋_GB2312" w:cs="Times New Roman"/>
          <w:color w:val="auto"/>
          <w:highlight w:val="none"/>
        </w:rPr>
        <w:t>4. 分包作业人员</w:t>
      </w:r>
      <w:r>
        <w:rPr>
          <w:rFonts w:ascii="Times New Roman" w:hAnsi="Times New Roman" w:eastAsia="仿宋_GB2312" w:cs="Times New Roman"/>
          <w:color w:val="auto"/>
          <w:highlight w:val="none"/>
        </w:rPr>
        <w:fldChar w:fldCharType="end"/>
      </w:r>
    </w:p>
    <w:p w14:paraId="56F97D3C">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"_Toc30645" </w:instrText>
      </w:r>
      <w:r>
        <w:rPr>
          <w:color w:val="auto"/>
          <w:highlight w:val="none"/>
        </w:rPr>
        <w:fldChar w:fldCharType="separate"/>
      </w:r>
      <w:r>
        <w:rPr>
          <w:rFonts w:ascii="Times New Roman" w:hAnsi="Times New Roman" w:eastAsia="仿宋_GB2312" w:cs="Times New Roman"/>
          <w:color w:val="auto"/>
          <w:highlight w:val="none"/>
        </w:rPr>
        <w:t>5. 作业安全与环境保护</w:t>
      </w:r>
      <w:r>
        <w:rPr>
          <w:rFonts w:ascii="Times New Roman" w:hAnsi="Times New Roman" w:eastAsia="仿宋_GB2312" w:cs="Times New Roman"/>
          <w:color w:val="auto"/>
          <w:highlight w:val="none"/>
        </w:rPr>
        <w:fldChar w:fldCharType="end"/>
      </w:r>
    </w:p>
    <w:p w14:paraId="3C46516C">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"_Toc5308" </w:instrText>
      </w:r>
      <w:r>
        <w:rPr>
          <w:color w:val="auto"/>
          <w:highlight w:val="none"/>
        </w:rPr>
        <w:fldChar w:fldCharType="separate"/>
      </w:r>
      <w:r>
        <w:rPr>
          <w:rFonts w:ascii="Times New Roman" w:hAnsi="Times New Roman" w:eastAsia="仿宋_GB2312" w:cs="Times New Roman"/>
          <w:color w:val="auto"/>
          <w:highlight w:val="none"/>
        </w:rPr>
        <w:t>6. 作业期限及进度</w:t>
      </w:r>
      <w:r>
        <w:rPr>
          <w:rFonts w:ascii="Times New Roman" w:hAnsi="Times New Roman" w:eastAsia="仿宋_GB2312" w:cs="Times New Roman"/>
          <w:color w:val="auto"/>
          <w:highlight w:val="none"/>
        </w:rPr>
        <w:fldChar w:fldCharType="end"/>
      </w:r>
    </w:p>
    <w:p w14:paraId="70AE61EA">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"_Toc15716" </w:instrText>
      </w:r>
      <w:r>
        <w:rPr>
          <w:color w:val="auto"/>
          <w:highlight w:val="none"/>
        </w:rPr>
        <w:fldChar w:fldCharType="separate"/>
      </w:r>
      <w:r>
        <w:rPr>
          <w:rFonts w:ascii="Times New Roman" w:hAnsi="Times New Roman" w:eastAsia="仿宋_GB2312" w:cs="Times New Roman"/>
          <w:color w:val="auto"/>
          <w:highlight w:val="none"/>
        </w:rPr>
        <w:t>7. 机具、设备及材料供应</w:t>
      </w:r>
      <w:r>
        <w:rPr>
          <w:rFonts w:ascii="Times New Roman" w:hAnsi="Times New Roman" w:eastAsia="仿宋_GB2312" w:cs="Times New Roman"/>
          <w:color w:val="auto"/>
          <w:highlight w:val="none"/>
        </w:rPr>
        <w:fldChar w:fldCharType="end"/>
      </w:r>
    </w:p>
    <w:p w14:paraId="6CEF4B5C">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"_Toc28129" </w:instrText>
      </w:r>
      <w:r>
        <w:rPr>
          <w:color w:val="auto"/>
          <w:highlight w:val="none"/>
        </w:rPr>
        <w:fldChar w:fldCharType="separate"/>
      </w:r>
      <w:r>
        <w:rPr>
          <w:rFonts w:ascii="Times New Roman" w:hAnsi="Times New Roman" w:eastAsia="仿宋_GB2312" w:cs="Times New Roman"/>
          <w:color w:val="auto"/>
          <w:highlight w:val="none"/>
        </w:rPr>
        <w:t>8. 分包作业变化</w:t>
      </w:r>
      <w:r>
        <w:rPr>
          <w:rFonts w:ascii="Times New Roman" w:hAnsi="Times New Roman" w:eastAsia="仿宋_GB2312" w:cs="Times New Roman"/>
          <w:color w:val="auto"/>
          <w:highlight w:val="none"/>
        </w:rPr>
        <w:fldChar w:fldCharType="end"/>
      </w:r>
    </w:p>
    <w:p w14:paraId="332B0448">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"_Toc8190" </w:instrText>
      </w:r>
      <w:r>
        <w:rPr>
          <w:color w:val="auto"/>
          <w:highlight w:val="none"/>
        </w:rPr>
        <w:fldChar w:fldCharType="separate"/>
      </w:r>
      <w:r>
        <w:rPr>
          <w:rFonts w:ascii="Times New Roman" w:hAnsi="Times New Roman" w:eastAsia="仿宋_GB2312" w:cs="Times New Roman"/>
          <w:color w:val="auto"/>
          <w:highlight w:val="none"/>
        </w:rPr>
        <w:t>9. 分包作业价格调整</w:t>
      </w:r>
      <w:r>
        <w:rPr>
          <w:rFonts w:ascii="Times New Roman" w:hAnsi="Times New Roman" w:eastAsia="仿宋_GB2312" w:cs="Times New Roman"/>
          <w:color w:val="auto"/>
          <w:highlight w:val="none"/>
        </w:rPr>
        <w:fldChar w:fldCharType="end"/>
      </w:r>
    </w:p>
    <w:p w14:paraId="144FFB60">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"_Toc13850" </w:instrText>
      </w:r>
      <w:r>
        <w:rPr>
          <w:color w:val="auto"/>
          <w:highlight w:val="none"/>
        </w:rPr>
        <w:fldChar w:fldCharType="separate"/>
      </w:r>
      <w:r>
        <w:rPr>
          <w:rFonts w:ascii="Times New Roman" w:hAnsi="Times New Roman" w:eastAsia="仿宋_GB2312" w:cs="Times New Roman"/>
          <w:color w:val="auto"/>
          <w:highlight w:val="none"/>
        </w:rPr>
        <w:t>10. 合同价格形式</w:t>
      </w:r>
      <w:r>
        <w:rPr>
          <w:rFonts w:ascii="Times New Roman" w:hAnsi="Times New Roman" w:eastAsia="仿宋_GB2312" w:cs="Times New Roman"/>
          <w:color w:val="auto"/>
          <w:highlight w:val="none"/>
        </w:rPr>
        <w:fldChar w:fldCharType="end"/>
      </w:r>
    </w:p>
    <w:p w14:paraId="5B6B54B6">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"_Toc18652" </w:instrText>
      </w:r>
      <w:r>
        <w:rPr>
          <w:color w:val="auto"/>
          <w:highlight w:val="none"/>
        </w:rPr>
        <w:fldChar w:fldCharType="separate"/>
      </w:r>
      <w:r>
        <w:rPr>
          <w:rFonts w:ascii="Times New Roman" w:hAnsi="Times New Roman" w:eastAsia="仿宋_GB2312" w:cs="Times New Roman"/>
          <w:color w:val="auto"/>
          <w:highlight w:val="none"/>
        </w:rPr>
        <w:t>11. 分包作业计量与支付</w:t>
      </w:r>
      <w:r>
        <w:rPr>
          <w:rFonts w:ascii="Times New Roman" w:hAnsi="Times New Roman" w:eastAsia="仿宋_GB2312" w:cs="Times New Roman"/>
          <w:color w:val="auto"/>
          <w:highlight w:val="none"/>
        </w:rPr>
        <w:fldChar w:fldCharType="end"/>
      </w:r>
    </w:p>
    <w:p w14:paraId="3F9DA4DB">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"_Toc16905" </w:instrText>
      </w:r>
      <w:r>
        <w:rPr>
          <w:color w:val="auto"/>
          <w:highlight w:val="none"/>
        </w:rPr>
        <w:fldChar w:fldCharType="separate"/>
      </w:r>
      <w:r>
        <w:rPr>
          <w:rFonts w:ascii="Times New Roman" w:hAnsi="Times New Roman" w:eastAsia="仿宋_GB2312" w:cs="Times New Roman"/>
          <w:color w:val="auto"/>
          <w:highlight w:val="none"/>
        </w:rPr>
        <w:t>12. 验收与交付</w:t>
      </w:r>
      <w:r>
        <w:rPr>
          <w:rFonts w:ascii="Times New Roman" w:hAnsi="Times New Roman" w:eastAsia="仿宋_GB2312" w:cs="Times New Roman"/>
          <w:color w:val="auto"/>
          <w:highlight w:val="none"/>
        </w:rPr>
        <w:fldChar w:fldCharType="end"/>
      </w:r>
    </w:p>
    <w:p w14:paraId="1DCA3E20">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"_Toc28697" </w:instrText>
      </w:r>
      <w:r>
        <w:rPr>
          <w:color w:val="auto"/>
          <w:highlight w:val="none"/>
        </w:rPr>
        <w:fldChar w:fldCharType="separate"/>
      </w:r>
      <w:r>
        <w:rPr>
          <w:rFonts w:ascii="Times New Roman" w:hAnsi="Times New Roman" w:eastAsia="仿宋_GB2312" w:cs="Times New Roman"/>
          <w:color w:val="auto"/>
          <w:highlight w:val="none"/>
        </w:rPr>
        <w:t>13. 分包作业结算与支付</w:t>
      </w:r>
      <w:r>
        <w:rPr>
          <w:rFonts w:ascii="Times New Roman" w:hAnsi="Times New Roman" w:eastAsia="仿宋_GB2312" w:cs="Times New Roman"/>
          <w:color w:val="auto"/>
          <w:highlight w:val="none"/>
        </w:rPr>
        <w:fldChar w:fldCharType="end"/>
      </w:r>
    </w:p>
    <w:p w14:paraId="72BE1FEC">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"_Toc20304" </w:instrText>
      </w:r>
      <w:r>
        <w:rPr>
          <w:color w:val="auto"/>
          <w:highlight w:val="none"/>
        </w:rPr>
        <w:fldChar w:fldCharType="separate"/>
      </w:r>
      <w:r>
        <w:rPr>
          <w:rFonts w:ascii="Times New Roman" w:hAnsi="Times New Roman" w:eastAsia="仿宋_GB2312" w:cs="Times New Roman"/>
          <w:color w:val="auto"/>
          <w:highlight w:val="none"/>
        </w:rPr>
        <w:t>14. 违约</w:t>
      </w:r>
      <w:r>
        <w:rPr>
          <w:rFonts w:ascii="Times New Roman" w:hAnsi="Times New Roman" w:eastAsia="仿宋_GB2312" w:cs="Times New Roman"/>
          <w:color w:val="auto"/>
          <w:highlight w:val="none"/>
        </w:rPr>
        <w:fldChar w:fldCharType="end"/>
      </w:r>
    </w:p>
    <w:p w14:paraId="02DB99D3">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"_Toc4834" </w:instrText>
      </w:r>
      <w:r>
        <w:rPr>
          <w:color w:val="auto"/>
          <w:highlight w:val="none"/>
        </w:rPr>
        <w:fldChar w:fldCharType="separate"/>
      </w:r>
      <w:r>
        <w:rPr>
          <w:rFonts w:ascii="Times New Roman" w:hAnsi="Times New Roman" w:eastAsia="仿宋_GB2312" w:cs="Times New Roman"/>
          <w:color w:val="auto"/>
          <w:highlight w:val="none"/>
        </w:rPr>
        <w:t>15. 不可抗力</w:t>
      </w:r>
      <w:r>
        <w:rPr>
          <w:rFonts w:ascii="Times New Roman" w:hAnsi="Times New Roman" w:eastAsia="仿宋_GB2312" w:cs="Times New Roman"/>
          <w:color w:val="auto"/>
          <w:highlight w:val="none"/>
        </w:rPr>
        <w:fldChar w:fldCharType="end"/>
      </w:r>
    </w:p>
    <w:p w14:paraId="3DA8D525">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"_Toc3129" </w:instrText>
      </w:r>
      <w:r>
        <w:rPr>
          <w:color w:val="auto"/>
          <w:highlight w:val="none"/>
        </w:rPr>
        <w:fldChar w:fldCharType="separate"/>
      </w:r>
      <w:r>
        <w:rPr>
          <w:rFonts w:ascii="Times New Roman" w:hAnsi="Times New Roman" w:eastAsia="仿宋_GB2312" w:cs="Times New Roman"/>
          <w:color w:val="auto"/>
          <w:highlight w:val="none"/>
        </w:rPr>
        <w:t>16. 保险</w:t>
      </w:r>
      <w:r>
        <w:rPr>
          <w:rFonts w:ascii="Times New Roman" w:hAnsi="Times New Roman" w:eastAsia="仿宋_GB2312" w:cs="Times New Roman"/>
          <w:color w:val="auto"/>
          <w:highlight w:val="none"/>
        </w:rPr>
        <w:fldChar w:fldCharType="end"/>
      </w:r>
    </w:p>
    <w:p w14:paraId="1105CDB4">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"_Toc23805" </w:instrText>
      </w:r>
      <w:r>
        <w:rPr>
          <w:color w:val="auto"/>
          <w:highlight w:val="none"/>
        </w:rPr>
        <w:fldChar w:fldCharType="separate"/>
      </w:r>
      <w:r>
        <w:rPr>
          <w:rFonts w:ascii="Times New Roman" w:hAnsi="Times New Roman" w:eastAsia="仿宋_GB2312" w:cs="Times New Roman"/>
          <w:color w:val="auto"/>
          <w:highlight w:val="none"/>
        </w:rPr>
        <w:t>17. 配合索赔</w:t>
      </w:r>
      <w:r>
        <w:rPr>
          <w:rFonts w:ascii="Times New Roman" w:hAnsi="Times New Roman" w:eastAsia="仿宋_GB2312" w:cs="Times New Roman"/>
          <w:color w:val="auto"/>
          <w:highlight w:val="none"/>
        </w:rPr>
        <w:fldChar w:fldCharType="end"/>
      </w:r>
    </w:p>
    <w:p w14:paraId="26B13408">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"_Toc22923" </w:instrText>
      </w:r>
      <w:r>
        <w:rPr>
          <w:color w:val="auto"/>
          <w:highlight w:val="none"/>
        </w:rPr>
        <w:fldChar w:fldCharType="separate"/>
      </w:r>
      <w:r>
        <w:rPr>
          <w:rFonts w:ascii="Times New Roman" w:hAnsi="Times New Roman" w:eastAsia="仿宋_GB2312" w:cs="Times New Roman"/>
          <w:color w:val="auto"/>
          <w:highlight w:val="none"/>
        </w:rPr>
        <w:t>18. 合同解除</w:t>
      </w:r>
      <w:r>
        <w:rPr>
          <w:rFonts w:ascii="Times New Roman" w:hAnsi="Times New Roman" w:eastAsia="仿宋_GB2312" w:cs="Times New Roman"/>
          <w:color w:val="auto"/>
          <w:highlight w:val="none"/>
        </w:rPr>
        <w:fldChar w:fldCharType="end"/>
      </w:r>
    </w:p>
    <w:p w14:paraId="7725CEE0">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"_Toc26565" </w:instrText>
      </w:r>
      <w:r>
        <w:rPr>
          <w:color w:val="auto"/>
          <w:highlight w:val="none"/>
        </w:rPr>
        <w:fldChar w:fldCharType="separate"/>
      </w:r>
      <w:r>
        <w:rPr>
          <w:rFonts w:ascii="Times New Roman" w:hAnsi="Times New Roman" w:eastAsia="仿宋_GB2312" w:cs="Times New Roman"/>
          <w:color w:val="auto"/>
          <w:highlight w:val="none"/>
        </w:rPr>
        <w:t>19. 知识产权</w:t>
      </w:r>
      <w:r>
        <w:rPr>
          <w:rFonts w:ascii="Times New Roman" w:hAnsi="Times New Roman" w:eastAsia="仿宋_GB2312" w:cs="Times New Roman"/>
          <w:color w:val="auto"/>
          <w:highlight w:val="none"/>
        </w:rPr>
        <w:fldChar w:fldCharType="end"/>
      </w:r>
    </w:p>
    <w:p w14:paraId="007E5B85">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"_Toc27" </w:instrText>
      </w:r>
      <w:r>
        <w:rPr>
          <w:color w:val="auto"/>
          <w:highlight w:val="none"/>
        </w:rPr>
        <w:fldChar w:fldCharType="separate"/>
      </w:r>
      <w:r>
        <w:rPr>
          <w:rFonts w:ascii="Times New Roman" w:hAnsi="Times New Roman" w:eastAsia="仿宋_GB2312" w:cs="Times New Roman"/>
          <w:color w:val="auto"/>
          <w:highlight w:val="none"/>
        </w:rPr>
        <w:t>20. 其他约定</w:t>
      </w:r>
      <w:r>
        <w:rPr>
          <w:rFonts w:ascii="Times New Roman" w:hAnsi="Times New Roman" w:eastAsia="仿宋_GB2312" w:cs="Times New Roman"/>
          <w:color w:val="auto"/>
          <w:highlight w:val="none"/>
        </w:rPr>
        <w:fldChar w:fldCharType="end"/>
      </w:r>
    </w:p>
    <w:p w14:paraId="0A899F6A">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"_Toc16892" </w:instrText>
      </w:r>
      <w:r>
        <w:rPr>
          <w:color w:val="auto"/>
          <w:highlight w:val="none"/>
        </w:rPr>
        <w:fldChar w:fldCharType="separate"/>
      </w:r>
      <w:r>
        <w:rPr>
          <w:rFonts w:ascii="Times New Roman" w:hAnsi="Times New Roman" w:eastAsia="仿宋_GB2312" w:cs="Times New Roman"/>
          <w:color w:val="auto"/>
          <w:highlight w:val="none"/>
        </w:rPr>
        <w:t>附件1  工程量清单</w:t>
      </w:r>
      <w:r>
        <w:rPr>
          <w:rFonts w:hint="eastAsia" w:ascii="Times New Roman" w:hAnsi="Times New Roman" w:eastAsia="仿宋_GB2312" w:cs="Times New Roman"/>
          <w:color w:val="auto"/>
          <w:highlight w:val="none"/>
        </w:rPr>
        <w:t>与计价</w:t>
      </w:r>
      <w:r>
        <w:rPr>
          <w:rFonts w:ascii="Times New Roman" w:hAnsi="Times New Roman" w:eastAsia="仿宋_GB2312" w:cs="Times New Roman"/>
          <w:color w:val="auto"/>
          <w:highlight w:val="none"/>
        </w:rPr>
        <w:t>表</w:t>
      </w:r>
      <w:r>
        <w:rPr>
          <w:rFonts w:ascii="Times New Roman" w:hAnsi="Times New Roman" w:eastAsia="仿宋_GB2312" w:cs="Times New Roman"/>
          <w:color w:val="auto"/>
          <w:highlight w:val="none"/>
        </w:rPr>
        <w:fldChar w:fldCharType="end"/>
      </w:r>
    </w:p>
    <w:p w14:paraId="5CB54B6C">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"_Toc8158" </w:instrText>
      </w:r>
      <w:r>
        <w:rPr>
          <w:color w:val="auto"/>
          <w:highlight w:val="none"/>
        </w:rPr>
        <w:fldChar w:fldCharType="separate"/>
      </w:r>
      <w:r>
        <w:rPr>
          <w:rFonts w:ascii="Times New Roman" w:hAnsi="Times New Roman" w:eastAsia="仿宋_GB2312" w:cs="Times New Roman"/>
          <w:color w:val="auto"/>
          <w:highlight w:val="none"/>
        </w:rPr>
        <w:t>附件2  授 权 委 托 书（甲方）</w:t>
      </w:r>
      <w:r>
        <w:rPr>
          <w:rFonts w:ascii="Times New Roman" w:hAnsi="Times New Roman" w:eastAsia="仿宋_GB2312" w:cs="Times New Roman"/>
          <w:color w:val="auto"/>
          <w:highlight w:val="none"/>
        </w:rPr>
        <w:fldChar w:fldCharType="end"/>
      </w:r>
    </w:p>
    <w:p w14:paraId="321B5021">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"_Toc3863" </w:instrText>
      </w:r>
      <w:r>
        <w:rPr>
          <w:color w:val="auto"/>
          <w:highlight w:val="none"/>
        </w:rPr>
        <w:fldChar w:fldCharType="separate"/>
      </w:r>
      <w:r>
        <w:rPr>
          <w:rFonts w:ascii="Times New Roman" w:hAnsi="Times New Roman" w:eastAsia="仿宋_GB2312" w:cs="Times New Roman"/>
          <w:color w:val="auto"/>
          <w:highlight w:val="none"/>
        </w:rPr>
        <w:t>附件3  授 权 委 托 书（乙方）</w:t>
      </w:r>
      <w:r>
        <w:rPr>
          <w:rFonts w:ascii="Times New Roman" w:hAnsi="Times New Roman" w:eastAsia="仿宋_GB2312" w:cs="Times New Roman"/>
          <w:color w:val="auto"/>
          <w:highlight w:val="none"/>
        </w:rPr>
        <w:fldChar w:fldCharType="end"/>
      </w:r>
    </w:p>
    <w:p w14:paraId="5CDDD4B5">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"_Toc3202" </w:instrText>
      </w:r>
      <w:r>
        <w:rPr>
          <w:color w:val="auto"/>
          <w:highlight w:val="none"/>
        </w:rPr>
        <w:fldChar w:fldCharType="separate"/>
      </w:r>
      <w:r>
        <w:rPr>
          <w:rFonts w:ascii="Times New Roman" w:hAnsi="Times New Roman" w:eastAsia="仿宋_GB2312" w:cs="Times New Roman"/>
          <w:color w:val="auto"/>
          <w:highlight w:val="none"/>
        </w:rPr>
        <w:t>附件4  乙方现场管理人员名单</w:t>
      </w:r>
      <w:r>
        <w:rPr>
          <w:rFonts w:ascii="Times New Roman" w:hAnsi="Times New Roman" w:eastAsia="仿宋_GB2312" w:cs="Times New Roman"/>
          <w:color w:val="auto"/>
          <w:highlight w:val="none"/>
        </w:rPr>
        <w:fldChar w:fldCharType="end"/>
      </w:r>
    </w:p>
    <w:p w14:paraId="453611F9">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"_Toc16877" </w:instrText>
      </w:r>
      <w:r>
        <w:rPr>
          <w:color w:val="auto"/>
          <w:highlight w:val="none"/>
        </w:rPr>
        <w:fldChar w:fldCharType="separate"/>
      </w:r>
      <w:r>
        <w:rPr>
          <w:rFonts w:ascii="Times New Roman" w:hAnsi="Times New Roman" w:eastAsia="仿宋_GB2312" w:cs="Times New Roman"/>
          <w:color w:val="auto"/>
          <w:highlight w:val="none"/>
        </w:rPr>
        <w:t>附件5  工程承包人供应材料与设备明细表</w:t>
      </w:r>
      <w:r>
        <w:rPr>
          <w:rFonts w:ascii="Times New Roman" w:hAnsi="Times New Roman" w:eastAsia="仿宋_GB2312" w:cs="Times New Roman"/>
          <w:color w:val="auto"/>
          <w:highlight w:val="none"/>
        </w:rPr>
        <w:fldChar w:fldCharType="end"/>
      </w:r>
    </w:p>
    <w:p w14:paraId="465C5EB7">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"_Toc11225" </w:instrText>
      </w:r>
      <w:r>
        <w:rPr>
          <w:color w:val="auto"/>
          <w:highlight w:val="none"/>
        </w:rPr>
        <w:fldChar w:fldCharType="separate"/>
      </w:r>
      <w:r>
        <w:rPr>
          <w:rFonts w:ascii="Times New Roman" w:hAnsi="Times New Roman" w:eastAsia="仿宋_GB2312" w:cs="Times New Roman"/>
          <w:color w:val="auto"/>
          <w:highlight w:val="none"/>
        </w:rPr>
        <w:t>附件6  项目廉政合同书</w:t>
      </w:r>
      <w:r>
        <w:rPr>
          <w:rFonts w:ascii="Times New Roman" w:hAnsi="Times New Roman" w:eastAsia="仿宋_GB2312" w:cs="Times New Roman"/>
          <w:color w:val="auto"/>
          <w:highlight w:val="none"/>
        </w:rPr>
        <w:fldChar w:fldCharType="end"/>
      </w:r>
    </w:p>
    <w:p w14:paraId="60AA637A">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"_Toc22009" </w:instrText>
      </w:r>
      <w:r>
        <w:rPr>
          <w:color w:val="auto"/>
          <w:highlight w:val="none"/>
        </w:rPr>
        <w:fldChar w:fldCharType="separate"/>
      </w:r>
      <w:r>
        <w:rPr>
          <w:rFonts w:ascii="Times New Roman" w:hAnsi="Times New Roman" w:eastAsia="仿宋_GB2312" w:cs="Times New Roman"/>
          <w:color w:val="auto"/>
          <w:highlight w:val="none"/>
        </w:rPr>
        <w:t>附件7  工程质量专项管理协议书</w:t>
      </w:r>
      <w:r>
        <w:rPr>
          <w:rFonts w:ascii="Times New Roman" w:hAnsi="Times New Roman" w:eastAsia="仿宋_GB2312" w:cs="Times New Roman"/>
          <w:color w:val="auto"/>
          <w:highlight w:val="none"/>
        </w:rPr>
        <w:fldChar w:fldCharType="end"/>
      </w:r>
    </w:p>
    <w:p w14:paraId="03B726BA">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"_Toc19616" </w:instrText>
      </w:r>
      <w:r>
        <w:rPr>
          <w:color w:val="auto"/>
          <w:highlight w:val="none"/>
        </w:rPr>
        <w:fldChar w:fldCharType="separate"/>
      </w:r>
      <w:r>
        <w:rPr>
          <w:rFonts w:ascii="Times New Roman" w:hAnsi="Times New Roman" w:eastAsia="仿宋_GB2312" w:cs="Times New Roman"/>
          <w:color w:val="auto"/>
          <w:highlight w:val="none"/>
        </w:rPr>
        <w:t>附件8  施工现场安全生产管理协议</w:t>
      </w:r>
      <w:r>
        <w:rPr>
          <w:rFonts w:ascii="Times New Roman" w:hAnsi="Times New Roman" w:eastAsia="仿宋_GB2312" w:cs="Times New Roman"/>
          <w:color w:val="auto"/>
          <w:highlight w:val="none"/>
        </w:rPr>
        <w:fldChar w:fldCharType="end"/>
      </w:r>
    </w:p>
    <w:p w14:paraId="24555429">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"_Toc17290" </w:instrText>
      </w:r>
      <w:r>
        <w:rPr>
          <w:color w:val="auto"/>
          <w:highlight w:val="none"/>
        </w:rPr>
        <w:fldChar w:fldCharType="separate"/>
      </w:r>
      <w:r>
        <w:rPr>
          <w:rFonts w:ascii="Times New Roman" w:hAnsi="Times New Roman" w:eastAsia="仿宋_GB2312" w:cs="Times New Roman"/>
          <w:color w:val="auto"/>
          <w:highlight w:val="none"/>
        </w:rPr>
        <w:t xml:space="preserve">附件9  </w:t>
      </w:r>
      <w:r>
        <w:rPr>
          <w:rFonts w:hint="eastAsia" w:ascii="Times New Roman" w:hAnsi="Times New Roman" w:eastAsia="仿宋_GB2312" w:cs="Times New Roman"/>
          <w:color w:val="auto"/>
          <w:highlight w:val="none"/>
          <w:lang w:val="en-US" w:eastAsia="zh-CN"/>
        </w:rPr>
        <w:t>工程</w:t>
      </w:r>
      <w:r>
        <w:rPr>
          <w:rFonts w:ascii="Times New Roman" w:hAnsi="Times New Roman" w:eastAsia="仿宋_GB2312" w:cs="Times New Roman"/>
          <w:color w:val="auto"/>
          <w:highlight w:val="none"/>
        </w:rPr>
        <w:t>质量保</w:t>
      </w:r>
      <w:r>
        <w:rPr>
          <w:rFonts w:hint="eastAsia" w:ascii="Times New Roman" w:hAnsi="Times New Roman" w:eastAsia="仿宋_GB2312" w:cs="Times New Roman"/>
          <w:color w:val="auto"/>
          <w:highlight w:val="none"/>
          <w:lang w:val="en-US" w:eastAsia="zh-CN"/>
        </w:rPr>
        <w:t>证</w:t>
      </w:r>
      <w:r>
        <w:rPr>
          <w:rFonts w:ascii="Times New Roman" w:hAnsi="Times New Roman" w:eastAsia="仿宋_GB2312" w:cs="Times New Roman"/>
          <w:color w:val="auto"/>
          <w:highlight w:val="none"/>
        </w:rPr>
        <w:t>书</w:t>
      </w:r>
      <w:r>
        <w:rPr>
          <w:rFonts w:ascii="Times New Roman" w:hAnsi="Times New Roman" w:eastAsia="仿宋_GB2312" w:cs="Times New Roman"/>
          <w:color w:val="auto"/>
          <w:highlight w:val="none"/>
        </w:rPr>
        <w:fldChar w:fldCharType="end"/>
      </w:r>
    </w:p>
    <w:p w14:paraId="2FEBFD42">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"_Toc24670" </w:instrText>
      </w:r>
      <w:r>
        <w:rPr>
          <w:color w:val="auto"/>
          <w:highlight w:val="none"/>
        </w:rPr>
        <w:fldChar w:fldCharType="separate"/>
      </w:r>
      <w:r>
        <w:rPr>
          <w:rFonts w:ascii="Times New Roman" w:hAnsi="Times New Roman" w:eastAsia="仿宋_GB2312" w:cs="Times New Roman"/>
          <w:color w:val="auto"/>
          <w:highlight w:val="none"/>
        </w:rPr>
        <w:t xml:space="preserve">附件10  </w:t>
      </w:r>
      <w:r>
        <w:rPr>
          <w:rFonts w:hint="eastAsia" w:ascii="仿宋_GB2312" w:hAnsi="仿宋_GB2312" w:eastAsia="仿宋_GB2312" w:cs="仿宋_GB2312"/>
          <w:color w:val="auto"/>
          <w:sz w:val="24"/>
          <w:szCs w:val="24"/>
          <w:highlight w:val="none"/>
        </w:rPr>
        <w:t>工期履约管理协议书</w:t>
      </w:r>
      <w:r>
        <w:rPr>
          <w:rFonts w:ascii="Times New Roman" w:hAnsi="Times New Roman" w:eastAsia="仿宋_GB2312" w:cs="Times New Roman"/>
          <w:color w:val="auto"/>
          <w:highlight w:val="none"/>
        </w:rPr>
        <w:fldChar w:fldCharType="end"/>
      </w:r>
    </w:p>
    <w:p w14:paraId="0B5F8DB8">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"_Toc3737" </w:instrText>
      </w:r>
      <w:r>
        <w:rPr>
          <w:color w:val="auto"/>
          <w:highlight w:val="none"/>
        </w:rPr>
        <w:fldChar w:fldCharType="separate"/>
      </w:r>
      <w:r>
        <w:rPr>
          <w:rFonts w:ascii="Times New Roman" w:hAnsi="Times New Roman" w:eastAsia="仿宋_GB2312" w:cs="Times New Roman"/>
          <w:color w:val="auto"/>
          <w:highlight w:val="none"/>
        </w:rPr>
        <w:t xml:space="preserve">附件11  </w:t>
      </w:r>
      <w:r>
        <w:rPr>
          <w:rFonts w:hint="eastAsia" w:ascii="仿宋_GB2312" w:hAnsi="仿宋_GB2312" w:eastAsia="仿宋_GB2312" w:cs="仿宋_GB2312"/>
          <w:color w:val="auto"/>
          <w:sz w:val="24"/>
          <w:szCs w:val="24"/>
          <w:highlight w:val="none"/>
        </w:rPr>
        <w:t>劳务实名制管理协议</w:t>
      </w:r>
      <w:r>
        <w:rPr>
          <w:rFonts w:ascii="Times New Roman" w:hAnsi="Times New Roman" w:eastAsia="仿宋_GB2312" w:cs="Times New Roman"/>
          <w:color w:val="auto"/>
          <w:highlight w:val="none"/>
        </w:rPr>
        <w:fldChar w:fldCharType="end"/>
      </w:r>
    </w:p>
    <w:p w14:paraId="6BCC7CEB">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"_Toc6521" </w:instrText>
      </w:r>
      <w:r>
        <w:rPr>
          <w:color w:val="auto"/>
          <w:highlight w:val="none"/>
        </w:rPr>
        <w:fldChar w:fldCharType="separate"/>
      </w:r>
      <w:r>
        <w:rPr>
          <w:rFonts w:ascii="Times New Roman" w:hAnsi="Times New Roman" w:eastAsia="仿宋_GB2312" w:cs="Times New Roman"/>
          <w:color w:val="auto"/>
          <w:highlight w:val="none"/>
        </w:rPr>
        <w:t>附件12  施工现场消防安全管理协议</w:t>
      </w:r>
      <w:r>
        <w:rPr>
          <w:rFonts w:ascii="Times New Roman" w:hAnsi="Times New Roman" w:eastAsia="仿宋_GB2312" w:cs="Times New Roman"/>
          <w:color w:val="auto"/>
          <w:highlight w:val="none"/>
        </w:rPr>
        <w:fldChar w:fldCharType="end"/>
      </w:r>
    </w:p>
    <w:p w14:paraId="1EE1429A">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"_Toc3351" </w:instrText>
      </w:r>
      <w:r>
        <w:rPr>
          <w:color w:val="auto"/>
          <w:highlight w:val="none"/>
        </w:rPr>
        <w:fldChar w:fldCharType="separate"/>
      </w:r>
      <w:r>
        <w:rPr>
          <w:rFonts w:ascii="Times New Roman" w:hAnsi="Times New Roman" w:eastAsia="仿宋_GB2312" w:cs="Times New Roman"/>
          <w:color w:val="auto"/>
          <w:highlight w:val="none"/>
        </w:rPr>
        <w:t>附件13  施工现场临时用电安全管理协议</w:t>
      </w:r>
      <w:r>
        <w:rPr>
          <w:rFonts w:ascii="Times New Roman" w:hAnsi="Times New Roman" w:eastAsia="仿宋_GB2312" w:cs="Times New Roman"/>
          <w:color w:val="auto"/>
          <w:highlight w:val="none"/>
        </w:rPr>
        <w:fldChar w:fldCharType="end"/>
      </w:r>
    </w:p>
    <w:p w14:paraId="42C4D1E8">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"_Toc14000" </w:instrText>
      </w:r>
      <w:r>
        <w:rPr>
          <w:color w:val="auto"/>
          <w:highlight w:val="none"/>
        </w:rPr>
        <w:fldChar w:fldCharType="separate"/>
      </w:r>
      <w:r>
        <w:rPr>
          <w:rFonts w:ascii="Times New Roman" w:hAnsi="Times New Roman" w:eastAsia="仿宋_GB2312" w:cs="Times New Roman"/>
          <w:color w:val="auto"/>
          <w:highlight w:val="none"/>
        </w:rPr>
        <w:t xml:space="preserve">附件14  </w:t>
      </w:r>
      <w:r>
        <w:rPr>
          <w:rFonts w:hint="eastAsia" w:ascii="仿宋_GB2312" w:hAnsi="仿宋_GB2312" w:eastAsia="仿宋_GB2312" w:cs="仿宋_GB2312"/>
          <w:color w:val="auto"/>
          <w:sz w:val="24"/>
          <w:szCs w:val="24"/>
          <w:highlight w:val="none"/>
        </w:rPr>
        <w:t>月结月清承诺书</w:t>
      </w:r>
      <w:r>
        <w:rPr>
          <w:rFonts w:ascii="Times New Roman" w:hAnsi="Times New Roman" w:eastAsia="仿宋_GB2312" w:cs="Times New Roman"/>
          <w:color w:val="auto"/>
          <w:highlight w:val="none"/>
        </w:rPr>
        <w:fldChar w:fldCharType="end"/>
      </w:r>
    </w:p>
    <w:p w14:paraId="4B7ACA34">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r>
        <w:rPr>
          <w:color w:val="auto"/>
          <w:highlight w:val="none"/>
        </w:rPr>
        <w:fldChar w:fldCharType="begin"/>
      </w:r>
      <w:r>
        <w:rPr>
          <w:color w:val="auto"/>
          <w:highlight w:val="none"/>
        </w:rPr>
        <w:instrText xml:space="preserve"> HYPERLINK \l "_Toc14000" </w:instrText>
      </w:r>
      <w:r>
        <w:rPr>
          <w:color w:val="auto"/>
          <w:highlight w:val="none"/>
        </w:rPr>
        <w:fldChar w:fldCharType="separate"/>
      </w:r>
      <w:r>
        <w:rPr>
          <w:rFonts w:ascii="Times New Roman" w:hAnsi="Times New Roman" w:eastAsia="仿宋_GB2312" w:cs="Times New Roman"/>
          <w:color w:val="auto"/>
          <w:highlight w:val="none"/>
        </w:rPr>
        <w:t>附件1</w:t>
      </w:r>
      <w:r>
        <w:rPr>
          <w:rFonts w:hint="eastAsia" w:ascii="Times New Roman" w:hAnsi="Times New Roman" w:eastAsia="仿宋_GB2312" w:cs="Times New Roman"/>
          <w:color w:val="auto"/>
          <w:highlight w:val="none"/>
          <w:lang w:val="en-US" w:eastAsia="zh-CN"/>
        </w:rPr>
        <w:t>5</w:t>
      </w:r>
      <w:r>
        <w:rPr>
          <w:rFonts w:ascii="Times New Roman" w:hAnsi="Times New Roman" w:eastAsia="仿宋_GB2312" w:cs="Times New Roman"/>
          <w:color w:val="auto"/>
          <w:highlight w:val="none"/>
        </w:rPr>
        <w:t xml:space="preserve">  </w:t>
      </w:r>
      <w:r>
        <w:rPr>
          <w:rFonts w:hint="eastAsia" w:ascii="仿宋_GB2312" w:hAnsi="仿宋_GB2312" w:eastAsia="仿宋_GB2312" w:cs="仿宋_GB2312"/>
          <w:color w:val="auto"/>
          <w:sz w:val="24"/>
          <w:szCs w:val="24"/>
          <w:highlight w:val="none"/>
          <w:lang w:val="en-US" w:eastAsia="zh-CN"/>
        </w:rPr>
        <w:t>工作联系函</w:t>
      </w:r>
      <w:r>
        <w:rPr>
          <w:rFonts w:ascii="Times New Roman" w:hAnsi="Times New Roman" w:eastAsia="仿宋_GB2312" w:cs="Times New Roman"/>
          <w:color w:val="auto"/>
          <w:highlight w:val="none"/>
        </w:rPr>
        <w:fldChar w:fldCharType="end"/>
      </w:r>
    </w:p>
    <w:p w14:paraId="40C1AD2A">
      <w:pPr>
        <w:pStyle w:val="18"/>
        <w:shd w:val="clear"/>
        <w:tabs>
          <w:tab w:val="right" w:leader="dot" w:pos="8306"/>
          <w:tab w:val="clear" w:pos="1890"/>
          <w:tab w:val="clear" w:pos="8296"/>
        </w:tabs>
        <w:spacing w:line="480" w:lineRule="exact"/>
        <w:ind w:firstLine="480" w:firstLineChars="200"/>
        <w:rPr>
          <w:rFonts w:ascii="Times New Roman" w:hAnsi="Times New Roman" w:eastAsia="仿宋_GB2312" w:cs="Times New Roman"/>
          <w:color w:val="auto"/>
          <w:highlight w:val="none"/>
        </w:rPr>
      </w:pPr>
    </w:p>
    <w:p w14:paraId="51E0E1F2">
      <w:pPr>
        <w:pStyle w:val="18"/>
        <w:shd w:val="clear"/>
        <w:tabs>
          <w:tab w:val="clear" w:pos="1890"/>
        </w:tabs>
        <w:spacing w:line="480" w:lineRule="exact"/>
        <w:ind w:firstLine="480" w:firstLineChars="200"/>
        <w:rPr>
          <w:rFonts w:ascii="仿宋_GB2312" w:hAnsi="仿宋_GB2312" w:eastAsia="仿宋_GB2312" w:cs="仿宋_GB2312"/>
          <w:color w:val="auto"/>
          <w:highlight w:val="none"/>
        </w:rPr>
      </w:pPr>
      <w:r>
        <w:rPr>
          <w:rFonts w:ascii="Times New Roman" w:hAnsi="Times New Roman" w:eastAsia="仿宋_GB2312" w:cs="Times New Roman"/>
          <w:color w:val="auto"/>
          <w:highlight w:val="none"/>
        </w:rPr>
        <w:fldChar w:fldCharType="end"/>
      </w:r>
    </w:p>
    <w:p w14:paraId="3B48D044">
      <w:pPr>
        <w:pStyle w:val="4"/>
        <w:shd w:val="clear"/>
        <w:spacing w:line="480" w:lineRule="exact"/>
        <w:jc w:val="center"/>
        <w:rPr>
          <w:rFonts w:ascii="华文中宋" w:hAnsi="华文中宋" w:eastAsia="华文中宋"/>
          <w:color w:val="auto"/>
          <w:sz w:val="40"/>
          <w:szCs w:val="40"/>
          <w:highlight w:val="none"/>
        </w:rPr>
        <w:sectPr>
          <w:headerReference r:id="rId7" w:type="default"/>
          <w:footerReference r:id="rId8" w:type="default"/>
          <w:pgSz w:w="11906" w:h="16838"/>
          <w:pgMar w:top="1440" w:right="1800" w:bottom="1440" w:left="1800" w:header="851" w:footer="992" w:gutter="0"/>
          <w:pgNumType w:start="1"/>
          <w:cols w:space="425" w:num="1"/>
          <w:docGrid w:type="lines" w:linePitch="312" w:charSpace="0"/>
        </w:sectPr>
      </w:pPr>
      <w:bookmarkStart w:id="794" w:name="_Toc132359799"/>
    </w:p>
    <w:p w14:paraId="106C4C33">
      <w:pPr>
        <w:pStyle w:val="4"/>
        <w:shd w:val="clear"/>
        <w:spacing w:line="480" w:lineRule="exact"/>
        <w:jc w:val="center"/>
        <w:rPr>
          <w:rFonts w:ascii="华文中宋" w:hAnsi="华文中宋" w:eastAsia="华文中宋"/>
          <w:color w:val="auto"/>
          <w:sz w:val="40"/>
          <w:szCs w:val="40"/>
          <w:highlight w:val="none"/>
        </w:rPr>
      </w:pPr>
      <w:bookmarkStart w:id="795" w:name="_Toc9748"/>
      <w:r>
        <w:rPr>
          <w:rFonts w:ascii="华文中宋" w:hAnsi="华文中宋" w:eastAsia="华文中宋"/>
          <w:color w:val="auto"/>
          <w:sz w:val="40"/>
          <w:szCs w:val="40"/>
          <w:highlight w:val="none"/>
        </w:rPr>
        <w:t xml:space="preserve">第一部分 </w:t>
      </w:r>
      <w:r>
        <w:rPr>
          <w:rFonts w:hint="eastAsia" w:ascii="华文中宋" w:hAnsi="华文中宋" w:eastAsia="华文中宋"/>
          <w:color w:val="auto"/>
          <w:sz w:val="40"/>
          <w:szCs w:val="40"/>
          <w:highlight w:val="none"/>
        </w:rPr>
        <w:t xml:space="preserve"> </w:t>
      </w:r>
      <w:r>
        <w:rPr>
          <w:rFonts w:ascii="华文中宋" w:hAnsi="华文中宋" w:eastAsia="华文中宋"/>
          <w:color w:val="auto"/>
          <w:sz w:val="40"/>
          <w:szCs w:val="40"/>
          <w:highlight w:val="none"/>
        </w:rPr>
        <w:t>合同协议书</w:t>
      </w:r>
      <w:bookmarkEnd w:id="794"/>
      <w:bookmarkEnd w:id="795"/>
      <w:bookmarkStart w:id="796" w:name="_Hlk132055371"/>
    </w:p>
    <w:p w14:paraId="74D76D0E">
      <w:pPr>
        <w:pStyle w:val="4"/>
        <w:shd w:val="clear"/>
        <w:spacing w:line="480" w:lineRule="exact"/>
        <w:jc w:val="left"/>
        <w:rPr>
          <w:rFonts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承包人（全称）：【</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】（以下简称甲方</w:t>
      </w:r>
      <w:r>
        <w:rPr>
          <w:rFonts w:hint="eastAsia" w:ascii="仿宋_GB2312" w:hAnsi="仿宋_GB2312" w:eastAsia="仿宋_GB2312" w:cs="仿宋_GB2312"/>
          <w:b/>
          <w:color w:val="auto"/>
          <w:sz w:val="28"/>
          <w:szCs w:val="28"/>
          <w:highlight w:val="none"/>
          <w:lang w:eastAsia="zh-CN"/>
        </w:rPr>
        <w:t>）</w:t>
      </w:r>
      <w:r>
        <w:rPr>
          <w:rFonts w:hint="eastAsia" w:ascii="仿宋_GB2312" w:hAnsi="仿宋_GB2312" w:eastAsia="仿宋_GB2312" w:cs="仿宋_GB2312"/>
          <w:b/>
          <w:color w:val="auto"/>
          <w:sz w:val="28"/>
          <w:szCs w:val="28"/>
          <w:highlight w:val="none"/>
        </w:rPr>
        <w:t>分包人（全称）：【</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】（以下简称乙方）</w:t>
      </w:r>
      <w:bookmarkEnd w:id="796"/>
    </w:p>
    <w:p w14:paraId="077FA57B">
      <w:pPr>
        <w:shd w:val="clear"/>
        <w:spacing w:line="480" w:lineRule="exact"/>
        <w:ind w:firstLine="560" w:firstLineChars="200"/>
        <w:rPr>
          <w:rFonts w:ascii="Times New Roman" w:hAnsi="Times New Roman" w:eastAsia="仿宋_GB2312"/>
          <w:color w:val="auto"/>
          <w:sz w:val="28"/>
          <w:szCs w:val="28"/>
          <w:highlight w:val="none"/>
        </w:rPr>
      </w:pPr>
    </w:p>
    <w:p w14:paraId="46FC08AB">
      <w:pPr>
        <w:pageBreakBefore w:val="0"/>
        <w:shd w:val="clear"/>
        <w:overflowPunct/>
        <w:topLinePunct w:val="0"/>
        <w:bidi w:val="0"/>
        <w:spacing w:line="440" w:lineRule="exact"/>
        <w:ind w:left="0" w:leftChars="0" w:firstLine="560" w:firstLineChars="200"/>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鉴于乙方已对【</w:t>
      </w:r>
      <w:r>
        <w:rPr>
          <w:rFonts w:hint="eastAsia" w:ascii="Times New Roman" w:hAnsi="Times New Roman" w:eastAsia="仿宋_GB2312"/>
          <w:color w:val="auto"/>
          <w:sz w:val="28"/>
          <w:szCs w:val="28"/>
          <w:highlight w:val="none"/>
          <w:lang w:eastAsia="zh-CN"/>
        </w:rPr>
        <w:t>广西大学机械教学实验中心大楼项目</w:t>
      </w:r>
      <w:r>
        <w:rPr>
          <w:rFonts w:hint="eastAsia" w:ascii="Times New Roman" w:hAnsi="Times New Roman" w:eastAsia="仿宋_GB2312"/>
          <w:color w:val="auto"/>
          <w:sz w:val="28"/>
          <w:szCs w:val="28"/>
          <w:highlight w:val="none"/>
          <w:lang w:val="en-US" w:eastAsia="zh-CN"/>
        </w:rPr>
        <w:t>精装修</w:t>
      </w:r>
      <w:r>
        <w:rPr>
          <w:rFonts w:hint="eastAsia" w:ascii="Times New Roman" w:hAnsi="Times New Roman" w:eastAsia="仿宋_GB2312"/>
          <w:color w:val="auto"/>
          <w:sz w:val="28"/>
          <w:szCs w:val="28"/>
          <w:highlight w:val="none"/>
        </w:rPr>
        <w:t>工程】现场环境、地质条件及所有有关资料进行了全面细致勘查和研究，已对工程施工所有相关图纸进行了详细研究和计算，并已对甲方有关项目管理制度规定充分了解并认可，根据《中华人民共和国民法典》《中华人民共和国建筑法》《中华人民共和国招标投标法》及有关法律规定，遵循平等、自愿、公平和诚实信用的原则，双方就分包工程分包作业承包事项协商一致，达成如下协议，双方共同遵守。</w:t>
      </w:r>
    </w:p>
    <w:p w14:paraId="4DE56FAC">
      <w:pPr>
        <w:pStyle w:val="5"/>
        <w:pageBreakBefore w:val="0"/>
        <w:shd w:val="clear"/>
        <w:overflowPunct/>
        <w:topLinePunct w:val="0"/>
        <w:bidi w:val="0"/>
        <w:spacing w:before="0" w:after="0" w:line="440" w:lineRule="exact"/>
        <w:ind w:left="0" w:leftChars="0" w:firstLine="562" w:firstLineChars="200"/>
        <w:rPr>
          <w:b w:val="0"/>
          <w:color w:val="auto"/>
          <w:highlight w:val="none"/>
        </w:rPr>
      </w:pPr>
      <w:bookmarkStart w:id="797" w:name="_Toc32715"/>
      <w:r>
        <w:rPr>
          <w:bCs w:val="0"/>
          <w:color w:val="auto"/>
          <w:highlight w:val="none"/>
        </w:rPr>
        <w:t>一、工程概况</w:t>
      </w:r>
      <w:bookmarkEnd w:id="797"/>
    </w:p>
    <w:p w14:paraId="75F9F45F">
      <w:pPr>
        <w:pageBreakBefore w:val="0"/>
        <w:shd w:val="clear"/>
        <w:overflowPunct/>
        <w:topLinePunct w:val="0"/>
        <w:bidi w:val="0"/>
        <w:spacing w:line="440" w:lineRule="exact"/>
        <w:ind w:left="0" w:leftChars="0" w:firstLine="562" w:firstLineChars="200"/>
        <w:rPr>
          <w:rFonts w:ascii="仿宋_GB2312" w:hAnsi="仿宋_GB2312" w:eastAsia="仿宋_GB2312" w:cs="仿宋_GB2312"/>
          <w:color w:val="auto"/>
          <w:sz w:val="28"/>
          <w:szCs w:val="28"/>
          <w:highlight w:val="none"/>
          <w:u w:val="single"/>
        </w:rPr>
      </w:pPr>
      <w:r>
        <w:rPr>
          <w:rFonts w:hint="eastAsia" w:ascii="仿宋_GB2312" w:hAnsi="仿宋_GB2312" w:eastAsia="仿宋_GB2312" w:cs="仿宋_GB2312"/>
          <w:b/>
          <w:color w:val="auto"/>
          <w:sz w:val="28"/>
          <w:szCs w:val="28"/>
          <w:highlight w:val="none"/>
        </w:rPr>
        <w:t>1.</w:t>
      </w:r>
      <w:r>
        <w:rPr>
          <w:rFonts w:ascii="仿宋_GB2312" w:hAnsi="仿宋_GB2312" w:eastAsia="仿宋_GB2312" w:cs="仿宋_GB2312"/>
          <w:b/>
          <w:color w:val="auto"/>
          <w:sz w:val="28"/>
          <w:szCs w:val="28"/>
          <w:highlight w:val="none"/>
        </w:rPr>
        <w:t xml:space="preserve">1 </w:t>
      </w:r>
      <w:r>
        <w:rPr>
          <w:rFonts w:hint="eastAsia" w:ascii="仿宋_GB2312" w:hAnsi="仿宋_GB2312" w:eastAsia="仿宋_GB2312" w:cs="仿宋_GB2312"/>
          <w:b/>
          <w:color w:val="auto"/>
          <w:sz w:val="28"/>
          <w:szCs w:val="28"/>
          <w:highlight w:val="none"/>
        </w:rPr>
        <w:t>工程名称</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b/>
          <w:color w:val="auto"/>
          <w:sz w:val="28"/>
          <w:szCs w:val="28"/>
          <w:highlight w:val="none"/>
        </w:rPr>
        <w:t>【</w:t>
      </w:r>
      <w:r>
        <w:rPr>
          <w:rFonts w:hint="eastAsia" w:ascii="Times New Roman" w:hAnsi="Times New Roman" w:eastAsia="仿宋_GB2312"/>
          <w:color w:val="auto"/>
          <w:sz w:val="28"/>
          <w:szCs w:val="28"/>
          <w:highlight w:val="none"/>
          <w:lang w:eastAsia="zh-CN"/>
        </w:rPr>
        <w:t>广西大学机械教学实验中心大楼项目精装修工程</w:t>
      </w:r>
      <w:r>
        <w:rPr>
          <w:rFonts w:hint="eastAsia" w:ascii="仿宋_GB2312" w:hAnsi="仿宋_GB2312" w:eastAsia="仿宋_GB2312" w:cs="仿宋_GB2312"/>
          <w:b/>
          <w:color w:val="auto"/>
          <w:sz w:val="28"/>
          <w:szCs w:val="28"/>
          <w:highlight w:val="none"/>
        </w:rPr>
        <w:t>】</w:t>
      </w:r>
    </w:p>
    <w:p w14:paraId="1120C704">
      <w:pPr>
        <w:pageBreakBefore w:val="0"/>
        <w:shd w:val="clear"/>
        <w:overflowPunct/>
        <w:topLinePunct w:val="0"/>
        <w:bidi w:val="0"/>
        <w:spacing w:line="440" w:lineRule="exact"/>
        <w:ind w:left="0" w:leftChars="0" w:firstLine="562" w:firstLineChars="200"/>
        <w:rPr>
          <w:rFonts w:ascii="仿宋_GB2312" w:hAnsi="仿宋_GB2312" w:eastAsia="仿宋_GB2312" w:cs="仿宋_GB2312"/>
          <w:bCs/>
          <w:color w:val="auto"/>
          <w:sz w:val="28"/>
          <w:szCs w:val="28"/>
          <w:highlight w:val="none"/>
        </w:rPr>
      </w:pPr>
      <w:r>
        <w:rPr>
          <w:rFonts w:ascii="仿宋_GB2312" w:hAnsi="仿宋_GB2312" w:eastAsia="仿宋_GB2312" w:cs="仿宋_GB2312"/>
          <w:b/>
          <w:color w:val="auto"/>
          <w:sz w:val="28"/>
          <w:szCs w:val="28"/>
          <w:highlight w:val="none"/>
        </w:rPr>
        <w:t xml:space="preserve">1.2 </w:t>
      </w:r>
      <w:r>
        <w:rPr>
          <w:rFonts w:hint="eastAsia" w:ascii="仿宋_GB2312" w:hAnsi="仿宋_GB2312" w:eastAsia="仿宋_GB2312" w:cs="仿宋_GB2312"/>
          <w:b/>
          <w:color w:val="auto"/>
          <w:sz w:val="28"/>
          <w:szCs w:val="28"/>
          <w:highlight w:val="none"/>
        </w:rPr>
        <w:t>工程地点</w:t>
      </w: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
          <w:color w:val="auto"/>
          <w:sz w:val="28"/>
          <w:szCs w:val="28"/>
          <w:highlight w:val="none"/>
        </w:rPr>
        <w:t>【</w:t>
      </w:r>
      <w:r>
        <w:rPr>
          <w:rFonts w:hint="eastAsia" w:ascii="Times New Roman" w:hAnsi="Times New Roman" w:eastAsia="仿宋_GB2312"/>
          <w:color w:val="auto"/>
          <w:sz w:val="28"/>
          <w:szCs w:val="28"/>
          <w:highlight w:val="none"/>
          <w:lang w:eastAsia="zh-CN"/>
        </w:rPr>
        <w:t>南宁市大学东路100号广西大学校园内</w:t>
      </w:r>
      <w:r>
        <w:rPr>
          <w:rFonts w:hint="eastAsia" w:ascii="仿宋_GB2312" w:hAnsi="仿宋_GB2312" w:eastAsia="仿宋_GB2312" w:cs="仿宋_GB2312"/>
          <w:b/>
          <w:color w:val="auto"/>
          <w:sz w:val="28"/>
          <w:szCs w:val="28"/>
          <w:highlight w:val="none"/>
        </w:rPr>
        <w:t>】</w:t>
      </w:r>
    </w:p>
    <w:p w14:paraId="317FAA83">
      <w:pPr>
        <w:pageBreakBefore w:val="0"/>
        <w:shd w:val="clear"/>
        <w:overflowPunct/>
        <w:topLinePunct w:val="0"/>
        <w:bidi w:val="0"/>
        <w:spacing w:line="440" w:lineRule="exact"/>
        <w:ind w:left="0" w:leftChars="0" w:firstLine="562" w:firstLineChars="200"/>
        <w:rPr>
          <w:rFonts w:ascii="仿宋_GB2312" w:hAnsi="仿宋_GB2312" w:eastAsia="仿宋_GB2312" w:cs="仿宋_GB2312"/>
          <w:bCs/>
          <w:color w:val="auto"/>
          <w:sz w:val="28"/>
          <w:szCs w:val="28"/>
          <w:highlight w:val="none"/>
        </w:rPr>
      </w:pPr>
      <w:r>
        <w:rPr>
          <w:rFonts w:ascii="仿宋_GB2312" w:hAnsi="仿宋_GB2312" w:eastAsia="仿宋_GB2312" w:cs="仿宋_GB2312"/>
          <w:b/>
          <w:color w:val="auto"/>
          <w:sz w:val="28"/>
          <w:szCs w:val="28"/>
          <w:highlight w:val="none"/>
        </w:rPr>
        <w:t xml:space="preserve">1.3 </w:t>
      </w:r>
      <w:r>
        <w:rPr>
          <w:rFonts w:hint="eastAsia" w:ascii="仿宋_GB2312" w:hAnsi="仿宋_GB2312" w:eastAsia="仿宋_GB2312" w:cs="仿宋_GB2312"/>
          <w:b/>
          <w:color w:val="auto"/>
          <w:sz w:val="28"/>
          <w:szCs w:val="28"/>
          <w:highlight w:val="none"/>
        </w:rPr>
        <w:t>工程结构</w:t>
      </w: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
          <w:color w:val="auto"/>
          <w:sz w:val="28"/>
          <w:szCs w:val="28"/>
          <w:highlight w:val="none"/>
        </w:rPr>
        <w:t>【</w:t>
      </w:r>
      <w:r>
        <w:rPr>
          <w:rFonts w:hint="eastAsia" w:ascii="Times New Roman" w:hAnsi="Times New Roman" w:eastAsia="仿宋_GB2312"/>
          <w:color w:val="auto"/>
          <w:sz w:val="28"/>
          <w:szCs w:val="28"/>
          <w:highlight w:val="none"/>
          <w:lang w:val="en-US" w:eastAsia="zh-CN"/>
        </w:rPr>
        <w:t>框架结构</w:t>
      </w:r>
      <w:r>
        <w:rPr>
          <w:rFonts w:hint="eastAsia" w:ascii="仿宋_GB2312" w:hAnsi="仿宋_GB2312" w:eastAsia="仿宋_GB2312" w:cs="仿宋_GB2312"/>
          <w:b/>
          <w:color w:val="auto"/>
          <w:sz w:val="28"/>
          <w:szCs w:val="28"/>
          <w:highlight w:val="none"/>
        </w:rPr>
        <w:t>】</w:t>
      </w:r>
    </w:p>
    <w:p w14:paraId="09BD3710">
      <w:pPr>
        <w:pageBreakBefore w:val="0"/>
        <w:shd w:val="clear"/>
        <w:overflowPunct/>
        <w:topLinePunct w:val="0"/>
        <w:bidi w:val="0"/>
        <w:spacing w:line="440" w:lineRule="exact"/>
        <w:ind w:left="0" w:leftChars="0" w:firstLine="562" w:firstLineChars="200"/>
        <w:rPr>
          <w:rFonts w:ascii="仿宋_GB2312" w:hAnsi="仿宋_GB2312" w:eastAsia="仿宋_GB2312" w:cs="仿宋_GB2312"/>
          <w:bCs/>
          <w:color w:val="auto"/>
          <w:sz w:val="28"/>
          <w:szCs w:val="28"/>
          <w:highlight w:val="none"/>
        </w:rPr>
      </w:pPr>
      <w:r>
        <w:rPr>
          <w:rFonts w:ascii="仿宋_GB2312" w:hAnsi="仿宋_GB2312" w:eastAsia="仿宋_GB2312" w:cs="仿宋_GB2312"/>
          <w:b/>
          <w:color w:val="auto"/>
          <w:sz w:val="28"/>
          <w:szCs w:val="28"/>
          <w:highlight w:val="none"/>
        </w:rPr>
        <w:t xml:space="preserve">1.4 </w:t>
      </w:r>
      <w:r>
        <w:rPr>
          <w:rFonts w:hint="eastAsia" w:ascii="仿宋_GB2312" w:hAnsi="仿宋_GB2312" w:eastAsia="仿宋_GB2312" w:cs="仿宋_GB2312"/>
          <w:b/>
          <w:color w:val="auto"/>
          <w:sz w:val="28"/>
          <w:szCs w:val="28"/>
          <w:highlight w:val="none"/>
        </w:rPr>
        <w:t>分包工程承包范围</w:t>
      </w:r>
      <w:r>
        <w:rPr>
          <w:rFonts w:hint="eastAsia" w:ascii="仿宋_GB2312" w:hAnsi="仿宋_GB2312" w:eastAsia="仿宋_GB2312" w:cs="仿宋_GB2312"/>
          <w:bCs/>
          <w:color w:val="auto"/>
          <w:sz w:val="28"/>
          <w:szCs w:val="28"/>
          <w:highlight w:val="none"/>
        </w:rPr>
        <w:t>：本工程范围内的【</w:t>
      </w:r>
      <w:r>
        <w:rPr>
          <w:rFonts w:hint="eastAsia" w:ascii="仿宋_GB2312" w:hAnsi="仿宋_GB2312" w:eastAsia="仿宋_GB2312" w:cs="仿宋_GB2312"/>
          <w:bCs/>
          <w:color w:val="auto"/>
          <w:sz w:val="28"/>
          <w:szCs w:val="28"/>
          <w:highlight w:val="none"/>
          <w:lang w:eastAsia="zh-CN"/>
        </w:rPr>
        <w:t>精装修工程</w:t>
      </w:r>
      <w:r>
        <w:rPr>
          <w:rFonts w:hint="eastAsia" w:ascii="仿宋_GB2312" w:hAnsi="仿宋_GB2312" w:eastAsia="仿宋_GB2312" w:cs="仿宋_GB2312"/>
          <w:bCs/>
          <w:color w:val="auto"/>
          <w:sz w:val="28"/>
          <w:szCs w:val="28"/>
          <w:highlight w:val="none"/>
        </w:rPr>
        <w:t>专业分包】（以下简称本分包工程）。施工范围及数量为暂定，实际施工过程中有可能存在承包人根据实际施工情况增加或减少分包人的施工内容。</w:t>
      </w:r>
    </w:p>
    <w:p w14:paraId="3AF621A0">
      <w:pPr>
        <w:pageBreakBefore w:val="0"/>
        <w:shd w:val="clear"/>
        <w:overflowPunct/>
        <w:topLinePunct w:val="0"/>
        <w:bidi w:val="0"/>
        <w:spacing w:line="440" w:lineRule="exact"/>
        <w:ind w:left="0" w:leftChars="0" w:firstLine="562" w:firstLineChars="200"/>
        <w:rPr>
          <w:rFonts w:ascii="仿宋_GB2312" w:hAnsi="仿宋_GB2312" w:eastAsia="仿宋_GB2312" w:cs="仿宋_GB2312"/>
          <w:bCs/>
          <w:color w:val="auto"/>
          <w:sz w:val="28"/>
          <w:szCs w:val="28"/>
          <w:highlight w:val="none"/>
        </w:rPr>
      </w:pPr>
      <w:r>
        <w:rPr>
          <w:rFonts w:ascii="仿宋_GB2312" w:hAnsi="仿宋_GB2312" w:eastAsia="仿宋_GB2312" w:cs="仿宋_GB2312"/>
          <w:b/>
          <w:color w:val="auto"/>
          <w:sz w:val="28"/>
          <w:szCs w:val="28"/>
          <w:highlight w:val="none"/>
        </w:rPr>
        <w:t xml:space="preserve">1.5 </w:t>
      </w:r>
      <w:r>
        <w:rPr>
          <w:rFonts w:hint="eastAsia" w:ascii="仿宋_GB2312" w:hAnsi="仿宋_GB2312" w:eastAsia="仿宋_GB2312" w:cs="仿宋_GB2312"/>
          <w:b/>
          <w:color w:val="auto"/>
          <w:sz w:val="28"/>
          <w:szCs w:val="28"/>
          <w:highlight w:val="none"/>
        </w:rPr>
        <w:t>分包模式</w:t>
      </w:r>
      <w:r>
        <w:rPr>
          <w:rFonts w:hint="eastAsia" w:ascii="仿宋_GB2312" w:hAnsi="仿宋_GB2312" w:eastAsia="仿宋_GB2312" w:cs="仿宋_GB2312"/>
          <w:bCs/>
          <w:color w:val="auto"/>
          <w:sz w:val="28"/>
          <w:szCs w:val="28"/>
          <w:highlight w:val="none"/>
        </w:rPr>
        <w:t>：专业分包。</w:t>
      </w:r>
    </w:p>
    <w:p w14:paraId="42EC9D2C">
      <w:pPr>
        <w:pageBreakBefore w:val="0"/>
        <w:shd w:val="clear"/>
        <w:overflowPunct/>
        <w:topLinePunct w:val="0"/>
        <w:bidi w:val="0"/>
        <w:spacing w:line="440" w:lineRule="exact"/>
        <w:ind w:left="0" w:leftChars="0" w:firstLine="562" w:firstLineChars="200"/>
        <w:rPr>
          <w:rFonts w:ascii="仿宋_GB2312" w:hAnsi="仿宋_GB2312" w:eastAsia="仿宋_GB2312" w:cs="仿宋_GB2312"/>
          <w:bCs/>
          <w:color w:val="auto"/>
          <w:sz w:val="28"/>
          <w:szCs w:val="28"/>
          <w:highlight w:val="none"/>
        </w:rPr>
      </w:pPr>
      <w:r>
        <w:rPr>
          <w:rFonts w:ascii="仿宋_GB2312" w:hAnsi="仿宋_GB2312" w:eastAsia="仿宋_GB2312" w:cs="仿宋_GB2312"/>
          <w:b/>
          <w:color w:val="auto"/>
          <w:sz w:val="28"/>
          <w:szCs w:val="28"/>
          <w:highlight w:val="none"/>
        </w:rPr>
        <w:t xml:space="preserve">1.6 </w:t>
      </w:r>
      <w:r>
        <w:rPr>
          <w:rFonts w:hint="eastAsia" w:ascii="仿宋_GB2312" w:hAnsi="仿宋_GB2312" w:eastAsia="仿宋_GB2312" w:cs="仿宋_GB2312"/>
          <w:b/>
          <w:color w:val="auto"/>
          <w:sz w:val="28"/>
          <w:szCs w:val="28"/>
          <w:highlight w:val="none"/>
        </w:rPr>
        <w:t>分包工作内容</w:t>
      </w:r>
      <w:r>
        <w:rPr>
          <w:rFonts w:hint="eastAsia" w:ascii="仿宋_GB2312" w:hAnsi="仿宋_GB2312" w:eastAsia="仿宋_GB2312" w:cs="仿宋_GB2312"/>
          <w:bCs/>
          <w:color w:val="auto"/>
          <w:sz w:val="28"/>
          <w:szCs w:val="28"/>
          <w:highlight w:val="none"/>
        </w:rPr>
        <w:t xml:space="preserve">：【a块料楼地面工程：包括但不限于材料采购、二次和多次运输、装卸车、保管、排板、深化设计、基层清理、找补基层缺陷修补、调制水泥浆、粘结剂、刷素水泥浆、锯板磨边、贴面层、勾缝、擦缝、成型后的修补、养护、垃圾及污染清理、清理净面、成品保护等为完成施工的全部工作内容，以达到最终竣工验收标准； </w:t>
      </w:r>
    </w:p>
    <w:p w14:paraId="0A5680D2">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b 防静电活动地板工程 ：包括但不限于材料采购、二次和多次运输、装卸车、保管、排板、深化设计、基层清理、修阴阳角、勾缝、找补基层缺陷修补、地板金属支架安装、防静电活动地板安装、地板刷漆、成型后的修补、垃圾及污染清理、清理净面、成品保护等为完成施工的全部工作内容，以达到最终竣工验收标准； </w:t>
      </w:r>
    </w:p>
    <w:p w14:paraId="3398B7FB">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c块料墙柱面工程：包括但不限于材料采购、二次和多次运输、装卸车、保管、排板、深化设计、清理修补基层表面、送料、抹结合层、膨胀螺栓及型钢龙骨等干挂、切割、粘贴或挂板、勾缝、擦缝、成型后的修补、养护、垃圾及污染清理、清理净面、成品保护等为完成施工的全部工作内容，以达到最终竣工验收标准；</w:t>
      </w:r>
    </w:p>
    <w:p w14:paraId="04D6DACC">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 d 轻质隔墙工程：包括但不限于以下内容：材料采购、二次和多次运输、装卸车、保管、排板、深化设计、基层清理、修阴阳角、勾缝、找补基层缺陷修补、龙骨安装、配合管线安装、罩面板安装、填充材料安装、接缝处理、成型后的修补、弹线、搭拆架体或租赁架体、堆码至总承包人指定位置、垃圾及污染清理、清理净面、成品保护等为完成墙面装饰板施工的全部工作内容，以达到最终竣工验收标准； </w:t>
      </w:r>
    </w:p>
    <w:p w14:paraId="419489F1">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e天棚工程：包括但不限于以下内容：材料采购、材料二次和多次倒运、基底清理、基层修补、清理、用完材料堆至项目部指定地点、抄平、吊件加工、安装、定位、弹线、安装吊筋、选料、下料、定位杆控制高度、平整、安装龙骨及横撑附件等、压条安装、临时加固、调整、校正、预留位置、整体调整、配合安装管线施工、各类风口及检查孔开洞、吊顶表面腻子和乳胶漆施工、安装天棚面层、阴阳角压条找补、深化设计、垃圾外运、配合其它单位施工、垃圾及污染清理、清理净面、成品保护等为完成吊顶工程的全部工作内容，以达到最终竣工验收标准。</w:t>
      </w:r>
    </w:p>
    <w:p w14:paraId="7A7CC77A">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f 踢脚线工程：包括但不限于以下内容：材料采购、二次和多次运输、装卸车、保管、排板、深化设计、基层清理、找补基层缺陷修补、弹线、调制水泥砂浆或粘结剂、修阴阳角、锯板磨边、倒角、贴面层、勾缝擦缝、成型后的修补、垃圾及污染清理、清理净面、成品保护等为完成木质踢脚线施工的全部工作内容，以达到最终竣工验收标准； </w:t>
      </w:r>
    </w:p>
    <w:p w14:paraId="1FFD86DD">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g 盥洗水槽工程：包括不限于以下工作内容：材料及半成品的运输、二次和多次运输、砂浆拌制、铺灰、砌筑、抹平、立皮数杆、拉线、预留洞口、补洞口、清理垃圾、清扫落地灰、铺贴瓷砖、找坡、填缝、补槽、搭拆工具架或简易脚手架、用完材料堆至项目部指定地点、预埋地漏、铁件制安、拉筋整理、拉筋安装、砌块开槽、材料的装卸车、收料、试块制作、放线、抄平、清理净面、成品保护等完成本工作一切费用； </w:t>
      </w:r>
    </w:p>
    <w:p w14:paraId="5C2B835B">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h 挡烟垂壁工程：包括但不限于材料采购、安装、定位、弹线、校正、挡烟垂壁安装、成品保护、搭拆架体或活动架搭拆等为完成挡烟垂壁施工的所有工作内容； </w:t>
      </w:r>
    </w:p>
    <w:p w14:paraId="0C5B274F">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i 洗漱台安装工程：包括但不限于材料的采购、二次及多次倒运、安装、调试、基层清理、定位等为完成洗漱台安装工作的全部工作内容； </w:t>
      </w:r>
    </w:p>
    <w:p w14:paraId="1FFFAEBC">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rPr>
        <w:t>j 其他跟精装修工作有关且需要乙方完成或配合，直至通过验收需要的所有工作，并保 证工完场清、工完料清，以达到最终验收标准。】</w:t>
      </w:r>
    </w:p>
    <w:p w14:paraId="1030BD84">
      <w:pPr>
        <w:pStyle w:val="5"/>
        <w:pageBreakBefore w:val="0"/>
        <w:shd w:val="clear"/>
        <w:overflowPunct/>
        <w:topLinePunct w:val="0"/>
        <w:bidi w:val="0"/>
        <w:spacing w:before="0" w:after="0" w:line="440" w:lineRule="exact"/>
        <w:ind w:left="0" w:leftChars="0" w:firstLine="562" w:firstLineChars="200"/>
        <w:rPr>
          <w:b w:val="0"/>
          <w:color w:val="auto"/>
          <w:highlight w:val="none"/>
        </w:rPr>
      </w:pPr>
      <w:bookmarkStart w:id="798" w:name="_Toc28269"/>
      <w:r>
        <w:rPr>
          <w:bCs w:val="0"/>
          <w:color w:val="auto"/>
          <w:highlight w:val="none"/>
        </w:rPr>
        <w:t>二、</w:t>
      </w:r>
      <w:r>
        <w:rPr>
          <w:rFonts w:hint="eastAsia"/>
          <w:bCs w:val="0"/>
          <w:color w:val="auto"/>
          <w:highlight w:val="none"/>
        </w:rPr>
        <w:t>分包</w:t>
      </w:r>
      <w:r>
        <w:rPr>
          <w:bCs w:val="0"/>
          <w:color w:val="auto"/>
          <w:highlight w:val="none"/>
        </w:rPr>
        <w:t>合同工期</w:t>
      </w:r>
      <w:bookmarkEnd w:id="798"/>
    </w:p>
    <w:p w14:paraId="38E33523">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计划开工日期：</w:t>
      </w:r>
      <w:r>
        <w:rPr>
          <w:rFonts w:ascii="仿宋" w:hAnsi="仿宋" w:eastAsia="仿宋" w:cs="仿宋"/>
          <w:color w:val="auto"/>
          <w:spacing w:val="-3"/>
          <w:sz w:val="28"/>
          <w:szCs w:val="28"/>
          <w:highlight w:val="none"/>
        </w:rPr>
        <w:t>【2025】年【6】月【</w:t>
      </w:r>
      <w:r>
        <w:rPr>
          <w:rFonts w:hint="eastAsia" w:ascii="仿宋" w:hAnsi="仿宋" w:eastAsia="仿宋" w:cs="仿宋"/>
          <w:color w:val="auto"/>
          <w:spacing w:val="-3"/>
          <w:sz w:val="28"/>
          <w:szCs w:val="28"/>
          <w:highlight w:val="none"/>
          <w:lang w:val="en-US" w:eastAsia="zh-CN"/>
        </w:rPr>
        <w:t xml:space="preserve">   </w:t>
      </w:r>
      <w:r>
        <w:rPr>
          <w:rFonts w:ascii="仿宋" w:hAnsi="仿宋" w:eastAsia="仿宋" w:cs="仿宋"/>
          <w:color w:val="auto"/>
          <w:spacing w:val="-3"/>
          <w:sz w:val="28"/>
          <w:szCs w:val="28"/>
          <w:highlight w:val="none"/>
        </w:rPr>
        <w:t>】</w:t>
      </w:r>
      <w:r>
        <w:rPr>
          <w:rFonts w:ascii="仿宋" w:hAnsi="仿宋" w:eastAsia="仿宋" w:cs="仿宋"/>
          <w:color w:val="auto"/>
          <w:spacing w:val="-65"/>
          <w:sz w:val="28"/>
          <w:szCs w:val="28"/>
          <w:highlight w:val="none"/>
        </w:rPr>
        <w:t xml:space="preserve"> </w:t>
      </w:r>
      <w:r>
        <w:rPr>
          <w:rFonts w:ascii="仿宋" w:hAnsi="仿宋" w:eastAsia="仿宋" w:cs="仿宋"/>
          <w:color w:val="auto"/>
          <w:spacing w:val="-3"/>
          <w:sz w:val="28"/>
          <w:szCs w:val="28"/>
          <w:highlight w:val="none"/>
        </w:rPr>
        <w:t>日</w:t>
      </w:r>
      <w:r>
        <w:rPr>
          <w:rFonts w:hint="eastAsia" w:ascii="仿宋_GB2312" w:hAnsi="仿宋_GB2312" w:eastAsia="仿宋_GB2312" w:cs="仿宋_GB2312"/>
          <w:color w:val="auto"/>
          <w:sz w:val="28"/>
          <w:szCs w:val="28"/>
          <w:highlight w:val="none"/>
        </w:rPr>
        <w:t>（此为暂定时间，具体以甲方发出的进场通知单为准）。</w:t>
      </w:r>
    </w:p>
    <w:p w14:paraId="7F7A64CA">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计划完工日期：</w:t>
      </w:r>
      <w:r>
        <w:rPr>
          <w:rFonts w:ascii="仿宋" w:hAnsi="仿宋" w:eastAsia="仿宋" w:cs="仿宋"/>
          <w:color w:val="auto"/>
          <w:sz w:val="28"/>
          <w:szCs w:val="28"/>
          <w:highlight w:val="none"/>
        </w:rPr>
        <w:t>【2025】年【12】月【</w:t>
      </w:r>
      <w:r>
        <w:rPr>
          <w:rFonts w:hint="eastAsia" w:ascii="仿宋" w:hAnsi="仿宋" w:eastAsia="仿宋" w:cs="仿宋"/>
          <w:color w:val="auto"/>
          <w:sz w:val="28"/>
          <w:szCs w:val="28"/>
          <w:highlight w:val="none"/>
          <w:lang w:val="en-US" w:eastAsia="zh-CN"/>
        </w:rPr>
        <w:t xml:space="preserve">  </w:t>
      </w:r>
      <w:r>
        <w:rPr>
          <w:rFonts w:ascii="仿宋" w:hAnsi="仿宋" w:eastAsia="仿宋" w:cs="仿宋"/>
          <w:color w:val="auto"/>
          <w:sz w:val="28"/>
          <w:szCs w:val="28"/>
          <w:highlight w:val="none"/>
        </w:rPr>
        <w:t>】日</w:t>
      </w:r>
      <w:r>
        <w:rPr>
          <w:rFonts w:hint="eastAsia" w:ascii="仿宋_GB2312" w:hAnsi="仿宋_GB2312" w:eastAsia="仿宋_GB2312" w:cs="仿宋_GB2312"/>
          <w:color w:val="auto"/>
          <w:sz w:val="28"/>
          <w:szCs w:val="28"/>
          <w:highlight w:val="none"/>
        </w:rPr>
        <w:t>（以本分包工程最终通过验收时间为准）。</w:t>
      </w:r>
    </w:p>
    <w:p w14:paraId="15799ADD">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合同工期总日历天数：</w:t>
      </w:r>
      <w:r>
        <w:rPr>
          <w:rFonts w:hint="eastAsia" w:ascii="仿宋_GB2312" w:hAnsi="仿宋_GB2312" w:eastAsia="仿宋_GB2312" w:cs="仿宋_GB2312"/>
          <w:b/>
          <w:color w:val="auto"/>
          <w:sz w:val="28"/>
          <w:szCs w:val="28"/>
          <w:highlight w:val="none"/>
        </w:rPr>
        <w:t>【</w:t>
      </w:r>
      <w:r>
        <w:rPr>
          <w:rFonts w:ascii="仿宋" w:hAnsi="仿宋" w:eastAsia="仿宋" w:cs="仿宋"/>
          <w:color w:val="auto"/>
          <w:spacing w:val="-1"/>
          <w:sz w:val="28"/>
          <w:szCs w:val="28"/>
          <w:highlight w:val="none"/>
        </w:rPr>
        <w:t>194</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天。合同工期总日历天数与根据前述计划开工、完工日期计算的天数不一致的，以合同工期总日历天数为准。</w:t>
      </w:r>
    </w:p>
    <w:p w14:paraId="7536BEF6">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分包合同工期已综合考虑法定节假日（特别是中秋、春节等重要节假日）、非极端不利天气、中高考、两会及其他政府会议、农忙、扰民与民扰、城管管制、甲方或建设方或政府部门领导检查、观摩、工地现状、空气污染预警、环保政策要求、交叉施工、配合施工的等待时间等对工期产生的影响，乙方承诺不因此类原因提出任何有关的工期和费用索赔。</w:t>
      </w:r>
    </w:p>
    <w:p w14:paraId="5048E9CA">
      <w:pPr>
        <w:pStyle w:val="5"/>
        <w:pageBreakBefore w:val="0"/>
        <w:shd w:val="clear"/>
        <w:overflowPunct/>
        <w:topLinePunct w:val="0"/>
        <w:bidi w:val="0"/>
        <w:spacing w:before="0" w:after="0" w:line="440" w:lineRule="exact"/>
        <w:ind w:left="0" w:leftChars="0" w:firstLine="562" w:firstLineChars="200"/>
        <w:rPr>
          <w:b w:val="0"/>
          <w:color w:val="auto"/>
          <w:highlight w:val="none"/>
        </w:rPr>
      </w:pPr>
      <w:bookmarkStart w:id="799" w:name="_Toc1508"/>
      <w:r>
        <w:rPr>
          <w:bCs w:val="0"/>
          <w:color w:val="auto"/>
          <w:highlight w:val="none"/>
        </w:rPr>
        <w:t>三、质量</w:t>
      </w:r>
      <w:r>
        <w:rPr>
          <w:rFonts w:hint="eastAsia"/>
          <w:bCs w:val="0"/>
          <w:color w:val="auto"/>
          <w:highlight w:val="none"/>
        </w:rPr>
        <w:t>、安全文明施工</w:t>
      </w:r>
      <w:r>
        <w:rPr>
          <w:bCs w:val="0"/>
          <w:color w:val="auto"/>
          <w:highlight w:val="none"/>
        </w:rPr>
        <w:t>标准</w:t>
      </w:r>
      <w:bookmarkEnd w:id="799"/>
      <w:r>
        <w:rPr>
          <w:rFonts w:hint="eastAsia"/>
          <w:bCs w:val="0"/>
          <w:color w:val="auto"/>
          <w:highlight w:val="none"/>
        </w:rPr>
        <w:t>及创优目标</w:t>
      </w:r>
    </w:p>
    <w:p w14:paraId="183DBF21">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3.1质量标准：【</w:t>
      </w:r>
      <w:r>
        <w:rPr>
          <w:rFonts w:ascii="仿宋" w:hAnsi="仿宋" w:eastAsia="仿宋" w:cs="仿宋"/>
          <w:color w:val="auto"/>
          <w:spacing w:val="-2"/>
          <w:sz w:val="28"/>
          <w:szCs w:val="28"/>
          <w:highlight w:val="none"/>
        </w:rPr>
        <w:t>工程质量符合合格标准，满足</w:t>
      </w:r>
      <w:r>
        <w:rPr>
          <w:rFonts w:ascii="仿宋" w:hAnsi="仿宋" w:eastAsia="仿宋" w:cs="仿宋"/>
          <w:color w:val="auto"/>
          <w:spacing w:val="-65"/>
          <w:sz w:val="28"/>
          <w:szCs w:val="28"/>
          <w:highlight w:val="none"/>
        </w:rPr>
        <w:t xml:space="preserve"> </w:t>
      </w:r>
      <w:r>
        <w:rPr>
          <w:rFonts w:ascii="仿宋" w:hAnsi="仿宋" w:eastAsia="仿宋" w:cs="仿宋"/>
          <w:color w:val="auto"/>
          <w:spacing w:val="-2"/>
          <w:sz w:val="28"/>
          <w:szCs w:val="28"/>
          <w:highlight w:val="none"/>
        </w:rPr>
        <w:t>GB 50300-2013《建筑工程</w:t>
      </w:r>
      <w:r>
        <w:rPr>
          <w:rFonts w:ascii="仿宋" w:hAnsi="仿宋" w:eastAsia="仿宋" w:cs="仿宋"/>
          <w:color w:val="auto"/>
          <w:sz w:val="28"/>
          <w:szCs w:val="28"/>
          <w:highlight w:val="none"/>
        </w:rPr>
        <w:t xml:space="preserve"> </w:t>
      </w:r>
      <w:r>
        <w:rPr>
          <w:rFonts w:ascii="仿宋" w:hAnsi="仿宋" w:eastAsia="仿宋" w:cs="仿宋"/>
          <w:color w:val="auto"/>
          <w:spacing w:val="-12"/>
          <w:sz w:val="28"/>
          <w:szCs w:val="28"/>
          <w:highlight w:val="none"/>
        </w:rPr>
        <w:t>施工质量验收统一标准》要求</w:t>
      </w:r>
      <w:r>
        <w:rPr>
          <w:rFonts w:hint="eastAsia" w:ascii="仿宋_GB2312" w:hAnsi="仿宋_GB2312" w:eastAsia="仿宋_GB2312" w:cs="仿宋_GB2312"/>
          <w:color w:val="auto"/>
          <w:sz w:val="28"/>
          <w:szCs w:val="28"/>
          <w:highlight w:val="none"/>
        </w:rPr>
        <w:t>】，创优要求：【</w:t>
      </w:r>
      <w:r>
        <w:rPr>
          <w:rFonts w:hint="eastAsia" w:ascii="仿宋_GB2312" w:hAnsi="仿宋_GB2312" w:eastAsia="仿宋_GB2312" w:cs="仿宋_GB2312"/>
          <w:color w:val="auto"/>
          <w:sz w:val="28"/>
          <w:szCs w:val="28"/>
          <w:highlight w:val="none"/>
          <w:lang w:val="en-US" w:eastAsia="zh-CN"/>
        </w:rPr>
        <w:t>广西建设工程“真武阁杯”奖</w:t>
      </w:r>
      <w:r>
        <w:rPr>
          <w:rFonts w:hint="eastAsia" w:ascii="仿宋_GB2312" w:hAnsi="仿宋_GB2312" w:eastAsia="仿宋_GB2312" w:cs="仿宋_GB2312"/>
          <w:color w:val="auto"/>
          <w:sz w:val="28"/>
          <w:szCs w:val="28"/>
          <w:highlight w:val="none"/>
        </w:rPr>
        <w:t>】，并符合【国家、地方现行规范、建设单位质量标准并达到一次性验收合格】标准。因创优创奖所发生的费用均已包含在合同价款中，结算时不再另行调整。</w:t>
      </w:r>
    </w:p>
    <w:p w14:paraId="37C787D7">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3.2安全生产、文明施工达到JGJ59-2011合格要求。杜绝重伤死亡事故，控制轻伤事故，轻伤率【2】‰以内；杜绝机械设备事故、火灾事故和公共安全事故、防止职业病发生；创优目标：【</w:t>
      </w:r>
      <w:r>
        <w:rPr>
          <w:rFonts w:hint="eastAsia" w:ascii="仿宋_GB2312" w:hAnsi="仿宋_GB2312" w:eastAsia="仿宋_GB2312" w:cs="仿宋_GB2312"/>
          <w:color w:val="auto"/>
          <w:sz w:val="28"/>
          <w:szCs w:val="28"/>
          <w:highlight w:val="none"/>
          <w:lang w:val="en-US" w:eastAsia="zh-CN"/>
        </w:rPr>
        <w:t>南宁市安全文明标准化工地、广西自治区安全文明标准化工地</w:t>
      </w:r>
      <w:r>
        <w:rPr>
          <w:rFonts w:hint="eastAsia" w:ascii="仿宋_GB2312" w:hAnsi="仿宋_GB2312" w:eastAsia="仿宋_GB2312" w:cs="仿宋_GB2312"/>
          <w:color w:val="auto"/>
          <w:sz w:val="28"/>
          <w:szCs w:val="28"/>
          <w:highlight w:val="none"/>
        </w:rPr>
        <w:t xml:space="preserve">】 </w:t>
      </w:r>
    </w:p>
    <w:p w14:paraId="13DA192D">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乙方须在正式施工区做施工样板、标准段，并保证施工过程中质量不低于该样板、标准段，低于样板标准视为违约</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甲方有权</w:t>
      </w:r>
      <w:r>
        <w:rPr>
          <w:rFonts w:hint="eastAsia" w:ascii="仿宋_GB2312" w:hAnsi="仿宋_GB2312" w:eastAsia="仿宋_GB2312" w:cs="仿宋_GB2312"/>
          <w:color w:val="auto"/>
          <w:sz w:val="28"/>
          <w:szCs w:val="28"/>
          <w:highlight w:val="none"/>
          <w:lang w:eastAsia="zh-CN"/>
        </w:rPr>
        <w:t>要求乙方更换</w:t>
      </w:r>
      <w:r>
        <w:rPr>
          <w:rFonts w:hint="eastAsia" w:ascii="仿宋_GB2312" w:hAnsi="仿宋_GB2312" w:eastAsia="仿宋_GB2312" w:cs="仿宋_GB2312"/>
          <w:color w:val="auto"/>
          <w:sz w:val="28"/>
          <w:szCs w:val="28"/>
          <w:highlight w:val="none"/>
        </w:rPr>
        <w:t>作业人员</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乙方应配合甲方的实测实量工作，一般项目实测实量标准应达到80%及以上，创优性项目应达到90%以上。</w:t>
      </w:r>
    </w:p>
    <w:p w14:paraId="31049210">
      <w:pPr>
        <w:pStyle w:val="5"/>
        <w:pageBreakBefore w:val="0"/>
        <w:shd w:val="clear"/>
        <w:overflowPunct/>
        <w:topLinePunct w:val="0"/>
        <w:bidi w:val="0"/>
        <w:spacing w:before="0" w:after="0" w:line="440" w:lineRule="exact"/>
        <w:ind w:left="0" w:leftChars="0" w:firstLine="562" w:firstLineChars="200"/>
        <w:rPr>
          <w:rFonts w:ascii="仿宋_GB2312" w:hAnsi="仿宋_GB2312" w:eastAsia="仿宋_GB2312" w:cs="仿宋_GB2312"/>
          <w:color w:val="auto"/>
          <w:highlight w:val="none"/>
        </w:rPr>
      </w:pPr>
      <w:bookmarkStart w:id="800" w:name="_Toc20821"/>
      <w:r>
        <w:rPr>
          <w:bCs w:val="0"/>
          <w:color w:val="auto"/>
          <w:highlight w:val="none"/>
        </w:rPr>
        <w:t>四、签约合同价与合同价格形</w:t>
      </w:r>
      <w:r>
        <w:rPr>
          <w:rFonts w:hint="eastAsia"/>
          <w:bCs w:val="0"/>
          <w:color w:val="auto"/>
          <w:highlight w:val="none"/>
        </w:rPr>
        <w:t>式</w:t>
      </w:r>
      <w:bookmarkEnd w:id="800"/>
    </w:p>
    <w:p w14:paraId="17644AEE">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rPr>
        <w:t>.</w:t>
      </w:r>
      <w:r>
        <w:rPr>
          <w:rFonts w:ascii="仿宋_GB2312" w:hAnsi="仿宋_GB2312" w:eastAsia="仿宋_GB2312" w:cs="仿宋_GB2312"/>
          <w:color w:val="auto"/>
          <w:sz w:val="28"/>
          <w:szCs w:val="28"/>
          <w:highlight w:val="none"/>
        </w:rPr>
        <w:t xml:space="preserve">1 </w:t>
      </w:r>
      <w:r>
        <w:rPr>
          <w:rFonts w:hint="eastAsia" w:ascii="仿宋_GB2312" w:hAnsi="仿宋_GB2312" w:eastAsia="仿宋_GB2312" w:cs="仿宋_GB2312"/>
          <w:color w:val="auto"/>
          <w:sz w:val="28"/>
          <w:szCs w:val="28"/>
          <w:highlight w:val="none"/>
        </w:rPr>
        <w:t>签约合同价（含增值税）为：暂定人民币（大写）【</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】）。此合同价为暂定价，最终以甲方确认的实际结算值为准。其中，不含增值税合同价款为人民币（大写）【</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】），增值税为人民币（大写）【</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】），税率【</w:t>
      </w: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rPr>
        <w:t>】%。</w:t>
      </w:r>
    </w:p>
    <w:p w14:paraId="7D9B3B23">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本合同约定的不含税价格不因国家税率变化而变化，在合同履行期间，如遇国家的税率调整，则价税合计的价格相应调整，以开具发票时间为准。</w:t>
      </w:r>
    </w:p>
    <w:p w14:paraId="4738B423">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 xml:space="preserve">4.2 </w:t>
      </w:r>
      <w:r>
        <w:rPr>
          <w:rFonts w:hint="eastAsia" w:ascii="仿宋_GB2312" w:hAnsi="仿宋_GB2312" w:eastAsia="仿宋_GB2312" w:cs="仿宋_GB2312"/>
          <w:color w:val="auto"/>
          <w:sz w:val="28"/>
          <w:szCs w:val="28"/>
          <w:highlight w:val="none"/>
        </w:rPr>
        <w:t>合同价格形式：本合同采用【固定综合单价】，具体单价详见后附工程量清单与计价表（以下简称综合单价表）。</w:t>
      </w:r>
    </w:p>
    <w:p w14:paraId="65637775">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综合单价表中不含税综合单价包含但不限于：</w:t>
      </w:r>
    </w:p>
    <w:p w14:paraId="33EAAE0E">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①人工费、材料费（甲供材除外）、小型机械费、管理费、利润、除增值税外的其他全部税费（包括但不限于城市建设维护税、教育费附加及地方教育费附加、个人所得税、合同印花税、企业所得税、车船使用税以及国家和地方规定的所有税费）；</w:t>
      </w:r>
    </w:p>
    <w:p w14:paraId="4D240DCD">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②设备进退场及场外运输费用、材料和设备的场内水平运输及二次及多次倒运费用、二次进场费、专用工具费、缺陷修复费、成品保护费、水电费、措施费（如垃圾清运、现场二次及多次搭拆施工用架子及吊篮、后期服务等费用）、施工降效费、超高费、运输费（含运输保险费）、深化设计费；</w:t>
      </w:r>
    </w:p>
    <w:p w14:paraId="7B324C95">
      <w:pPr>
        <w:keepNext w:val="0"/>
        <w:keepLines w:val="0"/>
        <w:pageBreakBefore w:val="0"/>
        <w:widowControl/>
        <w:suppressLineNumbers w:val="0"/>
        <w:shd w:val="clear"/>
        <w:overflowPunct/>
        <w:topLinePunct w:val="0"/>
        <w:bidi w:val="0"/>
        <w:spacing w:line="440" w:lineRule="exact"/>
        <w:ind w:left="0" w:leftChars="0"/>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③外经证办理费用、进入工程所在地备案费用、意外人身保险等所有保险费、承包范围内的材料检测及检验试验配合费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送检</w:t>
      </w:r>
      <w:r>
        <w:rPr>
          <w:rFonts w:hint="eastAsia" w:ascii="仿宋_GB2312" w:hAnsi="仿宋_GB2312" w:eastAsia="仿宋_GB2312" w:cs="仿宋_GB2312"/>
          <w:color w:val="auto"/>
          <w:sz w:val="28"/>
          <w:szCs w:val="28"/>
          <w:highlight w:val="none"/>
        </w:rPr>
        <w:t>、第三方检测、验收配合费、</w:t>
      </w:r>
      <w:r>
        <w:rPr>
          <w:rFonts w:hint="eastAsia" w:ascii="仿宋_GB2312" w:hAnsi="仿宋_GB2312" w:eastAsia="仿宋_GB2312" w:cs="仿宋_GB2312"/>
          <w:color w:val="auto"/>
          <w:sz w:val="28"/>
          <w:szCs w:val="28"/>
          <w:highlight w:val="none"/>
          <w:lang w:val="en-US" w:eastAsia="zh-CN"/>
        </w:rPr>
        <w:t>安全文明施工、场内清扫、覆盖、迎检、</w:t>
      </w:r>
      <w:r>
        <w:rPr>
          <w:rFonts w:hint="eastAsia" w:ascii="仿宋_GB2312" w:hAnsi="仿宋_GB2312" w:eastAsia="仿宋_GB2312" w:cs="仿宋_GB2312"/>
          <w:color w:val="auto"/>
          <w:sz w:val="28"/>
          <w:szCs w:val="28"/>
          <w:highlight w:val="none"/>
        </w:rPr>
        <w:t>安全监督费用、地下障碍物清除费用、交通费、保洁费、风险费用、协调及完成本分包工作内容的安全费用、技术费用、措施费用、乙方自有人员（包括管理人员及劳务工人）的养老保险、工伤保险、医疗保险、失业保险、生育保险、住房公积金、危险作业意外伤害保险及当地政府部门规定的其他险种等与完成本分包工程相关的全部费用；</w:t>
      </w:r>
    </w:p>
    <w:p w14:paraId="53B0EB89">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④因疫情常态化防控发生的各种防疫费用。</w:t>
      </w:r>
    </w:p>
    <w:p w14:paraId="1403677C">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 xml:space="preserve">4.3 </w:t>
      </w:r>
      <w:r>
        <w:rPr>
          <w:rFonts w:hint="eastAsia" w:ascii="仿宋_GB2312" w:hAnsi="仿宋_GB2312" w:eastAsia="仿宋_GB2312" w:cs="仿宋_GB2312"/>
          <w:color w:val="auto"/>
          <w:sz w:val="28"/>
          <w:szCs w:val="28"/>
          <w:highlight w:val="none"/>
        </w:rPr>
        <w:t>工程量计算规则：【工程量计算规则详见清单。参照《房屋建筑与装饰工程工程量计算规范》（GB 50854-2013）计算，如规范中缺少（或不适用）相应的计量规则，按照图纸和现场签证按实计算工程量，图纸以设计单位签字确认的深化施工图纸、图纸变更及图纸会审为依据】。</w:t>
      </w:r>
    </w:p>
    <w:p w14:paraId="61A5B22C">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 xml:space="preserve">4.4 </w:t>
      </w:r>
      <w:r>
        <w:rPr>
          <w:rFonts w:hint="eastAsia" w:ascii="仿宋_GB2312" w:hAnsi="仿宋_GB2312" w:eastAsia="仿宋_GB2312" w:cs="仿宋_GB2312"/>
          <w:color w:val="auto"/>
          <w:sz w:val="28"/>
          <w:szCs w:val="28"/>
          <w:highlight w:val="none"/>
        </w:rPr>
        <w:t>其他</w:t>
      </w:r>
    </w:p>
    <w:p w14:paraId="2CB12FAE">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w:t>
      </w:r>
      <w:r>
        <w:rPr>
          <w:rFonts w:ascii="仿宋_GB2312" w:hAnsi="仿宋_GB2312" w:eastAsia="仿宋_GB2312" w:cs="仿宋_GB2312"/>
          <w:color w:val="auto"/>
          <w:sz w:val="28"/>
          <w:szCs w:val="28"/>
          <w:highlight w:val="none"/>
        </w:rPr>
        <w:t xml:space="preserve">.4.1 </w:t>
      </w:r>
      <w:r>
        <w:rPr>
          <w:rFonts w:hint="eastAsia" w:ascii="仿宋_GB2312" w:hAnsi="仿宋_GB2312" w:eastAsia="仿宋_GB2312" w:cs="仿宋_GB2312"/>
          <w:color w:val="auto"/>
          <w:sz w:val="28"/>
          <w:szCs w:val="28"/>
          <w:highlight w:val="none"/>
        </w:rPr>
        <w:t>所有应由乙方向行政管理部门交纳的费用、人员进出场费用和相关手续费用及其他费用均由乙方承担并自行缴纳。本合同中的所有税费，由乙方按照国家相应规定自行缴纳。乙方人员（包括管理人员和劳务工人）的养老保险、工伤保险、医疗保险、失业保险、生育保险、住房公积金、危险作业意外伤害保险及政府部门规定的其他险种等全部费用由乙方承担并自行缴纳。</w:t>
      </w:r>
    </w:p>
    <w:p w14:paraId="247EFD0E">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w:t>
      </w:r>
      <w:r>
        <w:rPr>
          <w:rFonts w:ascii="仿宋_GB2312" w:hAnsi="仿宋_GB2312" w:eastAsia="仿宋_GB2312" w:cs="仿宋_GB2312"/>
          <w:color w:val="auto"/>
          <w:sz w:val="28"/>
          <w:szCs w:val="28"/>
          <w:highlight w:val="none"/>
        </w:rPr>
        <w:t xml:space="preserve">.4.2 </w:t>
      </w:r>
      <w:r>
        <w:rPr>
          <w:rFonts w:hint="eastAsia" w:ascii="仿宋_GB2312" w:hAnsi="仿宋_GB2312" w:eastAsia="仿宋_GB2312" w:cs="仿宋_GB2312"/>
          <w:color w:val="auto"/>
          <w:sz w:val="28"/>
          <w:szCs w:val="28"/>
          <w:highlight w:val="none"/>
        </w:rPr>
        <w:t>水电费：乙方水电使用费用约定：</w:t>
      </w:r>
    </w:p>
    <w:p w14:paraId="451C17D8">
      <w:pPr>
        <w:keepNext w:val="0"/>
        <w:keepLines w:val="0"/>
        <w:pageBreakBefore w:val="0"/>
        <w:widowControl/>
        <w:suppressLineNumbers w:val="0"/>
        <w:shd w:val="clear"/>
        <w:overflowPunct/>
        <w:topLinePunct w:val="0"/>
        <w:bidi w:val="0"/>
        <w:spacing w:line="440" w:lineRule="exact"/>
        <w:ind w:left="0" w:leftChars="0"/>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【乙方进场前由甲方准备必要的一级配电箱及二级配电箱配套，本分包工程施工水电使用费</w:t>
      </w:r>
      <w:r>
        <w:rPr>
          <w:rFonts w:hint="eastAsia" w:ascii="仿宋_GB2312" w:hAnsi="仿宋_GB2312" w:eastAsia="仿宋_GB2312" w:cs="仿宋_GB2312"/>
          <w:color w:val="auto"/>
          <w:sz w:val="28"/>
          <w:szCs w:val="28"/>
          <w:highlight w:val="none"/>
          <w:lang w:val="en-US" w:eastAsia="zh-CN"/>
        </w:rPr>
        <w:t>按进度产值的【1】%计算，在进度款中直接扣除，最终结算完成后，以最终结算总造价的【1】%计算，补足结算与进度差额部分一次性扣除；</w:t>
      </w:r>
    </w:p>
    <w:p w14:paraId="0709C296">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不提供工人宿舍</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不提供办公室</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若工人宿舍为外租房，水电设施由乙方自行解决，乙方按时交纳水电费并承担因房屋租赁引起的一切责任】</w:t>
      </w:r>
      <w:r>
        <w:rPr>
          <w:rFonts w:hint="eastAsia" w:ascii="仿宋_GB2312" w:hAnsi="仿宋_GB2312" w:eastAsia="仿宋_GB2312" w:cs="仿宋_GB2312"/>
          <w:color w:val="auto"/>
          <w:sz w:val="28"/>
          <w:szCs w:val="28"/>
          <w:highlight w:val="none"/>
          <w:lang w:eastAsia="zh-CN"/>
        </w:rPr>
        <w:t>。</w:t>
      </w:r>
    </w:p>
    <w:p w14:paraId="3C06ED8D">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4.4.3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合同备案时所需的一切费用已包含在综合单价中。本合同签订后乙方应负责办理本合同备案事宜，如因乙方合同备案不及时导致乙方无法提供发票或提供的发票无法抵扣甲方已经缴纳的税金、施工手续无法正常办理等问题，造成甲方损失的，乙方应承担给甲方造成的损失并支付【</w:t>
      </w:r>
      <w:r>
        <w:rPr>
          <w:rFonts w:hint="eastAsia" w:ascii="仿宋_GB2312" w:hAnsi="仿宋_GB2312" w:eastAsia="仿宋_GB2312" w:cs="仿宋_GB2312"/>
          <w:color w:val="auto"/>
          <w:sz w:val="28"/>
          <w:szCs w:val="28"/>
          <w:highlight w:val="none"/>
          <w:lang w:val="en-US" w:eastAsia="zh-CN"/>
        </w:rPr>
        <w:t>2万</w:t>
      </w:r>
      <w:r>
        <w:rPr>
          <w:rFonts w:hint="eastAsia" w:ascii="仿宋_GB2312" w:hAnsi="仿宋_GB2312" w:eastAsia="仿宋_GB2312" w:cs="仿宋_GB2312"/>
          <w:color w:val="auto"/>
          <w:sz w:val="28"/>
          <w:szCs w:val="28"/>
          <w:highlight w:val="none"/>
        </w:rPr>
        <w:t>】元惩罚性违约金。</w:t>
      </w:r>
    </w:p>
    <w:p w14:paraId="21E19FCE">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4.4.4</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安全生产费用已包含在合同价款中，乙方相应安全生产费用投入不得低于国家、地方相关标准。</w:t>
      </w:r>
      <w:r>
        <w:rPr>
          <w:rFonts w:hint="eastAsia" w:ascii="仿宋_GB2312" w:hAnsi="仿宋_GB2312" w:eastAsia="仿宋_GB2312" w:cs="仿宋_GB2312"/>
          <w:color w:val="auto"/>
          <w:sz w:val="28"/>
          <w:szCs w:val="28"/>
          <w:highlight w:val="none"/>
          <w:lang w:eastAsia="zh-CN"/>
        </w:rPr>
        <w:t>分包人应保证安全</w:t>
      </w:r>
      <w:r>
        <w:rPr>
          <w:rFonts w:hint="eastAsia" w:ascii="仿宋_GB2312" w:hAnsi="仿宋_GB2312" w:eastAsia="仿宋_GB2312" w:cs="仿宋_GB2312"/>
          <w:color w:val="auto"/>
          <w:sz w:val="28"/>
          <w:szCs w:val="28"/>
          <w:highlight w:val="none"/>
          <w:u w:val="none"/>
          <w:lang w:eastAsia="zh-CN"/>
        </w:rPr>
        <w:t>生产措施费不低于</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single"/>
          <w:lang w:val="en-US" w:eastAsia="zh-CN"/>
        </w:rPr>
        <w:t>3%</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rPr>
        <w:t>安全生产费用</w:t>
      </w:r>
      <w:r>
        <w:rPr>
          <w:rFonts w:hint="eastAsia" w:ascii="仿宋_GB2312" w:hAnsi="仿宋_GB2312" w:eastAsia="仿宋_GB2312" w:cs="仿宋_GB2312"/>
          <w:color w:val="auto"/>
          <w:sz w:val="28"/>
          <w:szCs w:val="28"/>
          <w:highlight w:val="none"/>
          <w:u w:val="none"/>
        </w:rPr>
        <w:t>¥</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元（大写：</w:t>
      </w:r>
      <w:r>
        <w:rPr>
          <w:rFonts w:hint="eastAsia" w:ascii="仿宋_GB2312" w:hAnsi="仿宋_GB2312" w:eastAsia="仿宋_GB2312" w:cs="仿宋_GB2312"/>
          <w:color w:val="auto"/>
          <w:sz w:val="28"/>
          <w:szCs w:val="28"/>
          <w:highlight w:val="none"/>
          <w:u w:val="none"/>
          <w:lang w:val="en-US" w:eastAsia="zh-CN"/>
        </w:rPr>
        <w:t>人民币</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w:t>
      </w:r>
      <w:r>
        <w:rPr>
          <w:rFonts w:hint="eastAsia" w:ascii="仿宋_GB2312" w:hAnsi="仿宋_GB2312" w:eastAsia="仿宋_GB2312" w:cs="仿宋_GB2312"/>
          <w:color w:val="auto"/>
          <w:sz w:val="28"/>
          <w:szCs w:val="28"/>
          <w:highlight w:val="none"/>
        </w:rPr>
        <w:t>。</w:t>
      </w:r>
      <w:bookmarkStart w:id="801" w:name="_Toc17844"/>
    </w:p>
    <w:p w14:paraId="7DE21EE8">
      <w:pPr>
        <w:pageBreakBefore w:val="0"/>
        <w:widowControl/>
        <w:shd w:val="clear"/>
        <w:kinsoku w:val="0"/>
        <w:overflowPunct/>
        <w:topLinePunct w:val="0"/>
        <w:autoSpaceDE w:val="0"/>
        <w:autoSpaceDN w:val="0"/>
        <w:bidi w:val="0"/>
        <w:adjustRightInd w:val="0"/>
        <w:snapToGrid w:val="0"/>
        <w:spacing w:line="440" w:lineRule="exact"/>
        <w:ind w:left="0" w:leftChars="0"/>
        <w:jc w:val="left"/>
        <w:textAlignment w:val="baseline"/>
        <w:outlineLvl w:val="1"/>
        <w:rPr>
          <w:rFonts w:ascii="黑体" w:hAnsi="黑体" w:eastAsia="黑体" w:cs="黑体"/>
          <w:b/>
          <w:bCs/>
          <w:snapToGrid w:val="0"/>
          <w:color w:val="auto"/>
          <w:spacing w:val="-3"/>
          <w:kern w:val="0"/>
          <w:sz w:val="28"/>
          <w:szCs w:val="28"/>
          <w:highlight w:val="none"/>
          <w:lang w:eastAsia="en-US"/>
        </w:rPr>
      </w:pPr>
      <w:r>
        <w:rPr>
          <w:rFonts w:hint="eastAsia" w:ascii="黑体" w:hAnsi="黑体" w:eastAsia="黑体" w:cs="黑体"/>
          <w:b/>
          <w:bCs/>
          <w:snapToGrid w:val="0"/>
          <w:color w:val="auto"/>
          <w:spacing w:val="-3"/>
          <w:kern w:val="0"/>
          <w:sz w:val="28"/>
          <w:szCs w:val="28"/>
          <w:highlight w:val="none"/>
          <w:lang w:eastAsia="en-US"/>
        </w:rPr>
        <w:t>五、工程款支付</w:t>
      </w:r>
      <w:bookmarkEnd w:id="801"/>
    </w:p>
    <w:p w14:paraId="06A7F529">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5.1</w:t>
      </w:r>
      <w:r>
        <w:rPr>
          <w:rFonts w:hint="eastAsia" w:ascii="仿宋_GB2312" w:hAnsi="仿宋_GB2312" w:eastAsia="仿宋_GB2312" w:cs="仿宋_GB2312"/>
          <w:color w:val="auto"/>
          <w:sz w:val="28"/>
          <w:szCs w:val="28"/>
          <w:highlight w:val="none"/>
        </w:rPr>
        <w:t>【按以下方式支付分包人工程款：</w:t>
      </w:r>
    </w:p>
    <w:p w14:paraId="6CB86C8D">
      <w:pPr>
        <w:pStyle w:val="21"/>
        <w:keepNext w:val="0"/>
        <w:keepLines w:val="0"/>
        <w:pageBreakBefore w:val="0"/>
        <w:widowControl/>
        <w:suppressLineNumbers w:val="0"/>
        <w:shd w:val="clear" w:color="auto"/>
        <w:kinsoku/>
        <w:wordWrap/>
        <w:overflowPunct/>
        <w:topLinePunct w:val="0"/>
        <w:autoSpaceDE/>
        <w:autoSpaceDN/>
        <w:bidi w:val="0"/>
        <w:adjustRightInd/>
        <w:snapToGrid/>
        <w:spacing w:beforeAutospacing="0" w:afterAutospacing="0" w:line="440" w:lineRule="exact"/>
        <w:ind w:left="0" w:leftChars="0" w:right="0"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①本工程无预付款，当月施工完毕的工程，经业主、监理单位及承包人共同确认已完工工程量后，支付至已完工工程价款的75%；</w:t>
      </w:r>
    </w:p>
    <w:p w14:paraId="42A3CA68">
      <w:pPr>
        <w:pStyle w:val="21"/>
        <w:keepNext w:val="0"/>
        <w:keepLines w:val="0"/>
        <w:pageBreakBefore w:val="0"/>
        <w:widowControl/>
        <w:suppressLineNumbers w:val="0"/>
        <w:shd w:val="clear" w:color="auto"/>
        <w:kinsoku/>
        <w:wordWrap/>
        <w:overflowPunct/>
        <w:topLinePunct w:val="0"/>
        <w:autoSpaceDE/>
        <w:autoSpaceDN/>
        <w:bidi w:val="0"/>
        <w:adjustRightInd/>
        <w:snapToGrid/>
        <w:spacing w:beforeAutospacing="0" w:afterAutospacing="0" w:line="440" w:lineRule="exact"/>
        <w:ind w:left="0" w:leftChars="0" w:right="0"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②工程全部施工完毕，经业主、监理单位及承包人共同验收合格并书面确认后，支付至已完工工程价款的80%；</w:t>
      </w:r>
    </w:p>
    <w:p w14:paraId="7B554501">
      <w:pPr>
        <w:pStyle w:val="21"/>
        <w:keepNext w:val="0"/>
        <w:keepLines w:val="0"/>
        <w:pageBreakBefore w:val="0"/>
        <w:widowControl/>
        <w:suppressLineNumbers w:val="0"/>
        <w:shd w:val="clear" w:color="auto"/>
        <w:kinsoku/>
        <w:wordWrap/>
        <w:overflowPunct/>
        <w:topLinePunct w:val="0"/>
        <w:autoSpaceDE/>
        <w:autoSpaceDN/>
        <w:bidi w:val="0"/>
        <w:adjustRightInd/>
        <w:snapToGrid/>
        <w:spacing w:beforeAutospacing="0" w:afterAutospacing="0" w:line="440" w:lineRule="exact"/>
        <w:ind w:left="0" w:leftChars="0" w:right="0"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③本分包工程整体验收合格并结算办理完毕后无息支付至合同总价的97%,余3%作为质量保修金。</w:t>
      </w:r>
    </w:p>
    <w:p w14:paraId="6E181C87">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④承包人每期向分包人支付款项时均应扣除承包人向分包人所供材料费用、机械使用费用、分包人向承包人的借款、分包人应当承担的罚款、违约金、合同规定应扣除的其他款项，在当期及时扣除，若未在当期及时扣除上述款项，承包人有权在下一期工程款或分包人施工的其他任一项目中补扣，分包人对此无异议。</w:t>
      </w:r>
    </w:p>
    <w:p w14:paraId="008D2A19">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⑤承包人有权以商业承兑汇票、银行承兑汇票、保理、供应链等非现金方式向分包人支付工程款，如需贴现，费用由分包人承担。</w:t>
      </w:r>
    </w:p>
    <w:p w14:paraId="51632E28">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⑥分包人收款前应向承包人提供等额、合规、税率为</w:t>
      </w: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rPr>
        <w:t>%的增值税专用发票（增值税税率以国家税法规定为准，若国家税法发生变化，税率随之变化）</w:t>
      </w:r>
    </w:p>
    <w:p w14:paraId="05B1BF44">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⑦如分包人发生农民工上访、投诉等讨薪行为，承包人代付农民工工资，相应金额视为对分包人支付的工程款，从其应收工程款中扣除，若分包人单位未能及时消除给承包人及社会带来的负面影响，分包人将承担承包人代付金额10%的违约罚款。如分包人违约，对应的处罚金额视为对分包人支付的工程款，从其应收工程款中扣除。</w:t>
      </w:r>
    </w:p>
    <w:p w14:paraId="4D4BA0E1">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⑧在保修期间负责承包施工范围内的维修工作，如在总包方指定的时间内没有派人维修，总包方将另行派人维修，并从工程质保金中扣除维修费用。如所留质保金不够维修支出，由</w:t>
      </w:r>
      <w:r>
        <w:rPr>
          <w:rFonts w:hint="eastAsia" w:ascii="仿宋_GB2312" w:hAnsi="仿宋_GB2312" w:eastAsia="仿宋_GB2312" w:cs="仿宋_GB2312"/>
          <w:color w:val="auto"/>
          <w:sz w:val="28"/>
          <w:szCs w:val="28"/>
          <w:highlight w:val="none"/>
          <w:lang w:val="en-US" w:eastAsia="zh-CN"/>
        </w:rPr>
        <w:t>分包</w:t>
      </w:r>
      <w:r>
        <w:rPr>
          <w:rFonts w:hint="eastAsia" w:ascii="仿宋_GB2312" w:hAnsi="仿宋_GB2312" w:eastAsia="仿宋_GB2312" w:cs="仿宋_GB2312"/>
          <w:color w:val="auto"/>
          <w:sz w:val="28"/>
          <w:szCs w:val="28"/>
          <w:highlight w:val="none"/>
        </w:rPr>
        <w:t>人另行支付。其余款项待保修期满并扣除发生的维修费用后结清。项目质量保修书（竣工维修协议）应与合同同时签订且各条款信息（授权人，电子邮箱等）约定明确。</w:t>
      </w:r>
    </w:p>
    <w:p w14:paraId="18A432FF">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⑨若总包方因特殊原因不能及时支付时，分包方应保证项目正常施工和队伍稳定。若在保修期内因分包单位施工原因造成整体工程未达到本招标文件约定的质量标准，则保修金不予退还，并承担因此给总包方造成的一切损失。</w:t>
      </w:r>
    </w:p>
    <w:p w14:paraId="030A1FCE">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⑩分包人应提供根据合同全部价款和价外费用按照适用税率向承包人开具增值税发票，分包人所开具的增值税发票必须符合《中华人民共和国发票管理办法实施细则》等相关法律法规的相关要求；</w:t>
      </w:r>
    </w:p>
    <w:p w14:paraId="5B8EB184">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⑪分包人确认若向承包人在本合同项下提供多种应税务服务，则按照所提供的应税服务对应的不同税率开具增值税专用发票；如果不能进行区分，则向承包人按从高税率开具增值税专用发票。</w:t>
      </w:r>
    </w:p>
    <w:p w14:paraId="2BE97CC6">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⑫若过程结算开票金额大于最终结算金额或因最终结算审减导致已开票金额大于最终结算开票金额，超出最终结算开票金额部分发票成本由分包单位自行承担，不予退票或补偿。</w:t>
      </w:r>
    </w:p>
    <w:p w14:paraId="6A14454C">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⑬经云筑网招标并生成合同的分包工程，分包人必须在每个月25日前上传经过相关人员审批通过的“分包工程月度结算表”至云筑网，并完成云筑网分包工程产值录入工作，否则不予办理本月结算付款。】</w:t>
      </w:r>
    </w:p>
    <w:p w14:paraId="01FBE03A">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工程进度款支付方式：</w:t>
      </w:r>
      <w:r>
        <w:rPr>
          <w:rFonts w:hint="eastAsia" w:ascii="仿宋_GB2312" w:hAnsi="仿宋_GB2312" w:eastAsia="仿宋_GB2312" w:cs="仿宋_GB2312"/>
          <w:color w:val="auto"/>
          <w:sz w:val="28"/>
          <w:szCs w:val="28"/>
          <w:highlight w:val="none"/>
          <w:u w:val="single"/>
          <w:lang w:val="en-US" w:eastAsia="zh-CN"/>
        </w:rPr>
        <w:t xml:space="preserve"> 100 %</w:t>
      </w:r>
      <w:r>
        <w:rPr>
          <w:rFonts w:hint="eastAsia" w:ascii="仿宋_GB2312" w:hAnsi="仿宋_GB2312" w:eastAsia="仿宋_GB2312" w:cs="仿宋_GB2312"/>
          <w:color w:val="auto"/>
          <w:sz w:val="28"/>
          <w:szCs w:val="28"/>
          <w:highlight w:val="none"/>
          <w:lang w:val="en-US" w:eastAsia="zh-CN"/>
        </w:rPr>
        <w:t>现金，</w:t>
      </w:r>
      <w:r>
        <w:rPr>
          <w:rFonts w:hint="eastAsia" w:ascii="仿宋_GB2312" w:hAnsi="仿宋_GB2312" w:eastAsia="仿宋_GB2312" w:cs="仿宋_GB2312"/>
          <w:color w:val="auto"/>
          <w:sz w:val="28"/>
          <w:szCs w:val="28"/>
          <w:highlight w:val="none"/>
          <w:u w:val="single"/>
          <w:lang w:val="en-US" w:eastAsia="zh-CN"/>
        </w:rPr>
        <w:t xml:space="preserve">  0 %</w:t>
      </w:r>
      <w:r>
        <w:rPr>
          <w:rFonts w:hint="eastAsia" w:ascii="仿宋_GB2312" w:hAnsi="仿宋_GB2312" w:eastAsia="仿宋_GB2312" w:cs="仿宋_GB2312"/>
          <w:color w:val="auto"/>
          <w:sz w:val="28"/>
          <w:szCs w:val="28"/>
          <w:highlight w:val="none"/>
          <w:lang w:val="en-US" w:eastAsia="zh-CN"/>
        </w:rPr>
        <w:t>乙方接受的资产，其中现金直接转账支付至合同约定的乙方银行账户。</w:t>
      </w:r>
    </w:p>
    <w:p w14:paraId="3E2B77B6">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甲方每期向乙方支付款项时有权扣除：（1）乙方按约应承担的违约金；（2）按合同应扣除的其他款项。</w:t>
      </w:r>
    </w:p>
    <w:p w14:paraId="639CA6AF">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5.</w:t>
      </w:r>
      <w:r>
        <w:rPr>
          <w:rFonts w:hint="eastAsia" w:ascii="仿宋_GB2312" w:hAnsi="仿宋_GB2312" w:eastAsia="仿宋_GB2312" w:cs="仿宋_GB2312"/>
          <w:color w:val="auto"/>
          <w:sz w:val="28"/>
          <w:szCs w:val="28"/>
          <w:highlight w:val="none"/>
          <w:lang w:val="en-US" w:eastAsia="zh-CN"/>
        </w:rPr>
        <w:t>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乙方指定下列账户为收款账户，甲方采用转账方式付款时，应支付至下列账户。如乙方变更收款账户，应提前1</w:t>
      </w:r>
      <w:r>
        <w:rPr>
          <w:rFonts w:ascii="仿宋_GB2312" w:hAnsi="仿宋_GB2312" w:eastAsia="仿宋_GB2312" w:cs="仿宋_GB2312"/>
          <w:color w:val="auto"/>
          <w:sz w:val="28"/>
          <w:szCs w:val="28"/>
          <w:highlight w:val="none"/>
        </w:rPr>
        <w:t>5</w:t>
      </w:r>
      <w:r>
        <w:rPr>
          <w:rFonts w:hint="eastAsia" w:ascii="仿宋_GB2312" w:hAnsi="仿宋_GB2312" w:eastAsia="仿宋_GB2312" w:cs="仿宋_GB2312"/>
          <w:color w:val="auto"/>
          <w:sz w:val="28"/>
          <w:szCs w:val="28"/>
          <w:highlight w:val="none"/>
        </w:rPr>
        <w:t>天以上书面通知甲方，否则甲方有权暂缓付款。乙方指定收款账户为：</w:t>
      </w:r>
    </w:p>
    <w:p w14:paraId="6DD8DF7F">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账户名：【</w:t>
      </w:r>
      <w:r>
        <w:rPr>
          <w:rFonts w:hint="eastAsia" w:ascii="仿宋_GB2312" w:hAnsi="仿宋_GB2312" w:eastAsia="仿宋_GB2312" w:cs="仿宋_GB2312"/>
          <w:color w:val="auto"/>
          <w:sz w:val="28"/>
          <w:szCs w:val="28"/>
          <w:highlight w:val="none"/>
          <w:lang w:eastAsia="zh-CN"/>
        </w:rPr>
        <w:t>XXXX</w:t>
      </w:r>
      <w:r>
        <w:rPr>
          <w:rFonts w:hint="eastAsia" w:ascii="仿宋_GB2312" w:hAnsi="仿宋_GB2312" w:eastAsia="仿宋_GB2312" w:cs="仿宋_GB2312"/>
          <w:color w:val="auto"/>
          <w:sz w:val="28"/>
          <w:szCs w:val="28"/>
          <w:highlight w:val="none"/>
        </w:rPr>
        <w:t>】</w:t>
      </w:r>
    </w:p>
    <w:p w14:paraId="48BB22E0">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w:t>
      </w:r>
    </w:p>
    <w:p w14:paraId="2F1B4B67">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账  号：【</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w:t>
      </w:r>
    </w:p>
    <w:p w14:paraId="0D93A927">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 xml:space="preserve">5.6 </w:t>
      </w:r>
      <w:r>
        <w:rPr>
          <w:rFonts w:hint="eastAsia" w:ascii="仿宋_GB2312" w:hAnsi="仿宋_GB2312" w:eastAsia="仿宋_GB2312" w:cs="仿宋_GB2312"/>
          <w:color w:val="auto"/>
          <w:sz w:val="28"/>
          <w:szCs w:val="28"/>
          <w:highlight w:val="none"/>
        </w:rPr>
        <w:t>每期报量经甲方审核确认后3日内，乙方按合同约定税率开具与当期付款金额等额的合法有效且票面信息准确的增值税专用发票（包含税务机关代开），否则甲方有权拒绝付款且免于承担任何责任，乙方还应继续履行合同义务。甲方在收到乙方增值税专用发票且经验证合法有效后开始走付款审批流程，付款审批流程完成后付款。如因乙方未及时开具发票，甲方可拒绝付款，并不承担逾期付款责任。</w:t>
      </w:r>
    </w:p>
    <w:p w14:paraId="74CCFF8D">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 xml:space="preserve">5.7 </w:t>
      </w:r>
      <w:r>
        <w:rPr>
          <w:rFonts w:hint="eastAsia" w:ascii="仿宋_GB2312" w:hAnsi="仿宋_GB2312" w:eastAsia="仿宋_GB2312" w:cs="仿宋_GB2312"/>
          <w:color w:val="auto"/>
          <w:sz w:val="28"/>
          <w:szCs w:val="28"/>
          <w:highlight w:val="none"/>
        </w:rPr>
        <w:t>甲方应按照合同约定及时向乙方支付合同价款，若因甲方资金不到位，乙方同意给予甲方【60】日的宽限期，宽限期内不视为甲方违约。超过宽限期仍未支付的，乙方可向甲方主张自宽限期结束后的违约金；违约金以逾期支付的价款为基数，自宽限期结束之日起至甲方支付逾期价款之日止，按【同期全国银行间同业拆借中心公布的1年期贷款市场报价利率（LPR）】向乙方计付，逾期支付违约金的上限为逾期支付金额的【5】%。</w:t>
      </w:r>
    </w:p>
    <w:p w14:paraId="7774C1E0">
      <w:pPr>
        <w:pStyle w:val="5"/>
        <w:pageBreakBefore w:val="0"/>
        <w:shd w:val="clear"/>
        <w:overflowPunct/>
        <w:topLinePunct w:val="0"/>
        <w:bidi w:val="0"/>
        <w:spacing w:before="0" w:after="0" w:line="440" w:lineRule="exact"/>
        <w:ind w:left="0" w:leftChars="0" w:firstLine="562" w:firstLineChars="200"/>
        <w:rPr>
          <w:bCs w:val="0"/>
          <w:color w:val="auto"/>
          <w:highlight w:val="none"/>
        </w:rPr>
      </w:pPr>
      <w:bookmarkStart w:id="802" w:name="_Toc32758"/>
      <w:r>
        <w:rPr>
          <w:rFonts w:hint="eastAsia"/>
          <w:bCs w:val="0"/>
          <w:color w:val="auto"/>
          <w:highlight w:val="none"/>
        </w:rPr>
        <w:t>六、增值税条款</w:t>
      </w:r>
      <w:bookmarkEnd w:id="802"/>
    </w:p>
    <w:p w14:paraId="553E9FBE">
      <w:pPr>
        <w:pageBreakBefore w:val="0"/>
        <w:shd w:val="clear"/>
        <w:overflowPunct/>
        <w:topLinePunct w:val="0"/>
        <w:bidi w:val="0"/>
        <w:spacing w:line="440" w:lineRule="exact"/>
        <w:ind w:left="0" w:leftChars="0" w:firstLine="562" w:firstLineChars="200"/>
        <w:rPr>
          <w:rFonts w:hint="eastAsia" w:ascii="Times New Roman" w:hAnsi="Times New Roman" w:eastAsia="黑体"/>
          <w:b/>
          <w:color w:val="auto"/>
          <w:sz w:val="28"/>
          <w:szCs w:val="28"/>
          <w:highlight w:val="none"/>
        </w:rPr>
      </w:pPr>
      <w:bookmarkStart w:id="803" w:name="_Toc464502357"/>
      <w:bookmarkStart w:id="804" w:name="_Toc465088461"/>
      <w:bookmarkStart w:id="805" w:name="_Toc465085394"/>
      <w:r>
        <w:rPr>
          <w:rFonts w:hint="eastAsia" w:ascii="Times New Roman" w:hAnsi="Times New Roman" w:eastAsia="黑体"/>
          <w:b/>
          <w:color w:val="auto"/>
          <w:sz w:val="28"/>
          <w:szCs w:val="28"/>
          <w:highlight w:val="none"/>
        </w:rPr>
        <w:t>6.1 双方基本信息</w:t>
      </w:r>
      <w:bookmarkEnd w:id="803"/>
      <w:bookmarkEnd w:id="804"/>
      <w:bookmarkEnd w:id="805"/>
    </w:p>
    <w:tbl>
      <w:tblPr>
        <w:tblStyle w:val="25"/>
        <w:tblW w:w="8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431"/>
        <w:gridCol w:w="5320"/>
      </w:tblGrid>
      <w:tr w14:paraId="3A4FA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restart"/>
            <w:tcBorders>
              <w:top w:val="single" w:color="auto" w:sz="12" w:space="0"/>
              <w:left w:val="single" w:color="auto" w:sz="12" w:space="0"/>
            </w:tcBorders>
            <w:shd w:val="clear" w:color="auto" w:fill="auto"/>
            <w:vAlign w:val="center"/>
          </w:tcPr>
          <w:p w14:paraId="71C2736A">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甲方</w:t>
            </w:r>
          </w:p>
        </w:tc>
        <w:tc>
          <w:tcPr>
            <w:tcW w:w="2431" w:type="dxa"/>
            <w:tcBorders>
              <w:top w:val="single" w:color="auto" w:sz="12" w:space="0"/>
            </w:tcBorders>
            <w:shd w:val="clear" w:color="auto" w:fill="auto"/>
          </w:tcPr>
          <w:p w14:paraId="4BD291BC">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名        称</w:t>
            </w:r>
          </w:p>
        </w:tc>
        <w:tc>
          <w:tcPr>
            <w:tcW w:w="5320" w:type="dxa"/>
            <w:tcBorders>
              <w:top w:val="single" w:color="auto" w:sz="12" w:space="0"/>
              <w:right w:val="single" w:color="auto" w:sz="12" w:space="0"/>
            </w:tcBorders>
            <w:shd w:val="clear" w:color="auto" w:fill="auto"/>
            <w:vAlign w:val="top"/>
          </w:tcPr>
          <w:p w14:paraId="682DA63F">
            <w:pPr>
              <w:keepNext w:val="0"/>
              <w:keepLines w:val="0"/>
              <w:pageBreakBefore w:val="0"/>
              <w:suppressLineNumbers w:val="0"/>
              <w:shd w:val="clear"/>
              <w:overflowPunct/>
              <w:topLinePunct w:val="0"/>
              <w:bidi w:val="0"/>
              <w:spacing w:beforeAutospacing="0" w:afterAutospacing="0" w:line="440" w:lineRule="exact"/>
              <w:ind w:left="0" w:leftChars="0" w:right="0" w:rightChars="0"/>
              <w:contextualSpacing/>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2"/>
                <w:sz w:val="24"/>
                <w:szCs w:val="24"/>
                <w:highlight w:val="none"/>
                <w:u w:val="none"/>
                <w:lang w:eastAsia="zh-CN"/>
              </w:rPr>
              <w:t>XXXX</w:t>
            </w:r>
          </w:p>
        </w:tc>
      </w:tr>
      <w:tr w14:paraId="5F4D8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vAlign w:val="center"/>
          </w:tcPr>
          <w:p w14:paraId="1DC4E52A">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b/>
                <w:color w:val="auto"/>
                <w:sz w:val="28"/>
                <w:szCs w:val="28"/>
                <w:highlight w:val="none"/>
              </w:rPr>
            </w:pPr>
          </w:p>
        </w:tc>
        <w:tc>
          <w:tcPr>
            <w:tcW w:w="2431" w:type="dxa"/>
            <w:shd w:val="clear" w:color="auto" w:fill="auto"/>
          </w:tcPr>
          <w:p w14:paraId="25983069">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纳税人身份</w:t>
            </w:r>
          </w:p>
        </w:tc>
        <w:tc>
          <w:tcPr>
            <w:tcW w:w="5320" w:type="dxa"/>
            <w:tcBorders>
              <w:right w:val="single" w:color="auto" w:sz="12" w:space="0"/>
            </w:tcBorders>
            <w:shd w:val="clear" w:color="auto" w:fill="auto"/>
            <w:vAlign w:val="top"/>
          </w:tcPr>
          <w:p w14:paraId="5A85EFCE">
            <w:pPr>
              <w:keepNext w:val="0"/>
              <w:keepLines w:val="0"/>
              <w:pageBreakBefore w:val="0"/>
              <w:suppressLineNumbers w:val="0"/>
              <w:shd w:val="clear"/>
              <w:overflowPunct/>
              <w:topLinePunct w:val="0"/>
              <w:bidi w:val="0"/>
              <w:spacing w:beforeAutospacing="0" w:afterAutospacing="0" w:line="440" w:lineRule="exact"/>
              <w:ind w:left="0" w:leftChars="0" w:right="0" w:rightChars="0"/>
              <w:contextualSpacing/>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sym w:font="Wingdings 2" w:char="F052"/>
            </w:r>
            <w:r>
              <w:rPr>
                <w:rFonts w:hint="eastAsia" w:ascii="仿宋_GB2312" w:hAnsi="仿宋_GB2312" w:eastAsia="仿宋_GB2312" w:cs="仿宋_GB2312"/>
                <w:color w:val="auto"/>
                <w:sz w:val="24"/>
                <w:szCs w:val="24"/>
                <w:highlight w:val="none"/>
              </w:rPr>
              <w:t>一般纳税人 □小规模纳税人（请勾选）</w:t>
            </w:r>
          </w:p>
        </w:tc>
      </w:tr>
      <w:tr w14:paraId="6EDF3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vAlign w:val="center"/>
          </w:tcPr>
          <w:p w14:paraId="3D13DC19">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b/>
                <w:color w:val="auto"/>
                <w:sz w:val="28"/>
                <w:szCs w:val="28"/>
                <w:highlight w:val="none"/>
              </w:rPr>
            </w:pPr>
          </w:p>
        </w:tc>
        <w:tc>
          <w:tcPr>
            <w:tcW w:w="2431" w:type="dxa"/>
            <w:shd w:val="clear" w:color="auto" w:fill="auto"/>
          </w:tcPr>
          <w:p w14:paraId="3DEF7D81">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纳税人识别号</w:t>
            </w:r>
          </w:p>
        </w:tc>
        <w:tc>
          <w:tcPr>
            <w:tcW w:w="5320" w:type="dxa"/>
            <w:tcBorders>
              <w:right w:val="single" w:color="auto" w:sz="12" w:space="0"/>
            </w:tcBorders>
            <w:shd w:val="clear" w:color="auto" w:fill="auto"/>
            <w:vAlign w:val="top"/>
          </w:tcPr>
          <w:p w14:paraId="27AE9036">
            <w:pPr>
              <w:keepNext w:val="0"/>
              <w:keepLines w:val="0"/>
              <w:pageBreakBefore w:val="0"/>
              <w:widowControl w:val="0"/>
              <w:suppressLineNumbers w:val="0"/>
              <w:shd w:val="clear"/>
              <w:kinsoku/>
              <w:wordWrap w:val="0"/>
              <w:overflowPunct/>
              <w:topLinePunct w:val="0"/>
              <w:bidi w:val="0"/>
              <w:spacing w:beforeAutospacing="0" w:afterAutospacing="0" w:line="440" w:lineRule="exact"/>
              <w:ind w:left="0" w:leftChars="0" w:right="0" w:rightChars="0"/>
              <w:contextualSpacing/>
              <w:jc w:val="left"/>
              <w:textAlignment w:val="auto"/>
              <w:rPr>
                <w:rFonts w:hint="eastAsia" w:ascii="仿宋_GB2312" w:hAnsi="仿宋_GB2312" w:eastAsia="仿宋_GB2312" w:cs="仿宋_GB2312"/>
                <w:color w:val="auto"/>
                <w:kern w:val="2"/>
                <w:sz w:val="24"/>
                <w:szCs w:val="24"/>
                <w:highlight w:val="none"/>
                <w:u w:val="none"/>
                <w:lang w:val="en-US" w:eastAsia="zh-CN" w:bidi="ar-SA"/>
              </w:rPr>
            </w:pPr>
            <w:r>
              <w:rPr>
                <w:rFonts w:hint="eastAsia" w:ascii="仿宋_GB2312" w:hAnsi="仿宋_GB2312" w:eastAsia="仿宋_GB2312" w:cs="仿宋_GB2312"/>
                <w:color w:val="auto"/>
                <w:kern w:val="2"/>
                <w:sz w:val="24"/>
                <w:szCs w:val="24"/>
                <w:highlight w:val="none"/>
                <w:u w:val="none"/>
                <w:lang w:val="en-US" w:eastAsia="zh-CN" w:bidi="ar-SA"/>
              </w:rPr>
              <w:t xml:space="preserve"> </w:t>
            </w:r>
          </w:p>
        </w:tc>
      </w:tr>
      <w:tr w14:paraId="4812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vAlign w:val="center"/>
          </w:tcPr>
          <w:p w14:paraId="03B43024">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b/>
                <w:color w:val="auto"/>
                <w:sz w:val="28"/>
                <w:szCs w:val="28"/>
                <w:highlight w:val="none"/>
              </w:rPr>
            </w:pPr>
          </w:p>
        </w:tc>
        <w:tc>
          <w:tcPr>
            <w:tcW w:w="2431" w:type="dxa"/>
            <w:shd w:val="clear" w:color="auto" w:fill="auto"/>
          </w:tcPr>
          <w:p w14:paraId="32A77DEA">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地 址、电 话</w:t>
            </w:r>
          </w:p>
        </w:tc>
        <w:tc>
          <w:tcPr>
            <w:tcW w:w="5320" w:type="dxa"/>
            <w:tcBorders>
              <w:right w:val="single" w:color="auto" w:sz="12" w:space="0"/>
            </w:tcBorders>
            <w:shd w:val="clear" w:color="auto" w:fill="auto"/>
            <w:vAlign w:val="top"/>
          </w:tcPr>
          <w:p w14:paraId="5E96539F">
            <w:pPr>
              <w:keepNext w:val="0"/>
              <w:keepLines w:val="0"/>
              <w:pageBreakBefore w:val="0"/>
              <w:widowControl w:val="0"/>
              <w:suppressLineNumbers w:val="0"/>
              <w:shd w:val="clear"/>
              <w:kinsoku/>
              <w:wordWrap w:val="0"/>
              <w:overflowPunct/>
              <w:topLinePunct w:val="0"/>
              <w:bidi w:val="0"/>
              <w:spacing w:beforeAutospacing="0" w:afterAutospacing="0" w:line="440" w:lineRule="exact"/>
              <w:ind w:left="0" w:leftChars="0" w:right="0" w:rightChars="0"/>
              <w:contextualSpacing/>
              <w:jc w:val="left"/>
              <w:textAlignment w:val="auto"/>
              <w:rPr>
                <w:rFonts w:hint="eastAsia" w:ascii="仿宋_GB2312" w:hAnsi="仿宋_GB2312" w:eastAsia="仿宋_GB2312" w:cs="仿宋_GB2312"/>
                <w:color w:val="auto"/>
                <w:kern w:val="2"/>
                <w:sz w:val="24"/>
                <w:szCs w:val="24"/>
                <w:highlight w:val="none"/>
                <w:u w:val="none"/>
                <w:lang w:val="en-US" w:eastAsia="zh-CN" w:bidi="ar-SA"/>
              </w:rPr>
            </w:pPr>
            <w:r>
              <w:rPr>
                <w:rFonts w:hint="eastAsia" w:ascii="仿宋_GB2312" w:hAnsi="仿宋_GB2312" w:eastAsia="仿宋_GB2312" w:cs="仿宋_GB2312"/>
                <w:color w:val="auto"/>
                <w:kern w:val="2"/>
                <w:sz w:val="24"/>
                <w:szCs w:val="24"/>
                <w:highlight w:val="none"/>
                <w:u w:val="none"/>
                <w:lang w:val="en-US" w:eastAsia="zh-CN" w:bidi="ar-SA"/>
              </w:rPr>
              <w:t xml:space="preserve"> </w:t>
            </w:r>
          </w:p>
        </w:tc>
      </w:tr>
      <w:tr w14:paraId="1166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bottom w:val="double" w:color="auto" w:sz="4" w:space="0"/>
            </w:tcBorders>
            <w:shd w:val="clear" w:color="auto" w:fill="auto"/>
            <w:vAlign w:val="center"/>
          </w:tcPr>
          <w:p w14:paraId="16D75995">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b/>
                <w:color w:val="auto"/>
                <w:sz w:val="28"/>
                <w:szCs w:val="28"/>
                <w:highlight w:val="none"/>
              </w:rPr>
            </w:pPr>
          </w:p>
        </w:tc>
        <w:tc>
          <w:tcPr>
            <w:tcW w:w="2431" w:type="dxa"/>
            <w:tcBorders>
              <w:bottom w:val="double" w:color="auto" w:sz="4" w:space="0"/>
            </w:tcBorders>
            <w:shd w:val="clear" w:color="auto" w:fill="auto"/>
          </w:tcPr>
          <w:p w14:paraId="5E94763B">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开户行（全称）及账号</w:t>
            </w:r>
          </w:p>
        </w:tc>
        <w:tc>
          <w:tcPr>
            <w:tcW w:w="5320" w:type="dxa"/>
            <w:tcBorders>
              <w:bottom w:val="double" w:color="auto" w:sz="4" w:space="0"/>
              <w:right w:val="single" w:color="auto" w:sz="12" w:space="0"/>
            </w:tcBorders>
            <w:shd w:val="clear" w:color="auto" w:fill="auto"/>
            <w:vAlign w:val="top"/>
          </w:tcPr>
          <w:p w14:paraId="00888BC1">
            <w:pPr>
              <w:keepNext w:val="0"/>
              <w:keepLines w:val="0"/>
              <w:pageBreakBefore w:val="0"/>
              <w:widowControl w:val="0"/>
              <w:suppressLineNumbers w:val="0"/>
              <w:shd w:val="clear"/>
              <w:kinsoku/>
              <w:wordWrap w:val="0"/>
              <w:overflowPunct/>
              <w:topLinePunct w:val="0"/>
              <w:bidi w:val="0"/>
              <w:spacing w:beforeAutospacing="0" w:afterAutospacing="0" w:line="440" w:lineRule="exact"/>
              <w:ind w:left="0" w:leftChars="0" w:right="0" w:rightChars="0"/>
              <w:contextualSpacing/>
              <w:jc w:val="left"/>
              <w:textAlignment w:val="auto"/>
              <w:rPr>
                <w:rFonts w:hint="eastAsia" w:ascii="仿宋_GB2312" w:hAnsi="仿宋_GB2312" w:eastAsia="仿宋_GB2312" w:cs="仿宋_GB2312"/>
                <w:color w:val="auto"/>
                <w:kern w:val="2"/>
                <w:sz w:val="24"/>
                <w:szCs w:val="24"/>
                <w:highlight w:val="none"/>
                <w:u w:val="none"/>
                <w:lang w:val="en-US" w:eastAsia="zh-CN" w:bidi="ar-SA"/>
              </w:rPr>
            </w:pPr>
            <w:r>
              <w:rPr>
                <w:rFonts w:hint="eastAsia" w:ascii="仿宋_GB2312" w:hAnsi="仿宋_GB2312" w:eastAsia="仿宋_GB2312" w:cs="仿宋_GB2312"/>
                <w:color w:val="auto"/>
                <w:kern w:val="2"/>
                <w:sz w:val="24"/>
                <w:szCs w:val="24"/>
                <w:highlight w:val="none"/>
                <w:u w:val="none"/>
                <w:lang w:val="en-US" w:eastAsia="zh-CN" w:bidi="ar-SA"/>
              </w:rPr>
              <w:t xml:space="preserve"> </w:t>
            </w:r>
          </w:p>
        </w:tc>
      </w:tr>
      <w:tr w14:paraId="21063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restart"/>
            <w:tcBorders>
              <w:top w:val="double" w:color="auto" w:sz="4" w:space="0"/>
              <w:left w:val="single" w:color="auto" w:sz="12" w:space="0"/>
            </w:tcBorders>
            <w:shd w:val="clear" w:color="auto" w:fill="auto"/>
            <w:vAlign w:val="center"/>
          </w:tcPr>
          <w:p w14:paraId="172047FA">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乙方</w:t>
            </w:r>
          </w:p>
        </w:tc>
        <w:tc>
          <w:tcPr>
            <w:tcW w:w="2431" w:type="dxa"/>
            <w:tcBorders>
              <w:top w:val="double" w:color="auto" w:sz="4" w:space="0"/>
            </w:tcBorders>
            <w:shd w:val="clear" w:color="auto" w:fill="auto"/>
          </w:tcPr>
          <w:p w14:paraId="4C7609F0">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名        称</w:t>
            </w:r>
          </w:p>
        </w:tc>
        <w:tc>
          <w:tcPr>
            <w:tcW w:w="5320" w:type="dxa"/>
            <w:tcBorders>
              <w:top w:val="double" w:color="auto" w:sz="4" w:space="0"/>
              <w:right w:val="single" w:color="auto" w:sz="12" w:space="0"/>
            </w:tcBorders>
            <w:shd w:val="clear" w:color="auto" w:fill="auto"/>
          </w:tcPr>
          <w:p w14:paraId="676822A6">
            <w:pPr>
              <w:pageBreakBefore w:val="0"/>
              <w:shd w:val="clear"/>
              <w:overflowPunct/>
              <w:topLinePunct w:val="0"/>
              <w:bidi w:val="0"/>
              <w:spacing w:line="440" w:lineRule="exact"/>
              <w:ind w:left="0" w:leftChars="0"/>
              <w:contextualSpacing/>
              <w:jc w:val="both"/>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XXXX</w:t>
            </w:r>
          </w:p>
        </w:tc>
      </w:tr>
      <w:tr w14:paraId="6CA6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tcPr>
          <w:p w14:paraId="06614604">
            <w:pPr>
              <w:pageBreakBefore w:val="0"/>
              <w:shd w:val="clear"/>
              <w:overflowPunct/>
              <w:topLinePunct w:val="0"/>
              <w:bidi w:val="0"/>
              <w:spacing w:line="440" w:lineRule="exact"/>
              <w:ind w:left="0" w:leftChars="0"/>
              <w:contextualSpacing/>
              <w:rPr>
                <w:rFonts w:hint="eastAsia" w:ascii="仿宋_GB2312" w:hAnsi="仿宋_GB2312" w:eastAsia="仿宋_GB2312" w:cs="仿宋_GB2312"/>
                <w:color w:val="auto"/>
                <w:sz w:val="28"/>
                <w:szCs w:val="28"/>
                <w:highlight w:val="none"/>
              </w:rPr>
            </w:pPr>
          </w:p>
        </w:tc>
        <w:tc>
          <w:tcPr>
            <w:tcW w:w="2431" w:type="dxa"/>
            <w:shd w:val="clear" w:color="auto" w:fill="auto"/>
          </w:tcPr>
          <w:p w14:paraId="5CC7B6F5">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纳税人身份</w:t>
            </w:r>
          </w:p>
        </w:tc>
        <w:tc>
          <w:tcPr>
            <w:tcW w:w="5320" w:type="dxa"/>
            <w:tcBorders>
              <w:right w:val="single" w:color="auto" w:sz="12" w:space="0"/>
            </w:tcBorders>
            <w:shd w:val="clear" w:color="auto" w:fill="auto"/>
          </w:tcPr>
          <w:p w14:paraId="74C2B4FC">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一般纳税人  □小规模纳税人（请勾选）</w:t>
            </w:r>
          </w:p>
        </w:tc>
      </w:tr>
      <w:tr w14:paraId="3BD6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tcPr>
          <w:p w14:paraId="3B7B3781">
            <w:pPr>
              <w:pageBreakBefore w:val="0"/>
              <w:shd w:val="clear"/>
              <w:overflowPunct/>
              <w:topLinePunct w:val="0"/>
              <w:bidi w:val="0"/>
              <w:spacing w:line="440" w:lineRule="exact"/>
              <w:ind w:left="0" w:leftChars="0"/>
              <w:contextualSpacing/>
              <w:rPr>
                <w:rFonts w:hint="eastAsia" w:ascii="仿宋_GB2312" w:hAnsi="仿宋_GB2312" w:eastAsia="仿宋_GB2312" w:cs="仿宋_GB2312"/>
                <w:color w:val="auto"/>
                <w:sz w:val="28"/>
                <w:szCs w:val="28"/>
                <w:highlight w:val="none"/>
              </w:rPr>
            </w:pPr>
          </w:p>
        </w:tc>
        <w:tc>
          <w:tcPr>
            <w:tcW w:w="2431" w:type="dxa"/>
            <w:shd w:val="clear" w:color="auto" w:fill="auto"/>
          </w:tcPr>
          <w:p w14:paraId="010D1686">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纳税人识别号</w:t>
            </w:r>
          </w:p>
        </w:tc>
        <w:tc>
          <w:tcPr>
            <w:tcW w:w="5320" w:type="dxa"/>
            <w:tcBorders>
              <w:right w:val="single" w:color="auto" w:sz="12" w:space="0"/>
            </w:tcBorders>
            <w:shd w:val="clear" w:color="auto" w:fill="auto"/>
            <w:vAlign w:val="top"/>
          </w:tcPr>
          <w:p w14:paraId="6E25D12B">
            <w:pPr>
              <w:pageBreakBefore w:val="0"/>
              <w:shd w:val="clear"/>
              <w:overflowPunct/>
              <w:topLinePunct w:val="0"/>
              <w:bidi w:val="0"/>
              <w:spacing w:line="440" w:lineRule="exact"/>
              <w:ind w:left="0" w:leftChars="0"/>
              <w:contextualSpacing/>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 </w:t>
            </w:r>
          </w:p>
        </w:tc>
      </w:tr>
      <w:tr w14:paraId="7CF6C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1" w:type="dxa"/>
            <w:vMerge w:val="continue"/>
            <w:tcBorders>
              <w:left w:val="single" w:color="auto" w:sz="12" w:space="0"/>
            </w:tcBorders>
            <w:shd w:val="clear" w:color="auto" w:fill="auto"/>
          </w:tcPr>
          <w:p w14:paraId="270F83D3">
            <w:pPr>
              <w:pageBreakBefore w:val="0"/>
              <w:shd w:val="clear"/>
              <w:overflowPunct/>
              <w:topLinePunct w:val="0"/>
              <w:bidi w:val="0"/>
              <w:spacing w:line="440" w:lineRule="exact"/>
              <w:ind w:left="0" w:leftChars="0"/>
              <w:contextualSpacing/>
              <w:rPr>
                <w:rFonts w:hint="eastAsia" w:ascii="仿宋_GB2312" w:hAnsi="仿宋_GB2312" w:eastAsia="仿宋_GB2312" w:cs="仿宋_GB2312"/>
                <w:color w:val="auto"/>
                <w:sz w:val="28"/>
                <w:szCs w:val="28"/>
                <w:highlight w:val="none"/>
              </w:rPr>
            </w:pPr>
          </w:p>
        </w:tc>
        <w:tc>
          <w:tcPr>
            <w:tcW w:w="2431" w:type="dxa"/>
            <w:shd w:val="clear" w:color="auto" w:fill="auto"/>
          </w:tcPr>
          <w:p w14:paraId="1940F425">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地 址、电 话</w:t>
            </w:r>
          </w:p>
        </w:tc>
        <w:tc>
          <w:tcPr>
            <w:tcW w:w="5320" w:type="dxa"/>
            <w:tcBorders>
              <w:right w:val="single" w:color="auto" w:sz="12" w:space="0"/>
            </w:tcBorders>
            <w:shd w:val="clear" w:color="auto" w:fill="auto"/>
            <w:vAlign w:val="top"/>
          </w:tcPr>
          <w:p w14:paraId="6BE2F5A6">
            <w:pPr>
              <w:pageBreakBefore w:val="0"/>
              <w:shd w:val="clear"/>
              <w:overflowPunct/>
              <w:topLinePunct w:val="0"/>
              <w:bidi w:val="0"/>
              <w:spacing w:line="440" w:lineRule="exact"/>
              <w:ind w:left="0" w:leftChars="0"/>
              <w:contextualSpacing/>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 xml:space="preserve"> </w:t>
            </w:r>
          </w:p>
        </w:tc>
      </w:tr>
      <w:tr w14:paraId="65EA5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tcPr>
          <w:p w14:paraId="21989F0E">
            <w:pPr>
              <w:pageBreakBefore w:val="0"/>
              <w:shd w:val="clear"/>
              <w:overflowPunct/>
              <w:topLinePunct w:val="0"/>
              <w:bidi w:val="0"/>
              <w:spacing w:line="440" w:lineRule="exact"/>
              <w:ind w:left="0" w:leftChars="0"/>
              <w:contextualSpacing/>
              <w:rPr>
                <w:rFonts w:hint="eastAsia" w:ascii="仿宋_GB2312" w:hAnsi="仿宋_GB2312" w:eastAsia="仿宋_GB2312" w:cs="仿宋_GB2312"/>
                <w:color w:val="auto"/>
                <w:sz w:val="28"/>
                <w:szCs w:val="28"/>
                <w:highlight w:val="none"/>
              </w:rPr>
            </w:pPr>
          </w:p>
        </w:tc>
        <w:tc>
          <w:tcPr>
            <w:tcW w:w="2431" w:type="dxa"/>
            <w:shd w:val="clear" w:color="auto" w:fill="auto"/>
          </w:tcPr>
          <w:p w14:paraId="771A94F4">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开户行（全称）及账号</w:t>
            </w:r>
          </w:p>
        </w:tc>
        <w:tc>
          <w:tcPr>
            <w:tcW w:w="5320" w:type="dxa"/>
            <w:tcBorders>
              <w:right w:val="single" w:color="auto" w:sz="12" w:space="0"/>
            </w:tcBorders>
            <w:shd w:val="clear" w:color="auto" w:fill="auto"/>
            <w:vAlign w:val="top"/>
          </w:tcPr>
          <w:p w14:paraId="51D14FAC">
            <w:pPr>
              <w:pageBreakBefore w:val="0"/>
              <w:shd w:val="clear"/>
              <w:overflowPunct/>
              <w:topLinePunct w:val="0"/>
              <w:bidi w:val="0"/>
              <w:spacing w:line="440" w:lineRule="exact"/>
              <w:ind w:left="0" w:leftChars="0"/>
              <w:contextualSpacing/>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 xml:space="preserve"> </w:t>
            </w:r>
          </w:p>
        </w:tc>
      </w:tr>
      <w:tr w14:paraId="62FAA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tcPr>
          <w:p w14:paraId="6B06D7C0">
            <w:pPr>
              <w:pageBreakBefore w:val="0"/>
              <w:shd w:val="clear"/>
              <w:overflowPunct/>
              <w:topLinePunct w:val="0"/>
              <w:bidi w:val="0"/>
              <w:spacing w:line="440" w:lineRule="exact"/>
              <w:ind w:left="0" w:leftChars="0"/>
              <w:contextualSpacing/>
              <w:rPr>
                <w:rFonts w:hint="eastAsia" w:ascii="仿宋_GB2312" w:hAnsi="仿宋_GB2312" w:eastAsia="仿宋_GB2312" w:cs="仿宋_GB2312"/>
                <w:color w:val="auto"/>
                <w:sz w:val="28"/>
                <w:szCs w:val="28"/>
                <w:highlight w:val="none"/>
              </w:rPr>
            </w:pPr>
          </w:p>
        </w:tc>
        <w:tc>
          <w:tcPr>
            <w:tcW w:w="2431" w:type="dxa"/>
            <w:shd w:val="clear" w:color="auto" w:fill="auto"/>
          </w:tcPr>
          <w:p w14:paraId="008FD99D">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联行号</w:t>
            </w:r>
          </w:p>
        </w:tc>
        <w:tc>
          <w:tcPr>
            <w:tcW w:w="5320" w:type="dxa"/>
            <w:tcBorders>
              <w:right w:val="single" w:color="auto" w:sz="12" w:space="0"/>
            </w:tcBorders>
            <w:shd w:val="clear" w:color="auto" w:fill="auto"/>
          </w:tcPr>
          <w:p w14:paraId="299C0F10">
            <w:pPr>
              <w:pageBreakBefore w:val="0"/>
              <w:shd w:val="clear"/>
              <w:overflowPunct/>
              <w:topLinePunct w:val="0"/>
              <w:bidi w:val="0"/>
              <w:spacing w:line="440" w:lineRule="exact"/>
              <w:ind w:left="0" w:leftChars="0"/>
              <w:contextualSpacing/>
              <w:jc w:val="lef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 xml:space="preserve"> </w:t>
            </w:r>
          </w:p>
        </w:tc>
      </w:tr>
      <w:tr w14:paraId="0B443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bottom w:val="single" w:color="auto" w:sz="12" w:space="0"/>
            </w:tcBorders>
            <w:shd w:val="clear" w:color="auto" w:fill="auto"/>
          </w:tcPr>
          <w:p w14:paraId="44E701E3">
            <w:pPr>
              <w:pageBreakBefore w:val="0"/>
              <w:shd w:val="clear"/>
              <w:overflowPunct/>
              <w:topLinePunct w:val="0"/>
              <w:bidi w:val="0"/>
              <w:spacing w:line="440" w:lineRule="exact"/>
              <w:ind w:left="0" w:leftChars="0"/>
              <w:contextualSpacing/>
              <w:rPr>
                <w:rFonts w:hint="eastAsia" w:ascii="仿宋_GB2312" w:hAnsi="仿宋_GB2312" w:eastAsia="仿宋_GB2312" w:cs="仿宋_GB2312"/>
                <w:color w:val="auto"/>
                <w:sz w:val="28"/>
                <w:szCs w:val="28"/>
                <w:highlight w:val="none"/>
              </w:rPr>
            </w:pPr>
          </w:p>
        </w:tc>
        <w:tc>
          <w:tcPr>
            <w:tcW w:w="2431" w:type="dxa"/>
            <w:tcBorders>
              <w:bottom w:val="single" w:color="auto" w:sz="12" w:space="0"/>
            </w:tcBorders>
            <w:shd w:val="clear" w:color="auto" w:fill="auto"/>
          </w:tcPr>
          <w:p w14:paraId="6D403C20">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p>
        </w:tc>
        <w:tc>
          <w:tcPr>
            <w:tcW w:w="5320" w:type="dxa"/>
            <w:tcBorders>
              <w:bottom w:val="single" w:color="auto" w:sz="12" w:space="0"/>
              <w:right w:val="single" w:color="auto" w:sz="12" w:space="0"/>
            </w:tcBorders>
            <w:shd w:val="clear" w:color="auto" w:fill="auto"/>
          </w:tcPr>
          <w:p w14:paraId="544F8F96">
            <w:pPr>
              <w:pageBreakBefore w:val="0"/>
              <w:shd w:val="clear"/>
              <w:overflowPunct/>
              <w:topLinePunct w:val="0"/>
              <w:bidi w:val="0"/>
              <w:spacing w:line="440" w:lineRule="exact"/>
              <w:ind w:left="0" w:leftChars="0"/>
              <w:contextualSpacing/>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该开户行为乙方在税务局已备案的乙方单位账户。</w:t>
            </w:r>
          </w:p>
        </w:tc>
      </w:tr>
    </w:tbl>
    <w:p w14:paraId="55CDC8E8">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任何一方如上述信息发生变更，应提前10日以书面方式通知另一方。乙方在开具发票前，需向甲方确认上述开票信息，否则，由于乙方未向甲方确认导致开票信息与实际不符，造成发票无法抵扣等问题，全部责任由乙方承担，并赔偿甲方相应损失。</w:t>
      </w:r>
    </w:p>
    <w:p w14:paraId="52A157CD">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开具的增值税专用发票应保证信息完整、内容规范，备注栏按甲方给定信息备注清楚，否则退回重开；乙方开具增值税发票后，次月必须在税务网进行抄税，未经甲方事先书面同意，乙方不得擅自将已向甲方开具的增值税发票作废。若乙方擅自作废发票，需向甲方承担作废发票金额2%的违约金并承担因擅自作废给甲方造成的所有责任及损失。</w:t>
      </w:r>
    </w:p>
    <w:p w14:paraId="12B2466A">
      <w:pPr>
        <w:pageBreakBefore w:val="0"/>
        <w:shd w:val="clear"/>
        <w:overflowPunct/>
        <w:topLinePunct w:val="0"/>
        <w:bidi w:val="0"/>
        <w:spacing w:line="440" w:lineRule="exact"/>
        <w:ind w:left="0" w:leftChars="0" w:firstLine="562" w:firstLineChars="200"/>
        <w:rPr>
          <w:rFonts w:ascii="Times New Roman" w:hAnsi="Times New Roman" w:eastAsia="黑体"/>
          <w:b/>
          <w:color w:val="auto"/>
          <w:sz w:val="28"/>
          <w:szCs w:val="28"/>
          <w:highlight w:val="none"/>
        </w:rPr>
      </w:pPr>
      <w:bookmarkStart w:id="806" w:name="_Toc464502358"/>
      <w:bookmarkStart w:id="807" w:name="_Toc465085395"/>
      <w:bookmarkStart w:id="808" w:name="_Toc465088462"/>
      <w:r>
        <w:rPr>
          <w:rFonts w:hint="eastAsia" w:ascii="Times New Roman" w:hAnsi="Times New Roman" w:eastAsia="黑体"/>
          <w:b/>
          <w:color w:val="auto"/>
          <w:sz w:val="28"/>
          <w:szCs w:val="28"/>
          <w:highlight w:val="none"/>
        </w:rPr>
        <w:t>6.2 本合同所涉应税行为计税方法（请勾选）</w:t>
      </w:r>
      <w:bookmarkEnd w:id="806"/>
      <w:bookmarkEnd w:id="807"/>
      <w:bookmarkEnd w:id="808"/>
    </w:p>
    <w:p w14:paraId="5C441C69">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w:t>
      </w:r>
      <w:r>
        <w:rPr>
          <w:rFonts w:ascii="仿宋_GB2312" w:hAnsi="仿宋_GB2312" w:eastAsia="仿宋_GB2312" w:cs="仿宋_GB2312"/>
          <w:color w:val="auto"/>
          <w:sz w:val="28"/>
          <w:szCs w:val="28"/>
          <w:highlight w:val="none"/>
        </w:rPr>
        <w:t>一般计税方法   □简易计税方法</w:t>
      </w:r>
    </w:p>
    <w:p w14:paraId="3C02C20F">
      <w:pPr>
        <w:pageBreakBefore w:val="0"/>
        <w:shd w:val="clear"/>
        <w:overflowPunct/>
        <w:topLinePunct w:val="0"/>
        <w:bidi w:val="0"/>
        <w:spacing w:line="440" w:lineRule="exact"/>
        <w:ind w:left="0" w:leftChars="0" w:firstLine="562" w:firstLineChars="200"/>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6.3 发票及其他相关信息</w:t>
      </w:r>
    </w:p>
    <w:p w14:paraId="50DB9217">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6.3.1</w:t>
      </w:r>
      <w:r>
        <w:rPr>
          <w:rFonts w:hint="eastAsia" w:ascii="仿宋_GB2312" w:hAnsi="仿宋_GB2312" w:eastAsia="仿宋_GB2312" w:cs="仿宋_GB2312"/>
          <w:color w:val="auto"/>
          <w:sz w:val="28"/>
          <w:szCs w:val="28"/>
          <w:highlight w:val="none"/>
        </w:rPr>
        <w:t xml:space="preserve"> 每次乙方在甲方付款前必须提供符合国家现行税法规定的合法有效等额增值税发票，甲乙双方一致确认提供发票为主合同义务而非附随义务，若乙方未按要求提供发票，甲方有权暂停付款。乙方应在开票之日起7天内将发票送达甲方指定人员【</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】，甲方指定人员签收发票的日期为发票的送达日期。</w:t>
      </w:r>
    </w:p>
    <w:p w14:paraId="128051A1">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6.3.2</w:t>
      </w:r>
      <w:r>
        <w:rPr>
          <w:rFonts w:hint="eastAsia" w:ascii="仿宋_GB2312" w:hAnsi="仿宋_GB2312" w:eastAsia="仿宋_GB2312" w:cs="仿宋_GB2312"/>
          <w:color w:val="auto"/>
          <w:sz w:val="28"/>
          <w:szCs w:val="28"/>
          <w:highlight w:val="none"/>
        </w:rPr>
        <w:t xml:space="preserve"> </w:t>
      </w:r>
      <w:r>
        <w:rPr>
          <w:rFonts w:ascii="仿宋_GB2312" w:hAnsi="仿宋_GB2312" w:eastAsia="仿宋_GB2312" w:cs="仿宋_GB2312"/>
          <w:color w:val="auto"/>
          <w:sz w:val="28"/>
          <w:szCs w:val="28"/>
          <w:highlight w:val="none"/>
        </w:rPr>
        <w:t>乙方在向甲方请款时，应根据甲方确认的付款数额开具合法、有效、完整、准确的增值税（请勾选：</w:t>
      </w:r>
      <w:r>
        <w:rPr>
          <w:rFonts w:hint="eastAsia" w:ascii="仿宋_GB2312" w:hAnsi="仿宋_GB2312" w:eastAsia="仿宋_GB2312" w:cs="仿宋_GB2312"/>
          <w:color w:val="auto"/>
          <w:sz w:val="28"/>
          <w:szCs w:val="28"/>
          <w:highlight w:val="none"/>
          <w:lang w:eastAsia="zh-CN"/>
        </w:rPr>
        <w:t>☑</w:t>
      </w:r>
      <w:r>
        <w:rPr>
          <w:rFonts w:ascii="仿宋_GB2312" w:hAnsi="仿宋_GB2312" w:eastAsia="仿宋_GB2312" w:cs="仿宋_GB2312"/>
          <w:color w:val="auto"/>
          <w:sz w:val="28"/>
          <w:szCs w:val="28"/>
          <w:highlight w:val="none"/>
        </w:rPr>
        <w:t>专用□普通）发票。全部联次一次打印，内容完全一致，发票抵扣联、发票联加盖发票专用章。</w:t>
      </w:r>
    </w:p>
    <w:p w14:paraId="5FC835B9">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若乙方为小规模纳税人，且勾选增值税专用发票的，则乙方需提供由税务机关代开的增值税专用发票。</w:t>
      </w:r>
    </w:p>
    <w:p w14:paraId="1EC1E8CE">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若乙方为一般纳税人的，应当在开具发票、请款之前向甲方提供一般纳税人认定表。</w:t>
      </w:r>
    </w:p>
    <w:p w14:paraId="100CDE36">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若汇总开具增值税专用发票的，则乙方需同时提供防伪税控系统开具的《销售货物或提供应税劳务清单》，并加盖发票专用章。</w:t>
      </w:r>
    </w:p>
    <w:p w14:paraId="58B57A02">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ascii="仿宋_GB2312" w:hAnsi="仿宋_GB2312" w:eastAsia="仿宋_GB2312" w:cs="仿宋_GB2312"/>
          <w:color w:val="auto"/>
          <w:sz w:val="28"/>
          <w:szCs w:val="28"/>
          <w:highlight w:val="none"/>
        </w:rPr>
        <w:t>6.3.3</w:t>
      </w:r>
      <w:r>
        <w:rPr>
          <w:rFonts w:hint="eastAsia" w:ascii="仿宋_GB2312" w:hAnsi="仿宋_GB2312" w:eastAsia="仿宋_GB2312" w:cs="仿宋_GB2312"/>
          <w:color w:val="auto"/>
          <w:sz w:val="28"/>
          <w:szCs w:val="28"/>
          <w:highlight w:val="none"/>
        </w:rPr>
        <w:t xml:space="preserve"> </w:t>
      </w:r>
      <w:r>
        <w:rPr>
          <w:rFonts w:ascii="仿宋_GB2312" w:hAnsi="仿宋_GB2312" w:eastAsia="仿宋_GB2312" w:cs="仿宋_GB2312"/>
          <w:color w:val="auto"/>
          <w:sz w:val="28"/>
          <w:szCs w:val="28"/>
          <w:highlight w:val="none"/>
        </w:rPr>
        <w:t>乙方提供发票不符合法律法规规范性文件规定或不符合合同约定开具、送达、认证、抵扣增值税发票的情形：</w:t>
      </w:r>
    </w:p>
    <w:p w14:paraId="45168800">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（1）开具虚假发票的（如：虚开增值税发票，开具伪造、变造的增值税发票）；</w:t>
      </w:r>
    </w:p>
    <w:p w14:paraId="0C6C49B6">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（2）开具发票种类错误的（如：增值税专用发票开成增值税普通发票）；</w:t>
      </w:r>
    </w:p>
    <w:p w14:paraId="31547933">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（3）开具发票上记载的信息错误的（如：双方基本信息、发票号码、开票时间、金额、税率、税额等错误；字迹不清，压线、错格；项目</w:t>
      </w:r>
      <w:r>
        <w:rPr>
          <w:rFonts w:hint="eastAsia" w:ascii="仿宋_GB2312" w:hAnsi="仿宋_GB2312" w:eastAsia="仿宋_GB2312" w:cs="仿宋_GB2312"/>
          <w:color w:val="auto"/>
          <w:sz w:val="28"/>
          <w:szCs w:val="28"/>
          <w:highlight w:val="none"/>
        </w:rPr>
        <w:t>名称</w:t>
      </w:r>
      <w:r>
        <w:rPr>
          <w:rFonts w:ascii="仿宋_GB2312" w:hAnsi="仿宋_GB2312" w:eastAsia="仿宋_GB2312" w:cs="仿宋_GB2312"/>
          <w:color w:val="auto"/>
          <w:sz w:val="28"/>
          <w:szCs w:val="28"/>
          <w:highlight w:val="none"/>
        </w:rPr>
        <w:t>不齐全；缺少发票专用章；备注栏遗漏填写等）；</w:t>
      </w:r>
    </w:p>
    <w:p w14:paraId="10BA6835">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（4）因迟延送达增值税专用发票导致甲方不能认证、抵扣的；</w:t>
      </w:r>
    </w:p>
    <w:p w14:paraId="5A3C6217">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（5）因开具虚假增值税专用发票导致甲方不能认证、抵扣的；</w:t>
      </w:r>
    </w:p>
    <w:p w14:paraId="598BE5F8">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（6）因开具的增值税专用发票上记载的信息错误导致甲方不能认证、抵扣的；</w:t>
      </w:r>
    </w:p>
    <w:p w14:paraId="67023E39">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（7）汇总开具增值税专用发票时，未一并提供防伪税控系统开具的《销售货物或提供应税劳务清单》的，或提供的《销售货物或提供应税劳务清单》上未加盖发票专用章的；</w:t>
      </w:r>
    </w:p>
    <w:p w14:paraId="5C19F675">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（8）其他违反法律法规规范性文件规定或合同约定开具的增值税发票的。</w:t>
      </w:r>
    </w:p>
    <w:p w14:paraId="6B10D9F7">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6.3.4 甲方若同时遗失增值税专用发票联和抵扣联，则乙方应为甲方提供加盖销售方发票专用章的相应发票记账联复印件作为增值税进项税的抵扣凭证或记账凭证。甲方若丢失抵扣联、发票联其中之一的，可用另外一联复印件，无需乙方提供记账联复印件。</w:t>
      </w:r>
    </w:p>
    <w:p w14:paraId="393B9FFA">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6.3.5 甲方根据本合同约定从当期分包工程款中扣除了乙方的违约金、损失赔偿、代扣代缴费用等款项的，乙方仍应按扣除前的当期分包工程款金额开具增值税发票。</w:t>
      </w:r>
    </w:p>
    <w:p w14:paraId="4FB60093">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本合同中约定的甲方向乙方支付的违约金为含税金额，在甲方支付违约金前，乙方应根据协议书第四条约定的增值税率或征收率，向甲方开具增值税发票。</w:t>
      </w:r>
    </w:p>
    <w:p w14:paraId="1440E2AB">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6.3.6 违约责任</w:t>
      </w:r>
    </w:p>
    <w:p w14:paraId="18448234">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（1）若乙方开具或提供的或税务机关代开的增值税发票存在</w:t>
      </w:r>
      <w:r>
        <w:rPr>
          <w:rFonts w:hint="eastAsia" w:ascii="仿宋_GB2312" w:hAnsi="仿宋_GB2312" w:eastAsia="仿宋_GB2312" w:cs="仿宋_GB2312"/>
          <w:color w:val="auto"/>
          <w:sz w:val="28"/>
          <w:szCs w:val="28"/>
          <w:highlight w:val="none"/>
        </w:rPr>
        <w:t>合同协议书</w:t>
      </w:r>
      <w:r>
        <w:rPr>
          <w:rFonts w:ascii="仿宋_GB2312" w:hAnsi="仿宋_GB2312" w:eastAsia="仿宋_GB2312" w:cs="仿宋_GB2312"/>
          <w:color w:val="auto"/>
          <w:sz w:val="28"/>
          <w:szCs w:val="28"/>
          <w:highlight w:val="none"/>
        </w:rPr>
        <w:t>第6.3.3款约定情形之一的，则甲方有权拒收增值税发票，并有权暂停支付相应款项直到甲方收到符合要求的增值税发票之日止。甲方拒收发票或暂停支付款项等行为，不视为违约，且乙方不得以此为由中止履行合同约定的义务。乙方在甲方拒收发票之日起7日内重新开具或提供符合要求的增值税发票并送达甲方。若因甲方原因提供错误开票信息的，甲方应在拒收的同时向乙方提供正确开票信息。</w:t>
      </w:r>
    </w:p>
    <w:p w14:paraId="1743D4B1">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（2）若乙方开具或提供的增值税专用发票存在</w:t>
      </w:r>
      <w:r>
        <w:rPr>
          <w:rFonts w:hint="eastAsia" w:ascii="仿宋_GB2312" w:hAnsi="仿宋_GB2312" w:eastAsia="仿宋_GB2312" w:cs="仿宋_GB2312"/>
          <w:color w:val="auto"/>
          <w:sz w:val="28"/>
          <w:szCs w:val="28"/>
          <w:highlight w:val="none"/>
        </w:rPr>
        <w:t>合同协议书</w:t>
      </w:r>
      <w:r>
        <w:rPr>
          <w:rFonts w:ascii="仿宋_GB2312" w:hAnsi="仿宋_GB2312" w:eastAsia="仿宋_GB2312" w:cs="仿宋_GB2312"/>
          <w:color w:val="auto"/>
          <w:sz w:val="28"/>
          <w:szCs w:val="28"/>
          <w:highlight w:val="none"/>
        </w:rPr>
        <w:t>第6.3.3款约定情形之一的，除适用</w:t>
      </w:r>
      <w:r>
        <w:rPr>
          <w:rFonts w:hint="eastAsia" w:ascii="仿宋_GB2312" w:hAnsi="仿宋_GB2312" w:eastAsia="仿宋_GB2312" w:cs="仿宋_GB2312"/>
          <w:color w:val="auto"/>
          <w:sz w:val="28"/>
          <w:szCs w:val="28"/>
          <w:highlight w:val="none"/>
        </w:rPr>
        <w:t>合同协议书</w:t>
      </w:r>
      <w:r>
        <w:rPr>
          <w:rFonts w:ascii="仿宋_GB2312" w:hAnsi="仿宋_GB2312" w:eastAsia="仿宋_GB2312" w:cs="仿宋_GB2312"/>
          <w:color w:val="auto"/>
          <w:sz w:val="28"/>
          <w:szCs w:val="28"/>
          <w:highlight w:val="none"/>
        </w:rPr>
        <w:t>第6.3.6（1）款约定外，乙方还应按甲方要求采取其他补救措施，同时，</w:t>
      </w:r>
      <w:r>
        <w:rPr>
          <w:rFonts w:hint="eastAsia" w:ascii="仿宋_GB2312" w:hAnsi="仿宋_GB2312" w:eastAsia="仿宋_GB2312" w:cs="仿宋_GB2312"/>
          <w:color w:val="auto"/>
          <w:sz w:val="28"/>
          <w:szCs w:val="28"/>
          <w:highlight w:val="none"/>
        </w:rPr>
        <w:t>甲方有权要求乙方支付应付发票对应金额的【</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】%或【</w:t>
      </w:r>
      <w:r>
        <w:rPr>
          <w:rFonts w:hint="eastAsia" w:ascii="仿宋_GB2312" w:hAnsi="仿宋_GB2312" w:eastAsia="仿宋_GB2312" w:cs="仿宋_GB2312"/>
          <w:color w:val="auto"/>
          <w:sz w:val="28"/>
          <w:szCs w:val="28"/>
          <w:highlight w:val="none"/>
          <w:lang w:val="en-US" w:eastAsia="zh-CN"/>
        </w:rPr>
        <w:t>1万</w:t>
      </w:r>
      <w:r>
        <w:rPr>
          <w:rFonts w:hint="eastAsia" w:ascii="仿宋_GB2312" w:hAnsi="仿宋_GB2312" w:eastAsia="仿宋_GB2312" w:cs="仿宋_GB2312"/>
          <w:color w:val="auto"/>
          <w:sz w:val="28"/>
          <w:szCs w:val="28"/>
          <w:highlight w:val="none"/>
        </w:rPr>
        <w:t>】元（以二者数额高者为准）的惩罚性违约金，并赔偿甲方损失，因甲方原因造成开票信息错误的除外。</w:t>
      </w:r>
    </w:p>
    <w:p w14:paraId="20434EF0">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（3）若乙方开具或提供的增值税专用发票发生合同协议书第6.3.3款的情形超过3次，或给甲方造成重大损失的，则乙方除按合同协议书第6.3.6（2）款约定承担责任外，甲方有权单方解除本合同。</w:t>
      </w:r>
    </w:p>
    <w:p w14:paraId="51380F59">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（4）由于乙方的不规范涉税行为导致甲方受到税务局协查并给甲方造成涉税风险和损失的，乙方应承担甲方全部损失，甲方有权单方解除本合同。</w:t>
      </w:r>
    </w:p>
    <w:p w14:paraId="6EB1B214">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若乙方由一般纳税人身份变为小规模纳税人身份的，或者计税方法发生变化的，或者政策法规规范性文件发生变化的，并导致甲方可抵扣的进项税额减少或被税务机关要求补缴税款的，则减少的进项税额或补缴的税款应由乙方承担，甲方有权从将支付的任何一笔工程款中扣除。</w:t>
      </w:r>
    </w:p>
    <w:p w14:paraId="3209A6EC">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（6）乙方向甲方提供其他增值税扣税凭证的，均适用于本合同协议书中第六条有关增值税专用发票的约定。</w:t>
      </w:r>
    </w:p>
    <w:p w14:paraId="375576BD">
      <w:pPr>
        <w:pageBreakBefore w:val="0"/>
        <w:shd w:val="clear"/>
        <w:overflowPunct/>
        <w:topLinePunct w:val="0"/>
        <w:bidi w:val="0"/>
        <w:spacing w:line="440" w:lineRule="exact"/>
        <w:ind w:left="0" w:leftChars="0"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（7）乙方过程中开具发票的总金额不作为双方结算的金额，最终结算金额根据合同约定的时间和方式由双方确定。乙方开具的发票金额超过最终结算金额的，由双方后期对超开具部分的发票进行冲正处理】</w:t>
      </w:r>
      <w:r>
        <w:rPr>
          <w:rFonts w:hint="eastAsia" w:ascii="仿宋_GB2312" w:hAnsi="仿宋_GB2312" w:eastAsia="仿宋_GB2312" w:cs="仿宋_GB2312"/>
          <w:color w:val="auto"/>
          <w:sz w:val="28"/>
          <w:szCs w:val="28"/>
          <w:highlight w:val="none"/>
          <w:lang w:eastAsia="zh-CN"/>
        </w:rPr>
        <w:t>。</w:t>
      </w:r>
    </w:p>
    <w:p w14:paraId="64B903AE">
      <w:pPr>
        <w:pStyle w:val="5"/>
        <w:pageBreakBefore w:val="0"/>
        <w:shd w:val="clear"/>
        <w:overflowPunct/>
        <w:topLinePunct w:val="0"/>
        <w:bidi w:val="0"/>
        <w:spacing w:before="0" w:after="0" w:line="440" w:lineRule="exact"/>
        <w:ind w:left="0" w:leftChars="0" w:firstLine="562" w:firstLineChars="200"/>
        <w:rPr>
          <w:rFonts w:hint="eastAsia"/>
          <w:bCs w:val="0"/>
          <w:color w:val="auto"/>
          <w:highlight w:val="none"/>
        </w:rPr>
      </w:pPr>
      <w:bookmarkStart w:id="809" w:name="_Toc30912"/>
      <w:r>
        <w:rPr>
          <w:rFonts w:hint="eastAsia"/>
          <w:bCs w:val="0"/>
          <w:color w:val="auto"/>
          <w:highlight w:val="none"/>
        </w:rPr>
        <w:t>七、材料供应</w:t>
      </w:r>
      <w:bookmarkEnd w:id="809"/>
    </w:p>
    <w:p w14:paraId="28CF0DF1">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甲方按计划提供以下材料：【</w:t>
      </w:r>
      <w:r>
        <w:rPr>
          <w:rFonts w:hint="eastAsia" w:ascii="仿宋_GB2312" w:hAnsi="仿宋_GB2312" w:eastAsia="仿宋_GB2312" w:cs="仿宋_GB2312"/>
          <w:color w:val="auto"/>
          <w:sz w:val="28"/>
          <w:szCs w:val="28"/>
          <w:highlight w:val="none"/>
          <w:lang w:val="en-US" w:eastAsia="zh-CN"/>
        </w:rPr>
        <w:t>无</w:t>
      </w:r>
      <w:r>
        <w:rPr>
          <w:rFonts w:hint="eastAsia" w:ascii="仿宋_GB2312" w:hAnsi="仿宋_GB2312" w:eastAsia="仿宋_GB2312" w:cs="仿宋_GB2312"/>
          <w:color w:val="auto"/>
          <w:sz w:val="28"/>
          <w:szCs w:val="28"/>
          <w:highlight w:val="none"/>
        </w:rPr>
        <w:t>】。乙方限额领料，材料如超出甲方约定（如甲方无约定，则执行工程所在地相应定额标准），则超领部分由乙方全部赔偿，价格按甲方购买价格加价【10】%计取，在进度款或结算款中扣除。</w:t>
      </w:r>
    </w:p>
    <w:p w14:paraId="2A56A753">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由甲方提供的材料在进出场时，乙方必须参与验收，否则，以甲方与供应商双方确认的数量为准。甲方供应的材料的质量、品种、规格、型号应符合设计要求，货到后甲乙双方共同验收合格后，办理领用手续，由乙方自行保管使用，相关费用已包含在合同综合单价中。乙方未参加验收的，视为同意甲方的验收结果。</w:t>
      </w:r>
    </w:p>
    <w:p w14:paraId="595DEDA6">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乙方供料：除7.1条约定甲方按计划供料外的所有材料由乙方自行提供，包括但不限于【零星材料、辅材、低值易耗品等，不包括主要建筑材料、周转材料和大中型施工机械设备等】。费用包含在合同综合单价中。</w:t>
      </w:r>
    </w:p>
    <w:p w14:paraId="0372D2A0">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7.2.1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对于乙供材料，乙方负责原材料进场后的抽检和试验，在材料进场后，必须进行物资报验，报甲方进行复试，相关检测费用均已包含在合同综合单价中，甲方复试不免除乙方应承担的质量责任。</w:t>
      </w:r>
    </w:p>
    <w:p w14:paraId="6706E504">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7.2.2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对自供材料的质量负责，材料品牌需在采购前向甲方报备，根据技术要求和有关规定需要合格证、质量保证书和准用证等证件的，证件必须随货同行，货到后将证件交给甲方，据以进行质量验收，证件齐全、质量合格的材料方能用于工程。如在施工过程中发现材料质量不合格，乙方除负责更换合格材料外，还应承担签约合同价【</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】%的惩罚性违约金及因此给甲方造成的全部损失。</w:t>
      </w:r>
    </w:p>
    <w:p w14:paraId="05038214">
      <w:pPr>
        <w:keepLines w:val="0"/>
        <w:pageBreakBefore w:val="0"/>
        <w:widowControl w:val="0"/>
        <w:shd w:val="clear"/>
        <w:kinsoku/>
        <w:wordWrap/>
        <w:overflowPunct/>
        <w:topLinePunct w:val="0"/>
        <w:bidi w:val="0"/>
        <w:snapToGrid w:val="0"/>
        <w:spacing w:line="440" w:lineRule="exact"/>
        <w:ind w:left="0" w:leftChars="0" w:firstLine="560" w:firstLineChars="200"/>
        <w:contextualSpacing/>
        <w:jc w:val="left"/>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7.2.3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对于乙方供应材料，若乙方拒绝提供，则由甲方代购，按照甲方购买价格加价【</w:t>
      </w: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rPr>
        <w:t>】%从乙方当期工程款中扣除。</w:t>
      </w:r>
      <w:r>
        <w:rPr>
          <w:rFonts w:hint="default" w:ascii="仿宋_GB2312" w:hAnsi="仿宋_GB2312" w:eastAsia="仿宋_GB2312" w:cs="仿宋_GB2312"/>
          <w:color w:val="auto"/>
          <w:sz w:val="28"/>
          <w:szCs w:val="28"/>
          <w:highlight w:val="none"/>
          <w:lang w:val="en-US" w:eastAsia="zh-CN"/>
        </w:rPr>
        <w:t>对工程使用的重要建设工程材料，</w:t>
      </w:r>
      <w:r>
        <w:rPr>
          <w:rFonts w:hint="eastAsia" w:ascii="仿宋_GB2312" w:hAnsi="仿宋_GB2312" w:eastAsia="仿宋_GB2312" w:cs="仿宋_GB2312"/>
          <w:color w:val="auto"/>
          <w:sz w:val="28"/>
          <w:szCs w:val="28"/>
          <w:highlight w:val="none"/>
          <w:lang w:val="en-US" w:eastAsia="zh-CN"/>
        </w:rPr>
        <w:t>乙方</w:t>
      </w:r>
      <w:r>
        <w:rPr>
          <w:rFonts w:hint="default" w:ascii="仿宋_GB2312" w:hAnsi="仿宋_GB2312" w:eastAsia="仿宋_GB2312" w:cs="仿宋_GB2312"/>
          <w:color w:val="auto"/>
          <w:sz w:val="28"/>
          <w:szCs w:val="28"/>
          <w:highlight w:val="none"/>
          <w:lang w:val="en-US" w:eastAsia="zh-CN"/>
        </w:rPr>
        <w:t>应按《南宁市建设工程材料使用管理办法》相关规定，从南宁市建设行政主管部门公布的建设工程材料备案</w:t>
      </w:r>
      <w:r>
        <w:rPr>
          <w:rFonts w:hint="eastAsia" w:ascii="仿宋_GB2312" w:hAnsi="仿宋_GB2312" w:eastAsia="仿宋_GB2312" w:cs="仿宋_GB2312"/>
          <w:color w:val="auto"/>
          <w:sz w:val="28"/>
          <w:szCs w:val="28"/>
          <w:highlight w:val="none"/>
          <w:lang w:val="en-US" w:eastAsia="zh-CN"/>
        </w:rPr>
        <w:t>目录</w:t>
      </w:r>
      <w:r>
        <w:rPr>
          <w:rFonts w:hint="default" w:ascii="仿宋_GB2312" w:hAnsi="仿宋_GB2312" w:eastAsia="仿宋_GB2312" w:cs="仿宋_GB2312"/>
          <w:color w:val="auto"/>
          <w:sz w:val="28"/>
          <w:szCs w:val="28"/>
          <w:highlight w:val="none"/>
          <w:lang w:val="en-US" w:eastAsia="zh-CN"/>
        </w:rPr>
        <w:t>中选用。</w:t>
      </w:r>
    </w:p>
    <w:p w14:paraId="32B316F2">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p>
    <w:p w14:paraId="48C911E7">
      <w:pPr>
        <w:pStyle w:val="5"/>
        <w:pageBreakBefore w:val="0"/>
        <w:shd w:val="clear"/>
        <w:overflowPunct/>
        <w:topLinePunct w:val="0"/>
        <w:bidi w:val="0"/>
        <w:spacing w:before="0" w:after="0" w:line="440" w:lineRule="exact"/>
        <w:ind w:left="0" w:leftChars="0" w:firstLine="562" w:firstLineChars="200"/>
        <w:rPr>
          <w:rFonts w:ascii="黑体" w:hAnsi="黑体"/>
          <w:b w:val="0"/>
          <w:bCs w:val="0"/>
          <w:color w:val="auto"/>
          <w:highlight w:val="none"/>
        </w:rPr>
      </w:pPr>
      <w:bookmarkStart w:id="810" w:name="_Toc3743"/>
      <w:r>
        <w:rPr>
          <w:rFonts w:hint="eastAsia"/>
          <w:bCs w:val="0"/>
          <w:color w:val="auto"/>
          <w:highlight w:val="none"/>
        </w:rPr>
        <w:t>八、各类机械及安全防护用品供应</w:t>
      </w:r>
      <w:bookmarkEnd w:id="810"/>
    </w:p>
    <w:p w14:paraId="64C0AF52">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甲方提供机械：【</w:t>
      </w:r>
      <w:r>
        <w:rPr>
          <w:rFonts w:hint="eastAsia" w:ascii="仿宋_GB2312" w:hAnsi="仿宋_GB2312" w:eastAsia="仿宋_GB2312" w:cs="仿宋_GB2312"/>
          <w:color w:val="auto"/>
          <w:sz w:val="28"/>
          <w:szCs w:val="28"/>
          <w:highlight w:val="none"/>
          <w:lang w:val="en-US" w:eastAsia="zh-CN"/>
        </w:rPr>
        <w:t>塔吊、施工电梯</w:t>
      </w:r>
      <w:r>
        <w:rPr>
          <w:rFonts w:hint="eastAsia" w:ascii="仿宋_GB2312" w:hAnsi="仿宋_GB2312" w:eastAsia="仿宋_GB2312" w:cs="仿宋_GB2312"/>
          <w:color w:val="auto"/>
          <w:sz w:val="28"/>
          <w:szCs w:val="28"/>
          <w:highlight w:val="none"/>
        </w:rPr>
        <w:t>】</w:t>
      </w:r>
    </w:p>
    <w:p w14:paraId="4F12C5EA">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8.1.1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甲方人员操作的机械由甲方派相关专业人员跟班操作、管理、维修、保养、保管，乙方不准擅自操作。甲方交由乙方人员操作的机械，乙方办理接管手续，负责日常的保养、保管。乙方要严格执行操作规程，保证设备良好状态。施工任务完成后进行盘点、清理、刷油，并交还甲方。如有保管不善或使用不当造成丢失、损坏，乙方负责修理或照价赔偿。</w:t>
      </w:r>
    </w:p>
    <w:p w14:paraId="1E3F75C8">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8.1.2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由甲方提供给乙方使用的机械在进出场时，乙方必须参与验收，确认数量及运行状态，否则，以甲方确认为准。</w:t>
      </w:r>
    </w:p>
    <w:p w14:paraId="03962FFC">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8.1.3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甲方提供的大型机械，如遇特殊情况提前拆除或维修、不同作业区因工期问题造成某作业区一定时间内无法使用甲方提供的大型机械而临时增加的垂直运输机械费、施工现场存在少量覆盖盲区情况，甲方应在合理期限内提前通知乙方，由乙方自行解决物料搬运问题，甲方不补偿相应费用。</w:t>
      </w:r>
    </w:p>
    <w:p w14:paraId="33BB7E1C">
      <w:pPr>
        <w:pageBreakBefore w:val="0"/>
        <w:shd w:val="clear"/>
        <w:overflowPunct/>
        <w:topLinePunct w:val="0"/>
        <w:bidi w:val="0"/>
        <w:spacing w:line="440" w:lineRule="exact"/>
        <w:ind w:left="0" w:leftChars="0" w:firstLine="560" w:firstLineChars="200"/>
        <w:rPr>
          <w:rFonts w:ascii="仿宋_GB2312" w:eastAsia="仿宋_GB2312" w:hAnsiTheme="minorEastAsia" w:cstheme="minorEastAsia"/>
          <w:strike/>
          <w:color w:val="auto"/>
          <w:sz w:val="28"/>
          <w:szCs w:val="28"/>
          <w:highlight w:val="none"/>
        </w:rPr>
      </w:pPr>
      <w:r>
        <w:rPr>
          <w:rFonts w:hint="eastAsia" w:ascii="仿宋_GB2312" w:eastAsia="仿宋_GB2312" w:hAnsiTheme="minorEastAsia" w:cstheme="minorEastAsia"/>
          <w:color w:val="auto"/>
          <w:sz w:val="28"/>
          <w:szCs w:val="28"/>
          <w:highlight w:val="none"/>
        </w:rPr>
        <w:t>8.2</w:t>
      </w:r>
      <w:r>
        <w:rPr>
          <w:rFonts w:ascii="仿宋_GB2312" w:eastAsia="仿宋_GB2312" w:hAnsiTheme="minorEastAsia" w:cstheme="minorEastAsia"/>
          <w:color w:val="auto"/>
          <w:sz w:val="28"/>
          <w:szCs w:val="28"/>
          <w:highlight w:val="none"/>
        </w:rPr>
        <w:t xml:space="preserve"> </w:t>
      </w:r>
      <w:r>
        <w:rPr>
          <w:rFonts w:hint="eastAsia" w:ascii="仿宋_GB2312" w:eastAsia="仿宋_GB2312" w:hAnsiTheme="minorEastAsia" w:cstheme="minorEastAsia"/>
          <w:color w:val="auto"/>
          <w:sz w:val="28"/>
          <w:szCs w:val="28"/>
          <w:highlight w:val="none"/>
        </w:rPr>
        <w:t>乙方提供机械机</w:t>
      </w:r>
      <w:r>
        <w:rPr>
          <w:rFonts w:hint="eastAsia" w:ascii="仿宋_GB2312" w:eastAsia="仿宋_GB2312" w:hAnsiTheme="minorEastAsia" w:cstheme="minorEastAsia"/>
          <w:b/>
          <w:color w:val="auto"/>
          <w:sz w:val="28"/>
          <w:szCs w:val="28"/>
          <w:highlight w:val="none"/>
        </w:rPr>
        <w:t>具</w:t>
      </w:r>
      <w:r>
        <w:rPr>
          <w:rFonts w:hint="eastAsia" w:ascii="仿宋_GB2312" w:eastAsia="仿宋_GB2312" w:hAnsiTheme="minorEastAsia" w:cstheme="minorEastAsia"/>
          <w:color w:val="auto"/>
          <w:sz w:val="28"/>
          <w:szCs w:val="28"/>
          <w:highlight w:val="none"/>
        </w:rPr>
        <w:t>：【除8.1条约定甲供机械之外的所有机械及机具、手头工具及劳保用品等均由乙方供应】，费用包含在合同综合单价中。</w:t>
      </w:r>
    </w:p>
    <w:p w14:paraId="3AE1CE6A">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安全防护用品：乙方必须为施工现场自有人员配备必需的安全防护用品。乙方配备的安全防护用品使用性能或质量必须符合国家主管部门及行业规范、标准要求，另外安全防护用品外观、样式、规格、型号须符合甲方安全管理要求。</w:t>
      </w:r>
    </w:p>
    <w:p w14:paraId="03B894F9">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【施工现场特种劳动防护用品（包括三宝一器：安全帽、安全带、安全网，漏触电保护器）及锁扣、钢丝绳</w:t>
      </w:r>
      <w:r>
        <w:rPr>
          <w:rFonts w:hint="eastAsia" w:ascii="仿宋_GB2312" w:hAnsi="仿宋_GB2312" w:eastAsia="仿宋_GB2312" w:cs="仿宋_GB2312"/>
          <w:color w:val="auto"/>
          <w:sz w:val="28"/>
          <w:szCs w:val="28"/>
          <w:highlight w:val="none"/>
          <w:lang w:val="en-US" w:eastAsia="zh-CN"/>
        </w:rPr>
        <w:t>等</w:t>
      </w:r>
      <w:r>
        <w:rPr>
          <w:rFonts w:hint="eastAsia" w:ascii="仿宋_GB2312" w:hAnsi="仿宋_GB2312" w:eastAsia="仿宋_GB2312" w:cs="仿宋_GB2312"/>
          <w:color w:val="auto"/>
          <w:sz w:val="28"/>
          <w:szCs w:val="28"/>
          <w:highlight w:val="none"/>
        </w:rPr>
        <w:t>必须严格遵循甲方指定的技术标准、质量规范及验收要求。如经甲方查验发现上述物资存在质量瑕疵或不符合约定标准，甲方有权直接代为采购，由此产生的全部费用将从乙方当期工程款中予以扣除，以确保工程安全防护措施落实到位】。</w:t>
      </w:r>
    </w:p>
    <w:p w14:paraId="5B37CD7A">
      <w:pPr>
        <w:pStyle w:val="5"/>
        <w:pageBreakBefore w:val="0"/>
        <w:shd w:val="clear"/>
        <w:overflowPunct/>
        <w:topLinePunct w:val="0"/>
        <w:bidi w:val="0"/>
        <w:spacing w:before="0" w:after="0" w:line="440" w:lineRule="exact"/>
        <w:ind w:left="0" w:leftChars="0" w:firstLine="562" w:firstLineChars="200"/>
        <w:rPr>
          <w:bCs w:val="0"/>
          <w:color w:val="auto"/>
          <w:highlight w:val="none"/>
        </w:rPr>
      </w:pPr>
      <w:bookmarkStart w:id="811" w:name="_Toc10107"/>
      <w:r>
        <w:rPr>
          <w:rFonts w:hint="eastAsia"/>
          <w:bCs w:val="0"/>
          <w:color w:val="auto"/>
          <w:highlight w:val="none"/>
        </w:rPr>
        <w:t>九、甲乙方代表</w:t>
      </w:r>
      <w:bookmarkEnd w:id="811"/>
    </w:p>
    <w:p w14:paraId="06D2A3EE">
      <w:pPr>
        <w:keepNext w:val="0"/>
        <w:keepLines w:val="0"/>
        <w:pageBreakBefore w:val="0"/>
        <w:widowControl w:val="0"/>
        <w:shd w:val="clear"/>
        <w:kinsoku/>
        <w:wordWrap w:val="0"/>
        <w:overflowPunct/>
        <w:topLinePunct w:val="0"/>
        <w:autoSpaceDE/>
        <w:autoSpaceDN/>
        <w:bidi w:val="0"/>
        <w:adjustRightInd/>
        <w:snapToGrid/>
        <w:spacing w:line="440" w:lineRule="exact"/>
        <w:ind w:left="0" w:leftChars="0"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甲方现场代表：【</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（身份证号：</w:t>
      </w:r>
      <w:r>
        <w:rPr>
          <w:rFonts w:hint="eastAsia" w:ascii="仿宋_GB2312" w:hAnsi="仿宋_GB2312" w:eastAsia="仿宋_GB2312" w:cs="仿宋_GB2312"/>
          <w:color w:val="auto"/>
          <w:sz w:val="28"/>
          <w:szCs w:val="28"/>
          <w:highlight w:val="none"/>
          <w:lang w:val="en-US" w:eastAsia="zh-CN"/>
        </w:rPr>
        <w:t>【  】 ，联系方式：【  】）</w:t>
      </w:r>
      <w:r>
        <w:rPr>
          <w:rFonts w:hint="eastAsia" w:ascii="仿宋_GB2312" w:hAnsi="仿宋_GB2312" w:eastAsia="仿宋_GB2312" w:cs="仿宋_GB2312"/>
          <w:color w:val="auto"/>
          <w:sz w:val="28"/>
          <w:szCs w:val="28"/>
          <w:highlight w:val="none"/>
        </w:rPr>
        <w:t>】，代表甲方负责现场管理，但无权单独处理合同调价、付款、结算、借款、担保、融投资及除本合同外经济合同的签订事项，也无权变更或解除分包合同。甲方现场代表权限具体见甲方授权委托书。</w:t>
      </w:r>
    </w:p>
    <w:p w14:paraId="59E7966F">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乙方现场代表：【</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身份证号码：</w:t>
      </w:r>
      <w:r>
        <w:rPr>
          <w:rFonts w:hint="eastAsia" w:ascii="宋体" w:hAnsi="宋体" w:eastAsia="宋体" w:cs="宋体"/>
          <w:color w:val="auto"/>
          <w:sz w:val="24"/>
          <w:highlight w:val="none"/>
          <w:lang w:val="en-US" w:eastAsia="zh-CN"/>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shd w:val="clear"/>
        </w:rPr>
        <w:t>】，</w:t>
      </w:r>
      <w:r>
        <w:rPr>
          <w:rFonts w:hint="eastAsia" w:ascii="宋体" w:hAnsi="宋体" w:cs="宋体"/>
          <w:color w:val="auto"/>
          <w:sz w:val="24"/>
          <w:highlight w:val="none"/>
          <w:shd w:val="clear"/>
          <w:lang w:val="en-US" w:eastAsia="zh-CN"/>
        </w:rPr>
        <w:t xml:space="preserve">电子邮箱：【  </w:t>
      </w:r>
      <w:r>
        <w:rPr>
          <w:rFonts w:hint="eastAsia" w:ascii="仿宋_GB2312" w:hAnsi="仿宋_GB2312" w:eastAsia="仿宋_GB2312" w:cs="仿宋_GB2312"/>
          <w:color w:val="auto"/>
          <w:sz w:val="28"/>
          <w:szCs w:val="28"/>
          <w:highlight w:val="none"/>
          <w:shd w:val="clear"/>
        </w:rPr>
        <w:t>】，</w:t>
      </w:r>
      <w:r>
        <w:rPr>
          <w:rFonts w:hint="eastAsia" w:ascii="仿宋_GB2312" w:hAnsi="仿宋_GB2312" w:eastAsia="仿宋_GB2312" w:cs="仿宋_GB2312"/>
          <w:color w:val="auto"/>
          <w:sz w:val="28"/>
          <w:szCs w:val="28"/>
          <w:highlight w:val="none"/>
        </w:rPr>
        <w:t>必须持有授权委托书，代表乙方履行合同，负责施工管理、签署任何文件、处理与工程有关的所有事务等，乙方承担乙方现场代表行为的全部法律后果。</w:t>
      </w:r>
    </w:p>
    <w:p w14:paraId="7D3E5151">
      <w:pPr>
        <w:pStyle w:val="5"/>
        <w:pageBreakBefore w:val="0"/>
        <w:shd w:val="clear"/>
        <w:overflowPunct/>
        <w:topLinePunct w:val="0"/>
        <w:bidi w:val="0"/>
        <w:spacing w:before="0" w:after="0" w:line="440" w:lineRule="exact"/>
        <w:ind w:left="0" w:leftChars="0" w:firstLine="562" w:firstLineChars="200"/>
        <w:rPr>
          <w:bCs w:val="0"/>
          <w:color w:val="auto"/>
          <w:highlight w:val="none"/>
        </w:rPr>
      </w:pPr>
      <w:bookmarkStart w:id="812" w:name="_Toc31726"/>
      <w:r>
        <w:rPr>
          <w:rFonts w:hint="eastAsia"/>
          <w:bCs w:val="0"/>
          <w:color w:val="auto"/>
          <w:highlight w:val="none"/>
        </w:rPr>
        <w:t>十、合同文件构成及解释顺序</w:t>
      </w:r>
      <w:bookmarkEnd w:id="812"/>
    </w:p>
    <w:p w14:paraId="5AC296C5">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本协议书与下列文件一起构成合同文件：</w:t>
      </w:r>
    </w:p>
    <w:p w14:paraId="761EF7A1">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（1）合同协议书；</w:t>
      </w:r>
    </w:p>
    <w:p w14:paraId="1D0EC331">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（2）本合同条款及承诺书等合同附件；</w:t>
      </w:r>
    </w:p>
    <w:p w14:paraId="5A62F143">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（3）中标通知书（如有）；</w:t>
      </w:r>
    </w:p>
    <w:p w14:paraId="20CE759A">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（4）技术标准和要求；</w:t>
      </w:r>
    </w:p>
    <w:p w14:paraId="2B825BC1">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（5）图纸；</w:t>
      </w:r>
    </w:p>
    <w:p w14:paraId="4306C78A">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（6）已标价的工程量清单与计价表；</w:t>
      </w:r>
    </w:p>
    <w:p w14:paraId="7621DD75">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（7）往来资料；</w:t>
      </w:r>
    </w:p>
    <w:p w14:paraId="0C39DA07">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（8）甲方的招标文件；</w:t>
      </w:r>
    </w:p>
    <w:p w14:paraId="226DF039">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ascii="仿宋_GB2312" w:hAnsi="仿宋_GB2312" w:eastAsia="仿宋_GB2312" w:cs="仿宋_GB2312"/>
          <w:color w:val="auto"/>
          <w:sz w:val="28"/>
          <w:szCs w:val="28"/>
          <w:highlight w:val="none"/>
        </w:rPr>
        <w:t>9</w:t>
      </w:r>
      <w:r>
        <w:rPr>
          <w:rFonts w:hint="eastAsia" w:ascii="仿宋_GB2312" w:hAnsi="仿宋_GB2312" w:eastAsia="仿宋_GB2312" w:cs="仿宋_GB2312"/>
          <w:color w:val="auto"/>
          <w:sz w:val="28"/>
          <w:szCs w:val="28"/>
          <w:highlight w:val="none"/>
        </w:rPr>
        <w:t>）甲方现场管理制度及要求；</w:t>
      </w:r>
    </w:p>
    <w:p w14:paraId="6EA57E97">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ascii="仿宋_GB2312" w:hAnsi="仿宋_GB2312" w:eastAsia="仿宋_GB2312" w:cs="仿宋_GB2312"/>
          <w:color w:val="auto"/>
          <w:sz w:val="28"/>
          <w:szCs w:val="28"/>
          <w:highlight w:val="none"/>
        </w:rPr>
        <w:t>10</w:t>
      </w:r>
      <w:r>
        <w:rPr>
          <w:rFonts w:hint="eastAsia" w:ascii="仿宋_GB2312" w:hAnsi="仿宋_GB2312" w:eastAsia="仿宋_GB2312" w:cs="仿宋_GB2312"/>
          <w:color w:val="auto"/>
          <w:sz w:val="28"/>
          <w:szCs w:val="28"/>
          <w:highlight w:val="none"/>
        </w:rPr>
        <w:t>）乙方的投标文件（价格除外）。</w:t>
      </w:r>
    </w:p>
    <w:p w14:paraId="5DF6566C">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在合同订立及履行过程中形成的与合同有关的文件均为合同文件的组成部分。</w:t>
      </w:r>
    </w:p>
    <w:p w14:paraId="4E5E58E8">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上述各项合同文件中包括合同当事人就该项合同文件所做出的补充和修改，属于同一类型内容的文件应以最新签署的为准。</w:t>
      </w:r>
    </w:p>
    <w:p w14:paraId="148596CC">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组成合同的各项文件应互相解释，互为说明。本合同约定解释合同文件的优先顺序同上述排列次序，在合同订立及履行过程中形成的与合同有关的文件根据其性质确定优先解释顺序。</w:t>
      </w:r>
    </w:p>
    <w:p w14:paraId="63F6D3C5">
      <w:pPr>
        <w:pStyle w:val="5"/>
        <w:pageBreakBefore w:val="0"/>
        <w:shd w:val="clear"/>
        <w:overflowPunct/>
        <w:topLinePunct w:val="0"/>
        <w:bidi w:val="0"/>
        <w:spacing w:before="0" w:after="0" w:line="440" w:lineRule="exact"/>
        <w:ind w:left="0" w:leftChars="0" w:firstLine="562" w:firstLineChars="200"/>
        <w:rPr>
          <w:bCs w:val="0"/>
          <w:color w:val="auto"/>
          <w:highlight w:val="none"/>
        </w:rPr>
      </w:pPr>
      <w:bookmarkStart w:id="813" w:name="_Toc22067"/>
      <w:r>
        <w:rPr>
          <w:rFonts w:hint="eastAsia"/>
          <w:bCs w:val="0"/>
          <w:color w:val="auto"/>
          <w:highlight w:val="none"/>
        </w:rPr>
        <w:t>十一、乙方承诺</w:t>
      </w:r>
      <w:bookmarkEnd w:id="813"/>
    </w:p>
    <w:p w14:paraId="0F27073C">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按照法律规定及合同约定组织完成分包工作，确保分包作业质量和安全，不进行转包及再分包，并按时足额向分包作业人员发放工资。</w:t>
      </w:r>
    </w:p>
    <w:p w14:paraId="674D3407">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完成总承包合同中与本分包工程有关的甲方所有义务，并承担总承包合同中关于本分包工程的质量、安全、经济等连带责任。</w:t>
      </w:r>
    </w:p>
    <w:p w14:paraId="17D1E955">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按照甲方要求积极使用全国劳务实名制平台、相关方系统，并配置专（兼）职管理员进行日常管理维护，承认全国劳务实名制平台、相关方系统及手持终端系统相关文件及相关数据具有法律效力。</w:t>
      </w:r>
    </w:p>
    <w:p w14:paraId="6AF10DDC">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11.4</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乙方应当积极维护甲方名誉，不得以甲方及甲方关联公司名义发布自媒体作品，接受媒体、建设单位、行政机关、司法机关等第三方的采访、调查、问询等，或通过其他形式发表言论。</w:t>
      </w:r>
    </w:p>
    <w:p w14:paraId="3CADA2AA">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11.5</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根据《保障农民工工资支付条例》第1</w:t>
      </w:r>
      <w:r>
        <w:rPr>
          <w:rFonts w:ascii="仿宋_GB2312" w:hAnsi="仿宋_GB2312" w:eastAsia="仿宋_GB2312" w:cs="仿宋_GB2312"/>
          <w:color w:val="auto"/>
          <w:sz w:val="28"/>
          <w:szCs w:val="28"/>
          <w:highlight w:val="none"/>
        </w:rPr>
        <w:t>5</w:t>
      </w:r>
      <w:r>
        <w:rPr>
          <w:rFonts w:hint="eastAsia" w:ascii="仿宋_GB2312" w:hAnsi="仿宋_GB2312" w:eastAsia="仿宋_GB2312" w:cs="仿宋_GB2312"/>
          <w:color w:val="auto"/>
          <w:sz w:val="28"/>
          <w:szCs w:val="28"/>
          <w:highlight w:val="none"/>
        </w:rPr>
        <w:t>条规定，乙方应当按照工资支付周期编制书面工资支付台账，并至少保存3年。书面工资支付台账应当包括乙方名称，支付周期，支付日期，支付对象姓名、身份证号码、联系方式，工作时间，应发工资项目及数额，代扣、代缴、扣除项目和数额，实发工资数额，银行代发工资凭证或者农民工签字等内容。乙方在甲方支付每笔工程款后【7】天内，需将上述资料复印件加盖乙方公章后提交至甲方存档，如未编制书面工资支付台账且未在期限内提交工资发放凭证，乙方需向甲方承担签约合同价【</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】%/次的违约责任。</w:t>
      </w:r>
    </w:p>
    <w:p w14:paraId="6C462367">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如因乙方原因导致甲方及甲方关联公司名誉受损的，除应支付违约金外，还应赔偿甲方因此而遭受的全部损失，以及甲方为恢复名誉而支付的差旅费、诉讼费、律师费等，并应在事件发生后【24小时】内通过具有全国影响力的主流媒体公开向甲方道歉并澄清相关事实。</w:t>
      </w:r>
    </w:p>
    <w:p w14:paraId="59C929D7">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上述违约金及赔偿金，甲方有权从乙方缴纳的全部履约保证金或履约保函中直接扣除，也可从任何一笔应支付乙方的工程款中直接扣除，乙方对此知悉并同意，且甲方有权解除合同，解除合同造成的全部损失由乙方承担。</w:t>
      </w:r>
    </w:p>
    <w:p w14:paraId="15570E06">
      <w:pPr>
        <w:pStyle w:val="5"/>
        <w:pageBreakBefore w:val="0"/>
        <w:shd w:val="clear"/>
        <w:overflowPunct/>
        <w:topLinePunct w:val="0"/>
        <w:bidi w:val="0"/>
        <w:spacing w:before="0" w:after="0" w:line="440" w:lineRule="exact"/>
        <w:ind w:left="0" w:leftChars="0" w:firstLine="562" w:firstLineChars="200"/>
        <w:rPr>
          <w:rFonts w:ascii="黑体" w:hAnsi="黑体"/>
          <w:b w:val="0"/>
          <w:bCs w:val="0"/>
          <w:color w:val="auto"/>
          <w:highlight w:val="none"/>
        </w:rPr>
      </w:pPr>
      <w:bookmarkStart w:id="814" w:name="_Toc25205"/>
      <w:r>
        <w:rPr>
          <w:rFonts w:hint="eastAsia"/>
          <w:bCs w:val="0"/>
          <w:color w:val="auto"/>
          <w:highlight w:val="none"/>
        </w:rPr>
        <w:t>十二、工程保修缺陷责任</w:t>
      </w:r>
      <w:bookmarkEnd w:id="814"/>
    </w:p>
    <w:p w14:paraId="47C1CBC1">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按《建设工程质量管理条例》执行。在正常使用条件下，本工程保修期限为【</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年</w:t>
      </w:r>
      <w:r>
        <w:rPr>
          <w:rFonts w:hint="eastAsia" w:ascii="仿宋_GB2312" w:hAnsi="仿宋_GB2312" w:eastAsia="仿宋_GB2312" w:cs="仿宋_GB2312"/>
          <w:color w:val="auto"/>
          <w:sz w:val="28"/>
          <w:szCs w:val="28"/>
          <w:highlight w:val="none"/>
        </w:rPr>
        <w:t>，自【分包工程】竣工验收合格之日起计算。</w:t>
      </w:r>
    </w:p>
    <w:p w14:paraId="70B28134">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质保金的返还：自【分包工程】竣工验收合格之日起满【</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】年，工程无任何质量缺陷，【</w:t>
      </w:r>
      <w:r>
        <w:rPr>
          <w:rFonts w:hint="eastAsia" w:ascii="仿宋_GB2312" w:hAnsi="仿宋_GB2312" w:eastAsia="仿宋_GB2312" w:cs="仿宋_GB2312"/>
          <w:color w:val="auto"/>
          <w:sz w:val="28"/>
          <w:szCs w:val="28"/>
          <w:highlight w:val="none"/>
          <w:lang w:val="en-US" w:eastAsia="zh-CN"/>
        </w:rPr>
        <w:t>28</w:t>
      </w:r>
      <w:r>
        <w:rPr>
          <w:rFonts w:hint="eastAsia" w:ascii="仿宋_GB2312" w:hAnsi="仿宋_GB2312" w:eastAsia="仿宋_GB2312" w:cs="仿宋_GB2312"/>
          <w:color w:val="auto"/>
          <w:sz w:val="28"/>
          <w:szCs w:val="28"/>
          <w:highlight w:val="none"/>
        </w:rPr>
        <w:t>】天内无息支付。</w:t>
      </w:r>
    </w:p>
    <w:p w14:paraId="0B139CC8">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如该工程在保修期内出现质量问题，乙方在接到甲方维修通知后应当在24小时内派人前往维修处理。如乙方未能按照约定履行维修义务，甲方可自行组织人员维修，所产生的维修费用全部由乙方承担，甲方有权在乙方的质保金中扣除，并要求乙方承担维修费用【</w:t>
      </w:r>
      <w:r>
        <w:rPr>
          <w:rFonts w:hint="eastAsia" w:ascii="仿宋_GB2312" w:hAnsi="仿宋_GB2312" w:eastAsia="仿宋_GB2312" w:cs="仿宋_GB2312"/>
          <w:color w:val="auto"/>
          <w:sz w:val="28"/>
          <w:szCs w:val="28"/>
          <w:highlight w:val="none"/>
          <w:lang w:val="en-US" w:eastAsia="zh-CN"/>
        </w:rPr>
        <w:t>20</w:t>
      </w:r>
      <w:r>
        <w:rPr>
          <w:rFonts w:hint="eastAsia" w:ascii="仿宋_GB2312" w:hAnsi="仿宋_GB2312" w:eastAsia="仿宋_GB2312" w:cs="仿宋_GB2312"/>
          <w:color w:val="auto"/>
          <w:sz w:val="28"/>
          <w:szCs w:val="28"/>
          <w:highlight w:val="none"/>
        </w:rPr>
        <w:t>】%的违约金，不足部分及因乙方拒绝维修导致额外的损失，甲方将继续向乙方追偿。</w:t>
      </w:r>
    </w:p>
    <w:p w14:paraId="0A7265EC">
      <w:pPr>
        <w:pStyle w:val="5"/>
        <w:pageBreakBefore w:val="0"/>
        <w:shd w:val="clear"/>
        <w:overflowPunct/>
        <w:topLinePunct w:val="0"/>
        <w:bidi w:val="0"/>
        <w:spacing w:before="0" w:after="0" w:line="440" w:lineRule="exact"/>
        <w:ind w:left="0" w:leftChars="0" w:firstLine="562" w:firstLineChars="200"/>
        <w:rPr>
          <w:rFonts w:ascii="仿宋_GB2312" w:hAnsi="仿宋_GB2312" w:eastAsia="仿宋_GB2312" w:cs="仿宋_GB2312"/>
          <w:b w:val="0"/>
          <w:bCs w:val="0"/>
          <w:color w:val="auto"/>
          <w:highlight w:val="none"/>
        </w:rPr>
      </w:pPr>
      <w:bookmarkStart w:id="815" w:name="_Toc18094"/>
      <w:r>
        <w:rPr>
          <w:rFonts w:hint="eastAsia"/>
          <w:bCs w:val="0"/>
          <w:color w:val="auto"/>
          <w:highlight w:val="none"/>
        </w:rPr>
        <w:t>十三、争议解决</w:t>
      </w:r>
      <w:bookmarkEnd w:id="815"/>
    </w:p>
    <w:p w14:paraId="61BCCA3A">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因本合同引起或与之相关的任何争议、纠纷或权利主张，双方可先行通过和解方式解决，或采用下列第【②】种争议解决方式，并</w:t>
      </w:r>
      <w:r>
        <w:rPr>
          <w:rFonts w:hint="eastAsia" w:ascii="仿宋_GB2312" w:hAnsi="仿宋_GB2312" w:eastAsia="仿宋_GB2312" w:cs="仿宋_GB2312"/>
          <w:color w:val="auto"/>
          <w:sz w:val="28"/>
          <w:szCs w:val="28"/>
          <w:highlight w:val="none"/>
          <w:lang w:val="en-US" w:eastAsia="zh-CN"/>
        </w:rPr>
        <w:t>由违约方</w:t>
      </w:r>
      <w:r>
        <w:rPr>
          <w:rFonts w:hint="eastAsia" w:ascii="仿宋_GB2312" w:hAnsi="仿宋_GB2312" w:eastAsia="仿宋_GB2312" w:cs="仿宋_GB2312"/>
          <w:color w:val="auto"/>
          <w:sz w:val="28"/>
          <w:szCs w:val="28"/>
          <w:highlight w:val="none"/>
        </w:rPr>
        <w:t>承担</w:t>
      </w:r>
      <w:r>
        <w:rPr>
          <w:rFonts w:hint="eastAsia" w:ascii="仿宋_GB2312" w:hAnsi="仿宋_GB2312" w:eastAsia="仿宋_GB2312" w:cs="仿宋_GB2312"/>
          <w:color w:val="auto"/>
          <w:sz w:val="28"/>
          <w:szCs w:val="28"/>
          <w:highlight w:val="none"/>
          <w:lang w:val="en-US" w:eastAsia="zh-CN"/>
        </w:rPr>
        <w:t>守约</w:t>
      </w:r>
      <w:r>
        <w:rPr>
          <w:rFonts w:hint="eastAsia" w:ascii="仿宋_GB2312" w:hAnsi="仿宋_GB2312" w:eastAsia="仿宋_GB2312" w:cs="仿宋_GB2312"/>
          <w:color w:val="auto"/>
          <w:sz w:val="28"/>
          <w:szCs w:val="28"/>
          <w:highlight w:val="none"/>
        </w:rPr>
        <w:t>方发生的律师费、差旅费、保函费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诉讼费、公告费、鉴定费</w:t>
      </w:r>
      <w:r>
        <w:rPr>
          <w:rFonts w:hint="eastAsia" w:ascii="仿宋_GB2312" w:hAnsi="仿宋_GB2312" w:eastAsia="仿宋_GB2312" w:cs="仿宋_GB2312"/>
          <w:color w:val="auto"/>
          <w:sz w:val="28"/>
          <w:szCs w:val="28"/>
          <w:highlight w:val="none"/>
        </w:rPr>
        <w:t>等相关费用∶</w:t>
      </w:r>
    </w:p>
    <w:p w14:paraId="22A6F574">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①向【</w:t>
      </w:r>
      <w:r>
        <w:rPr>
          <w:rFonts w:hint="eastAsia" w:ascii="仿宋_GB2312" w:hAnsi="仿宋_GB2312" w:eastAsia="仿宋_GB2312" w:cs="仿宋_GB2312"/>
          <w:color w:val="auto"/>
          <w:sz w:val="28"/>
          <w:szCs w:val="28"/>
          <w:highlight w:val="none"/>
          <w:lang w:val="en-US" w:eastAsia="zh-CN"/>
        </w:rPr>
        <w:t>贵阳</w:t>
      </w:r>
      <w:r>
        <w:rPr>
          <w:rFonts w:hint="eastAsia" w:ascii="仿宋_GB2312" w:hAnsi="仿宋_GB2312" w:eastAsia="仿宋_GB2312" w:cs="仿宋_GB2312"/>
          <w:color w:val="auto"/>
          <w:sz w:val="28"/>
          <w:szCs w:val="28"/>
          <w:highlight w:val="none"/>
        </w:rPr>
        <w:t>】仲裁委员会申请仲裁；</w:t>
      </w:r>
    </w:p>
    <w:p w14:paraId="7A232992">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②向【</w:t>
      </w:r>
      <w:r>
        <w:rPr>
          <w:rFonts w:hint="eastAsia" w:ascii="仿宋_GB2312" w:hAnsi="仿宋_GB2312" w:eastAsia="仿宋_GB2312" w:cs="仿宋_GB2312"/>
          <w:color w:val="auto"/>
          <w:sz w:val="28"/>
          <w:szCs w:val="28"/>
          <w:highlight w:val="none"/>
          <w:lang w:val="en-US" w:eastAsia="zh-CN"/>
        </w:rPr>
        <w:t>南宁市西乡塘</w:t>
      </w:r>
      <w:r>
        <w:rPr>
          <w:rFonts w:hint="eastAsia" w:ascii="仿宋_GB2312" w:hAnsi="仿宋_GB2312" w:eastAsia="仿宋_GB2312" w:cs="仿宋_GB2312"/>
          <w:color w:val="auto"/>
          <w:sz w:val="28"/>
          <w:szCs w:val="28"/>
          <w:highlight w:val="none"/>
        </w:rPr>
        <w:t>】人民法院提起诉讼。</w:t>
      </w:r>
    </w:p>
    <w:p w14:paraId="31FEBC5A">
      <w:pPr>
        <w:pStyle w:val="5"/>
        <w:pageBreakBefore w:val="0"/>
        <w:shd w:val="clear"/>
        <w:overflowPunct/>
        <w:topLinePunct w:val="0"/>
        <w:bidi w:val="0"/>
        <w:spacing w:before="0" w:after="0" w:line="440" w:lineRule="exact"/>
        <w:ind w:left="0" w:leftChars="0" w:firstLine="562" w:firstLineChars="200"/>
        <w:rPr>
          <w:bCs w:val="0"/>
          <w:color w:val="auto"/>
          <w:highlight w:val="none"/>
        </w:rPr>
      </w:pPr>
      <w:bookmarkStart w:id="816" w:name="_Toc12410"/>
      <w:r>
        <w:rPr>
          <w:bCs w:val="0"/>
          <w:color w:val="auto"/>
          <w:highlight w:val="none"/>
        </w:rPr>
        <w:t>十</w:t>
      </w:r>
      <w:r>
        <w:rPr>
          <w:rFonts w:hint="eastAsia"/>
          <w:bCs w:val="0"/>
          <w:color w:val="auto"/>
          <w:highlight w:val="none"/>
        </w:rPr>
        <w:t>四、附则</w:t>
      </w:r>
      <w:bookmarkEnd w:id="816"/>
    </w:p>
    <w:p w14:paraId="148C9B58">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1．合同订立时间：【</w:t>
      </w:r>
      <w:r>
        <w:rPr>
          <w:rFonts w:hint="eastAsia" w:ascii="仿宋_GB2312" w:hAnsi="仿宋_GB2312" w:eastAsia="仿宋_GB2312" w:cs="仿宋_GB2312"/>
          <w:bCs/>
          <w:color w:val="auto"/>
          <w:sz w:val="28"/>
          <w:szCs w:val="28"/>
          <w:highlight w:val="none"/>
          <w:lang w:val="en-US" w:eastAsia="zh-CN"/>
        </w:rPr>
        <w:t>2025</w:t>
      </w:r>
      <w:r>
        <w:rPr>
          <w:rFonts w:hint="eastAsia" w:ascii="仿宋_GB2312" w:hAnsi="仿宋_GB2312" w:eastAsia="仿宋_GB2312" w:cs="仿宋_GB2312"/>
          <w:bCs/>
          <w:color w:val="auto"/>
          <w:sz w:val="28"/>
          <w:szCs w:val="28"/>
          <w:highlight w:val="none"/>
        </w:rPr>
        <w:t>】年【</w:t>
      </w:r>
      <w:r>
        <w:rPr>
          <w:rFonts w:hint="eastAsia" w:ascii="仿宋_GB2312" w:hAnsi="仿宋_GB2312" w:eastAsia="仿宋_GB2312" w:cs="仿宋_GB2312"/>
          <w:bCs/>
          <w:color w:val="auto"/>
          <w:sz w:val="28"/>
          <w:szCs w:val="28"/>
          <w:highlight w:val="none"/>
          <w:lang w:val="en-US" w:eastAsia="zh-CN"/>
        </w:rPr>
        <w:t>6</w:t>
      </w:r>
      <w:r>
        <w:rPr>
          <w:rFonts w:hint="eastAsia" w:ascii="仿宋_GB2312" w:hAnsi="仿宋_GB2312" w:eastAsia="仿宋_GB2312" w:cs="仿宋_GB2312"/>
          <w:bCs/>
          <w:color w:val="auto"/>
          <w:sz w:val="28"/>
          <w:szCs w:val="28"/>
          <w:highlight w:val="none"/>
        </w:rPr>
        <w:t>】月【</w:t>
      </w:r>
      <w:r>
        <w:rPr>
          <w:rFonts w:hint="eastAsia" w:ascii="仿宋_GB2312" w:hAnsi="仿宋_GB2312" w:eastAsia="仿宋_GB2312" w:cs="仿宋_GB2312"/>
          <w:bCs/>
          <w:color w:val="auto"/>
          <w:sz w:val="28"/>
          <w:szCs w:val="28"/>
          <w:highlight w:val="none"/>
          <w:lang w:val="en-US" w:eastAsia="zh-CN"/>
        </w:rPr>
        <w:t xml:space="preserve">  </w:t>
      </w:r>
      <w:r>
        <w:rPr>
          <w:rFonts w:hint="eastAsia" w:ascii="仿宋_GB2312" w:hAnsi="仿宋_GB2312" w:eastAsia="仿宋_GB2312" w:cs="仿宋_GB2312"/>
          <w:bCs/>
          <w:color w:val="auto"/>
          <w:sz w:val="28"/>
          <w:szCs w:val="28"/>
          <w:highlight w:val="none"/>
        </w:rPr>
        <w:t>】日</w:t>
      </w:r>
    </w:p>
    <w:p w14:paraId="71303FDB">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2．合同订立地点：【</w:t>
      </w:r>
      <w:r>
        <w:rPr>
          <w:rFonts w:hint="eastAsia" w:ascii="仿宋_GB2312" w:hAnsi="仿宋_GB2312" w:eastAsia="仿宋_GB2312" w:cs="仿宋_GB2312"/>
          <w:bCs/>
          <w:color w:val="auto"/>
          <w:sz w:val="28"/>
          <w:szCs w:val="28"/>
          <w:highlight w:val="none"/>
          <w:lang w:val="en-US" w:eastAsia="zh-CN"/>
        </w:rPr>
        <w:t>广西南宁</w:t>
      </w:r>
      <w:r>
        <w:rPr>
          <w:rFonts w:hint="eastAsia" w:ascii="仿宋_GB2312" w:hAnsi="仿宋_GB2312" w:eastAsia="仿宋_GB2312" w:cs="仿宋_GB2312"/>
          <w:bCs/>
          <w:color w:val="auto"/>
          <w:sz w:val="28"/>
          <w:szCs w:val="28"/>
          <w:highlight w:val="none"/>
        </w:rPr>
        <w:t>】</w:t>
      </w:r>
    </w:p>
    <w:p w14:paraId="630E99EF">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3．本合同采用下列第【（</w:t>
      </w:r>
      <w:r>
        <w:rPr>
          <w:rFonts w:hint="eastAsia" w:ascii="仿宋_GB2312" w:hAnsi="仿宋_GB2312" w:eastAsia="仿宋_GB2312" w:cs="仿宋_GB2312"/>
          <w:bCs/>
          <w:color w:val="auto"/>
          <w:sz w:val="28"/>
          <w:szCs w:val="28"/>
          <w:highlight w:val="none"/>
          <w:lang w:val="en-US" w:eastAsia="zh-CN"/>
        </w:rPr>
        <w:t>2</w:t>
      </w:r>
      <w:r>
        <w:rPr>
          <w:rFonts w:hint="eastAsia" w:ascii="仿宋_GB2312" w:hAnsi="仿宋_GB2312" w:eastAsia="仿宋_GB2312" w:cs="仿宋_GB2312"/>
          <w:bCs/>
          <w:color w:val="auto"/>
          <w:sz w:val="28"/>
          <w:szCs w:val="28"/>
          <w:highlight w:val="none"/>
        </w:rPr>
        <w:t>）】种方式签订：</w:t>
      </w:r>
    </w:p>
    <w:p w14:paraId="42345CE3">
      <w:pPr>
        <w:pageBreakBefore w:val="0"/>
        <w:shd w:val="clear"/>
        <w:overflowPunct/>
        <w:topLinePunct w:val="0"/>
        <w:bidi w:val="0"/>
        <w:spacing w:line="440" w:lineRule="exact"/>
        <w:ind w:left="0" w:leftChars="0"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本合同自双方签字并盖章后生效，一式【</w:t>
      </w:r>
      <w:r>
        <w:rPr>
          <w:rFonts w:hint="eastAsia" w:ascii="仿宋_GB2312" w:hAnsi="仿宋_GB2312" w:eastAsia="仿宋_GB2312" w:cs="仿宋_GB2312"/>
          <w:bCs/>
          <w:color w:val="auto"/>
          <w:sz w:val="28"/>
          <w:szCs w:val="28"/>
          <w:highlight w:val="none"/>
          <w:lang w:val="en-US" w:eastAsia="zh-CN"/>
        </w:rPr>
        <w:t>伍</w:t>
      </w:r>
      <w:r>
        <w:rPr>
          <w:rFonts w:hint="eastAsia" w:ascii="仿宋_GB2312" w:hAnsi="仿宋_GB2312" w:eastAsia="仿宋_GB2312" w:cs="仿宋_GB2312"/>
          <w:bCs/>
          <w:color w:val="auto"/>
          <w:sz w:val="28"/>
          <w:szCs w:val="28"/>
          <w:highlight w:val="none"/>
        </w:rPr>
        <w:t>】份，甲方执【</w:t>
      </w:r>
      <w:r>
        <w:rPr>
          <w:rFonts w:hint="eastAsia" w:ascii="仿宋_GB2312" w:hAnsi="仿宋_GB2312" w:eastAsia="仿宋_GB2312" w:cs="仿宋_GB2312"/>
          <w:bCs/>
          <w:color w:val="auto"/>
          <w:sz w:val="28"/>
          <w:szCs w:val="28"/>
          <w:highlight w:val="none"/>
          <w:lang w:val="en-US" w:eastAsia="zh-CN"/>
        </w:rPr>
        <w:t>肆</w:t>
      </w:r>
      <w:r>
        <w:rPr>
          <w:rFonts w:hint="eastAsia" w:ascii="仿宋_GB2312" w:hAnsi="仿宋_GB2312" w:eastAsia="仿宋_GB2312" w:cs="仿宋_GB2312"/>
          <w:bCs/>
          <w:color w:val="auto"/>
          <w:sz w:val="28"/>
          <w:szCs w:val="28"/>
          <w:highlight w:val="none"/>
        </w:rPr>
        <w:t>】份，乙方执【</w:t>
      </w:r>
      <w:r>
        <w:rPr>
          <w:rFonts w:hint="eastAsia" w:ascii="仿宋_GB2312" w:hAnsi="仿宋_GB2312" w:eastAsia="仿宋_GB2312" w:cs="仿宋_GB2312"/>
          <w:bCs/>
          <w:color w:val="auto"/>
          <w:sz w:val="28"/>
          <w:szCs w:val="28"/>
          <w:highlight w:val="none"/>
          <w:lang w:val="en-US" w:eastAsia="zh-CN"/>
        </w:rPr>
        <w:t>壹</w:t>
      </w:r>
      <w:r>
        <w:rPr>
          <w:rFonts w:hint="eastAsia" w:ascii="仿宋_GB2312" w:hAnsi="仿宋_GB2312" w:eastAsia="仿宋_GB2312" w:cs="仿宋_GB2312"/>
          <w:bCs/>
          <w:color w:val="auto"/>
          <w:sz w:val="28"/>
          <w:szCs w:val="28"/>
          <w:highlight w:val="none"/>
        </w:rPr>
        <w:t>】份，每份具有同等法律效力。</w:t>
      </w:r>
    </w:p>
    <w:p w14:paraId="6DDC3BFD">
      <w:pPr>
        <w:pageBreakBefore w:val="0"/>
        <w:shd w:val="clear"/>
        <w:overflowPunct/>
        <w:topLinePunct w:val="0"/>
        <w:bidi w:val="0"/>
        <w:spacing w:line="440" w:lineRule="exact"/>
        <w:ind w:left="0" w:leftChars="0" w:firstLine="560" w:firstLineChars="200"/>
        <w:rPr>
          <w:rFonts w:ascii="仿宋_GB2312" w:hAnsi="仿宋_GB2312" w:eastAsia="仿宋_GB2312" w:cs="仿宋_GB2312"/>
          <w:color w:val="auto"/>
          <w:sz w:val="28"/>
          <w:szCs w:val="28"/>
          <w:highlight w:val="none"/>
        </w:rPr>
      </w:pPr>
    </w:p>
    <w:p w14:paraId="34F65CB6">
      <w:pPr>
        <w:shd w:val="clear"/>
        <w:spacing w:line="480" w:lineRule="auto"/>
        <w:jc w:val="left"/>
        <w:rPr>
          <w:rFonts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（以下无正文）</w:t>
      </w:r>
    </w:p>
    <w:p w14:paraId="301814CB">
      <w:pPr>
        <w:shd w:val="clear"/>
        <w:spacing w:line="480" w:lineRule="exact"/>
        <w:ind w:firstLine="560" w:firstLineChars="200"/>
        <w:rPr>
          <w:rFonts w:ascii="仿宋_GB2312" w:hAnsi="仿宋_GB2312" w:eastAsia="仿宋_GB2312" w:cs="仿宋_GB2312"/>
          <w:color w:val="auto"/>
          <w:sz w:val="28"/>
          <w:szCs w:val="28"/>
          <w:highlight w:val="none"/>
        </w:rPr>
      </w:pPr>
    </w:p>
    <w:p w14:paraId="5BAD9A96">
      <w:pPr>
        <w:shd w:val="clear"/>
        <w:spacing w:line="480" w:lineRule="exact"/>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甲方：【盖章】                 </w:t>
      </w:r>
      <w:r>
        <w:rPr>
          <w:rFonts w:hint="eastAsia" w:ascii="仿宋_GB2312" w:hAnsi="仿宋_GB2312" w:eastAsia="仿宋_GB2312" w:cs="仿宋_GB2312"/>
          <w:bCs/>
          <w:color w:val="auto"/>
          <w:sz w:val="28"/>
          <w:szCs w:val="28"/>
          <w:highlight w:val="none"/>
          <w:lang w:val="en-US" w:eastAsia="zh-CN"/>
        </w:rPr>
        <w:t xml:space="preserve"> </w:t>
      </w:r>
      <w:r>
        <w:rPr>
          <w:rFonts w:hint="eastAsia" w:ascii="仿宋_GB2312" w:hAnsi="仿宋_GB2312" w:eastAsia="仿宋_GB2312" w:cs="仿宋_GB2312"/>
          <w:bCs/>
          <w:color w:val="auto"/>
          <w:sz w:val="28"/>
          <w:szCs w:val="28"/>
          <w:highlight w:val="none"/>
        </w:rPr>
        <w:t>乙方：【盖章】</w:t>
      </w:r>
    </w:p>
    <w:p w14:paraId="419ABA39">
      <w:pPr>
        <w:shd w:val="clear"/>
        <w:spacing w:line="480" w:lineRule="exact"/>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法定代表人或其委托代理人：   </w:t>
      </w:r>
      <w:r>
        <w:rPr>
          <w:rFonts w:ascii="仿宋_GB2312" w:hAnsi="仿宋_GB2312" w:eastAsia="仿宋_GB2312" w:cs="仿宋_GB2312"/>
          <w:bCs/>
          <w:color w:val="auto"/>
          <w:sz w:val="28"/>
          <w:szCs w:val="28"/>
          <w:highlight w:val="none"/>
        </w:rPr>
        <w:t xml:space="preserve">  </w:t>
      </w:r>
      <w:r>
        <w:rPr>
          <w:rFonts w:hint="eastAsia" w:ascii="仿宋_GB2312" w:hAnsi="仿宋_GB2312" w:eastAsia="仿宋_GB2312" w:cs="仿宋_GB2312"/>
          <w:bCs/>
          <w:color w:val="auto"/>
          <w:sz w:val="28"/>
          <w:szCs w:val="28"/>
          <w:highlight w:val="none"/>
        </w:rPr>
        <w:t>法定代表人或其委托代理人：</w:t>
      </w:r>
    </w:p>
    <w:p w14:paraId="67E6F8A4">
      <w:pPr>
        <w:shd w:val="clear"/>
        <w:spacing w:line="480" w:lineRule="exact"/>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【签字】                      </w:t>
      </w:r>
      <w:r>
        <w:rPr>
          <w:rFonts w:hint="eastAsia" w:ascii="仿宋_GB2312" w:hAnsi="仿宋_GB2312" w:eastAsia="仿宋_GB2312" w:cs="仿宋_GB2312"/>
          <w:bCs/>
          <w:color w:val="auto"/>
          <w:sz w:val="28"/>
          <w:szCs w:val="28"/>
          <w:highlight w:val="none"/>
          <w:lang w:val="en-US" w:eastAsia="zh-CN"/>
        </w:rPr>
        <w:t xml:space="preserve"> </w:t>
      </w:r>
      <w:r>
        <w:rPr>
          <w:rFonts w:hint="eastAsia" w:ascii="仿宋_GB2312" w:hAnsi="仿宋_GB2312" w:eastAsia="仿宋_GB2312" w:cs="仿宋_GB2312"/>
          <w:bCs/>
          <w:color w:val="auto"/>
          <w:sz w:val="28"/>
          <w:szCs w:val="28"/>
          <w:highlight w:val="none"/>
        </w:rPr>
        <w:t>【签字】</w:t>
      </w:r>
    </w:p>
    <w:p w14:paraId="700A3202">
      <w:pPr>
        <w:shd w:val="clear"/>
        <w:spacing w:line="480" w:lineRule="exact"/>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日  期：【2025年6月</w:t>
      </w:r>
      <w:r>
        <w:rPr>
          <w:rFonts w:hint="eastAsia" w:ascii="仿宋_GB2312" w:hAnsi="仿宋_GB2312" w:eastAsia="仿宋_GB2312" w:cs="仿宋_GB2312"/>
          <w:bCs/>
          <w:color w:val="auto"/>
          <w:sz w:val="28"/>
          <w:szCs w:val="28"/>
          <w:highlight w:val="none"/>
          <w:lang w:val="en-US" w:eastAsia="zh-CN"/>
        </w:rPr>
        <w:t xml:space="preserve">  </w:t>
      </w:r>
      <w:r>
        <w:rPr>
          <w:rFonts w:hint="eastAsia" w:ascii="仿宋_GB2312" w:hAnsi="仿宋_GB2312" w:eastAsia="仿宋_GB2312" w:cs="仿宋_GB2312"/>
          <w:bCs/>
          <w:color w:val="auto"/>
          <w:sz w:val="28"/>
          <w:szCs w:val="28"/>
          <w:highlight w:val="none"/>
        </w:rPr>
        <w:t>日】    日  期：【2025年6月</w:t>
      </w:r>
      <w:r>
        <w:rPr>
          <w:rFonts w:hint="eastAsia" w:ascii="仿宋_GB2312" w:hAnsi="仿宋_GB2312" w:eastAsia="仿宋_GB2312" w:cs="仿宋_GB2312"/>
          <w:bCs/>
          <w:color w:val="auto"/>
          <w:sz w:val="28"/>
          <w:szCs w:val="28"/>
          <w:highlight w:val="none"/>
          <w:lang w:val="en-US" w:eastAsia="zh-CN"/>
        </w:rPr>
        <w:t xml:space="preserve">  </w:t>
      </w:r>
      <w:r>
        <w:rPr>
          <w:rFonts w:hint="eastAsia" w:ascii="仿宋_GB2312" w:hAnsi="仿宋_GB2312" w:eastAsia="仿宋_GB2312" w:cs="仿宋_GB2312"/>
          <w:bCs/>
          <w:color w:val="auto"/>
          <w:sz w:val="28"/>
          <w:szCs w:val="28"/>
          <w:highlight w:val="none"/>
        </w:rPr>
        <w:t>日】</w:t>
      </w:r>
    </w:p>
    <w:p w14:paraId="1F0C83A6">
      <w:pPr>
        <w:pStyle w:val="4"/>
        <w:shd w:val="clear"/>
        <w:spacing w:line="480" w:lineRule="exact"/>
        <w:jc w:val="center"/>
        <w:rPr>
          <w:rFonts w:ascii="华文中宋" w:hAnsi="华文中宋" w:eastAsia="华文中宋"/>
          <w:color w:val="auto"/>
          <w:sz w:val="40"/>
          <w:szCs w:val="40"/>
          <w:highlight w:val="none"/>
        </w:rPr>
      </w:pPr>
      <w:bookmarkStart w:id="817" w:name="_Toc23392"/>
      <w:bookmarkStart w:id="818" w:name="_Toc132359800"/>
      <w:r>
        <w:rPr>
          <w:rFonts w:ascii="华文中宋" w:hAnsi="华文中宋" w:eastAsia="华文中宋"/>
          <w:color w:val="auto"/>
          <w:sz w:val="40"/>
          <w:szCs w:val="40"/>
          <w:highlight w:val="none"/>
        </w:rPr>
        <w:t>第二部分  合同条款</w:t>
      </w:r>
      <w:bookmarkEnd w:id="817"/>
      <w:bookmarkEnd w:id="818"/>
      <w:bookmarkStart w:id="819" w:name="_Toc337558727"/>
    </w:p>
    <w:p w14:paraId="3E234AB3">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20" w:name="_Toc24255"/>
      <w:r>
        <w:rPr>
          <w:bCs w:val="0"/>
          <w:color w:val="auto"/>
          <w:highlight w:val="none"/>
        </w:rPr>
        <w:t>1.</w:t>
      </w:r>
      <w:bookmarkStart w:id="821" w:name="_Toc303538976"/>
      <w:bookmarkEnd w:id="821"/>
      <w:bookmarkStart w:id="822" w:name="_Toc303538974"/>
      <w:bookmarkEnd w:id="822"/>
      <w:bookmarkStart w:id="823" w:name="_Toc303538973"/>
      <w:bookmarkEnd w:id="823"/>
      <w:bookmarkStart w:id="824" w:name="_Toc303538975"/>
      <w:bookmarkEnd w:id="824"/>
      <w:bookmarkStart w:id="825" w:name="_Toc303538972"/>
      <w:bookmarkEnd w:id="825"/>
      <w:bookmarkStart w:id="826" w:name="_Toc296346528"/>
      <w:bookmarkStart w:id="827" w:name="_Toc296503027"/>
      <w:r>
        <w:rPr>
          <w:bCs w:val="0"/>
          <w:color w:val="auto"/>
          <w:highlight w:val="none"/>
        </w:rPr>
        <w:t xml:space="preserve"> 一般约定</w:t>
      </w:r>
      <w:bookmarkEnd w:id="819"/>
      <w:bookmarkEnd w:id="820"/>
      <w:bookmarkEnd w:id="826"/>
      <w:bookmarkEnd w:id="827"/>
    </w:p>
    <w:p w14:paraId="6AF5953C">
      <w:pPr>
        <w:pageBreakBefore w:val="0"/>
        <w:shd w:val="clear"/>
        <w:kinsoku/>
        <w:wordWrap/>
        <w:overflowPunct/>
        <w:topLinePunct w:val="0"/>
        <w:bidi w:val="0"/>
        <w:snapToGrid/>
        <w:spacing w:line="440" w:lineRule="exact"/>
        <w:ind w:firstLine="562" w:firstLineChars="200"/>
        <w:textAlignment w:val="auto"/>
        <w:rPr>
          <w:rFonts w:ascii="Times New Roman" w:hAnsi="Times New Roman" w:eastAsia="黑体"/>
          <w:b/>
          <w:color w:val="auto"/>
          <w:sz w:val="28"/>
          <w:szCs w:val="28"/>
          <w:highlight w:val="none"/>
        </w:rPr>
      </w:pPr>
      <w:bookmarkStart w:id="828" w:name="_Toc296503028"/>
      <w:bookmarkStart w:id="829" w:name="_Toc337558728"/>
      <w:bookmarkStart w:id="830" w:name="_Toc296346529"/>
      <w:bookmarkStart w:id="831" w:name="_Toc5925"/>
      <w:r>
        <w:rPr>
          <w:rFonts w:ascii="Times New Roman" w:hAnsi="Times New Roman" w:eastAsia="黑体"/>
          <w:b/>
          <w:color w:val="auto"/>
          <w:sz w:val="28"/>
          <w:szCs w:val="28"/>
          <w:highlight w:val="none"/>
        </w:rPr>
        <w:t>1.1 词语定义</w:t>
      </w:r>
      <w:bookmarkEnd w:id="828"/>
      <w:bookmarkEnd w:id="829"/>
      <w:bookmarkEnd w:id="830"/>
      <w:r>
        <w:rPr>
          <w:rFonts w:ascii="Times New Roman" w:hAnsi="Times New Roman" w:eastAsia="黑体"/>
          <w:b/>
          <w:color w:val="auto"/>
          <w:sz w:val="28"/>
          <w:szCs w:val="28"/>
          <w:highlight w:val="none"/>
        </w:rPr>
        <w:t>与解释</w:t>
      </w:r>
      <w:bookmarkEnd w:id="831"/>
    </w:p>
    <w:p w14:paraId="6A6B0153">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1.1.1 建设单位：指本工程的建设单位，即整体工程开发单位。</w:t>
      </w:r>
    </w:p>
    <w:p w14:paraId="261EC7F6">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1.1.2 监理：指建设单位聘请的整体工程的监理单位。</w:t>
      </w:r>
    </w:p>
    <w:p w14:paraId="05E9F70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1.1.3 甲方：指本分包工程的承包人，亦为整体工程的总承包人。</w:t>
      </w:r>
    </w:p>
    <w:p w14:paraId="7BB73031">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1.1.4 乙方：指本分包工程的分包人，即分包施工单位。</w:t>
      </w:r>
    </w:p>
    <w:p w14:paraId="3DC0C7C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1.1.5 总承包合同：甲方与建设单位签订的整体工程的总承包合同。</w:t>
      </w:r>
    </w:p>
    <w:p w14:paraId="27BD006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1.1.6 整体工程：即总承包合同中甲方作为总承包单位所对应的工程。</w:t>
      </w:r>
    </w:p>
    <w:p w14:paraId="18C614FD">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1.1.7 分包工程：本合同约定的乙方承包范围内的所有工程。</w:t>
      </w:r>
    </w:p>
    <w:p w14:paraId="021FFB0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1.1.8</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签约合同价：是指甲方和乙方在合同协议书中确定的总金额。</w:t>
      </w:r>
    </w:p>
    <w:p w14:paraId="1FED7869">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1.1.9</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合同价款：指合同协议书中约定并依据合同约定调整后的价款。</w:t>
      </w:r>
    </w:p>
    <w:p w14:paraId="74311136">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1.1.10</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日、天：本文所述之“日”“天”均指日历日。</w:t>
      </w:r>
    </w:p>
    <w:p w14:paraId="196E36E3">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1.2 标准和规范</w:t>
      </w:r>
    </w:p>
    <w:p w14:paraId="343C561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适用标准、规范：按施工合同有关约定，按国家现行的《建筑工程施工质量验收统一标准》《建筑工程施工质量评价标准》、现行建筑工程施工质量验收规范、施工技术标准及规范、总承包合同中约定的其他标准及规范执行。</w:t>
      </w:r>
    </w:p>
    <w:p w14:paraId="09BF8FF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本分包工程没有相应标准、规范的，由甲方向乙方提出施工技术要求，乙方按约定的时间和要求提出施工工艺，经甲方书面认可后执行，乙方应对其提出的施工工艺承担全部责任。</w:t>
      </w:r>
    </w:p>
    <w:p w14:paraId="1502C7E1">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1.3 图纸</w:t>
      </w:r>
    </w:p>
    <w:p w14:paraId="26BAD1B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1.3.1</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甲方向乙方提供纸质施工图纸【</w:t>
      </w:r>
      <w:r>
        <w:rPr>
          <w:rFonts w:hint="eastAsia" w:ascii="Times New Roman" w:hAnsi="Times New Roman" w:eastAsia="仿宋_GB2312"/>
          <w:color w:val="auto"/>
          <w:kern w:val="0"/>
          <w:sz w:val="28"/>
          <w:szCs w:val="28"/>
          <w:highlight w:val="none"/>
          <w:lang w:val="en-US" w:eastAsia="zh-CN"/>
        </w:rPr>
        <w:t>1</w:t>
      </w:r>
      <w:r>
        <w:rPr>
          <w:rFonts w:hint="eastAsia" w:ascii="Times New Roman" w:hAnsi="Times New Roman" w:eastAsia="仿宋_GB2312"/>
          <w:color w:val="auto"/>
          <w:kern w:val="0"/>
          <w:sz w:val="28"/>
          <w:szCs w:val="28"/>
          <w:highlight w:val="none"/>
        </w:rPr>
        <w:t>】套或电子图纸，边设计边施工的工程分期提供图纸。</w:t>
      </w:r>
    </w:p>
    <w:p w14:paraId="680C1E3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1.3.2</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甲方有权随时向乙方发出为使工程合理及正确施工、竣工以及保修所需的补充图纸和指示，乙方应执行该等补充图纸和指示，并受其约束。</w:t>
      </w:r>
    </w:p>
    <w:p w14:paraId="33EF06E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1.3.3</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乙方不能将甲方提供的图纸挪作他用，乙方施工完毕需将纸质图纸完整交回甲方。</w:t>
      </w:r>
    </w:p>
    <w:p w14:paraId="73E9BD1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1.3.4</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乙方应认真核查甲方所提供的施工图纸，有义务指出甲方提供施工图纸中可能存在的缺陷和遗漏并在施工之前将发现的图纸上错漏及时通知甲方，避免造成损失，否则，在施工过程中因乙方的职责未尽而导致的变更不予增加费用，建设单位和甲方事先书面同意增加的除外。</w:t>
      </w:r>
    </w:p>
    <w:p w14:paraId="6907F30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1.3.5</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对施工图纸的保密要求：乙方可以为了实现合同目的而复制、使用工程图纸、规范及其他构成分包合同的任何性质的或与分包合同相关的资料和信息，但不能用于与合同无关的其他事项。未经甲方书面同意，乙方不得为了合同以外的目的而复制、使用上述文件或将之转让、泄露给任何第三方。乙方应负责分包工程范围内图纸的保密工作，乙方的保密义务在分包合同终止后，应当继续履行。</w:t>
      </w:r>
    </w:p>
    <w:p w14:paraId="7102F4BC">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1.4 联络</w:t>
      </w:r>
    </w:p>
    <w:p w14:paraId="1973BC0C">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1.4.1 与合同有关的通知、指令等文件，可通过【邮件、信函、直接送达】等方式送达。双方确认以下送达信息：</w:t>
      </w:r>
    </w:p>
    <w:p w14:paraId="0801D3A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甲方：收件人【</w:t>
      </w:r>
      <w:r>
        <w:rPr>
          <w:rFonts w:hint="eastAsia" w:ascii="Times New Roman" w:hAnsi="Times New Roman" w:eastAsia="仿宋_GB2312"/>
          <w:color w:val="auto"/>
          <w:kern w:val="0"/>
          <w:sz w:val="28"/>
          <w:szCs w:val="28"/>
          <w:highlight w:val="none"/>
          <w:lang w:val="en-US" w:eastAsia="zh-CN"/>
        </w:rPr>
        <w:t xml:space="preserve">  </w:t>
      </w:r>
      <w:r>
        <w:rPr>
          <w:rFonts w:hint="eastAsia" w:ascii="Times New Roman" w:hAnsi="Times New Roman" w:eastAsia="仿宋_GB2312"/>
          <w:color w:val="auto"/>
          <w:kern w:val="0"/>
          <w:sz w:val="28"/>
          <w:szCs w:val="28"/>
          <w:highlight w:val="none"/>
        </w:rPr>
        <w:t>】，联系电话【</w:t>
      </w:r>
      <w:r>
        <w:rPr>
          <w:rFonts w:hint="eastAsia" w:ascii="Times New Roman" w:hAnsi="Times New Roman" w:eastAsia="仿宋_GB2312"/>
          <w:color w:val="auto"/>
          <w:kern w:val="0"/>
          <w:sz w:val="28"/>
          <w:szCs w:val="28"/>
          <w:highlight w:val="none"/>
          <w:lang w:val="en-US" w:eastAsia="zh-CN"/>
        </w:rPr>
        <w:t xml:space="preserve">  </w:t>
      </w:r>
      <w:r>
        <w:rPr>
          <w:rFonts w:hint="eastAsia" w:ascii="Times New Roman" w:hAnsi="Times New Roman" w:eastAsia="仿宋_GB2312"/>
          <w:color w:val="auto"/>
          <w:kern w:val="0"/>
          <w:sz w:val="28"/>
          <w:szCs w:val="28"/>
          <w:highlight w:val="none"/>
          <w:shd w:val="clear"/>
        </w:rPr>
        <w:t>】，电子邮箱【</w:t>
      </w:r>
      <w:r>
        <w:rPr>
          <w:rFonts w:hint="eastAsia" w:ascii="Times New Roman" w:hAnsi="Times New Roman" w:eastAsia="仿宋_GB2312"/>
          <w:color w:val="auto"/>
          <w:kern w:val="0"/>
          <w:sz w:val="28"/>
          <w:szCs w:val="28"/>
          <w:highlight w:val="none"/>
          <w:shd w:val="clear"/>
          <w:lang w:val="en-US" w:eastAsia="zh-CN"/>
        </w:rPr>
        <w:t>/</w:t>
      </w:r>
      <w:r>
        <w:rPr>
          <w:rFonts w:hint="eastAsia" w:ascii="Times New Roman" w:hAnsi="Times New Roman" w:eastAsia="仿宋_GB2312"/>
          <w:color w:val="auto"/>
          <w:kern w:val="0"/>
          <w:sz w:val="28"/>
          <w:szCs w:val="28"/>
          <w:highlight w:val="none"/>
          <w:shd w:val="clear"/>
        </w:rPr>
        <w:t>】，地</w:t>
      </w:r>
      <w:r>
        <w:rPr>
          <w:rFonts w:hint="eastAsia" w:ascii="Times New Roman" w:hAnsi="Times New Roman" w:eastAsia="仿宋_GB2312"/>
          <w:color w:val="auto"/>
          <w:kern w:val="0"/>
          <w:sz w:val="28"/>
          <w:szCs w:val="28"/>
          <w:highlight w:val="none"/>
        </w:rPr>
        <w:t>址【</w:t>
      </w:r>
      <w:r>
        <w:rPr>
          <w:rFonts w:hint="eastAsia" w:ascii="Times New Roman" w:hAnsi="Times New Roman" w:eastAsia="仿宋_GB2312"/>
          <w:color w:val="auto"/>
          <w:kern w:val="0"/>
          <w:sz w:val="28"/>
          <w:szCs w:val="28"/>
          <w:highlight w:val="none"/>
          <w:lang w:val="en-US" w:eastAsia="zh-CN"/>
        </w:rPr>
        <w:t xml:space="preserve">  </w:t>
      </w:r>
      <w:r>
        <w:rPr>
          <w:rFonts w:hint="eastAsia" w:ascii="Times New Roman" w:hAnsi="Times New Roman" w:eastAsia="仿宋_GB2312"/>
          <w:color w:val="auto"/>
          <w:kern w:val="0"/>
          <w:sz w:val="28"/>
          <w:szCs w:val="28"/>
          <w:highlight w:val="none"/>
        </w:rPr>
        <w:t>】。</w:t>
      </w:r>
    </w:p>
    <w:p w14:paraId="492094F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乙方：</w:t>
      </w:r>
      <w:r>
        <w:rPr>
          <w:rFonts w:hint="eastAsia" w:ascii="Times New Roman" w:hAnsi="Times New Roman" w:eastAsia="仿宋_GB2312"/>
          <w:color w:val="auto"/>
          <w:kern w:val="0"/>
          <w:sz w:val="28"/>
          <w:szCs w:val="28"/>
          <w:highlight w:val="none"/>
          <w:lang w:eastAsia="zh-CN"/>
        </w:rPr>
        <w:t>收件人【</w:t>
      </w:r>
      <w:r>
        <w:rPr>
          <w:rFonts w:hint="eastAsia" w:ascii="Times New Roman" w:hAnsi="Times New Roman" w:eastAsia="仿宋_GB2312"/>
          <w:color w:val="auto"/>
          <w:kern w:val="0"/>
          <w:sz w:val="28"/>
          <w:szCs w:val="28"/>
          <w:highlight w:val="none"/>
          <w:lang w:val="en-US" w:eastAsia="zh-CN"/>
        </w:rPr>
        <w:t xml:space="preserve">  </w:t>
      </w:r>
      <w:r>
        <w:rPr>
          <w:rFonts w:hint="eastAsia" w:ascii="Times New Roman" w:hAnsi="Times New Roman" w:eastAsia="仿宋_GB2312"/>
          <w:color w:val="auto"/>
          <w:kern w:val="0"/>
          <w:sz w:val="28"/>
          <w:szCs w:val="28"/>
          <w:highlight w:val="none"/>
          <w:lang w:eastAsia="zh-CN"/>
        </w:rPr>
        <w:t>】，</w:t>
      </w:r>
      <w:bookmarkStart w:id="832" w:name="OLE_LINK2"/>
      <w:r>
        <w:rPr>
          <w:rFonts w:hint="eastAsia" w:ascii="Times New Roman" w:hAnsi="Times New Roman" w:eastAsia="仿宋_GB2312"/>
          <w:color w:val="auto"/>
          <w:kern w:val="0"/>
          <w:sz w:val="28"/>
          <w:szCs w:val="28"/>
          <w:highlight w:val="none"/>
          <w:lang w:eastAsia="zh-CN"/>
        </w:rPr>
        <w:t>联系电话【</w:t>
      </w:r>
      <w:r>
        <w:rPr>
          <w:rFonts w:hint="eastAsia" w:ascii="Times New Roman" w:hAnsi="Times New Roman" w:eastAsia="仿宋_GB2312"/>
          <w:color w:val="auto"/>
          <w:kern w:val="0"/>
          <w:sz w:val="28"/>
          <w:szCs w:val="28"/>
          <w:highlight w:val="none"/>
          <w:lang w:val="en-US" w:eastAsia="zh-CN"/>
        </w:rPr>
        <w:t xml:space="preserve">  </w:t>
      </w:r>
      <w:r>
        <w:rPr>
          <w:rFonts w:hint="eastAsia" w:ascii="Times New Roman" w:hAnsi="Times New Roman" w:eastAsia="仿宋_GB2312"/>
          <w:color w:val="auto"/>
          <w:kern w:val="0"/>
          <w:sz w:val="28"/>
          <w:szCs w:val="28"/>
          <w:highlight w:val="none"/>
          <w:lang w:eastAsia="zh-CN"/>
        </w:rPr>
        <w:t>】</w:t>
      </w:r>
      <w:bookmarkEnd w:id="832"/>
      <w:r>
        <w:rPr>
          <w:rFonts w:hint="eastAsia" w:ascii="Times New Roman" w:hAnsi="Times New Roman" w:eastAsia="仿宋_GB2312"/>
          <w:color w:val="auto"/>
          <w:kern w:val="0"/>
          <w:sz w:val="28"/>
          <w:szCs w:val="28"/>
          <w:highlight w:val="none"/>
          <w:lang w:eastAsia="zh-CN"/>
        </w:rPr>
        <w:t>，电子邮箱【</w:t>
      </w:r>
      <w:r>
        <w:rPr>
          <w:rFonts w:hint="eastAsia" w:ascii="Times New Roman" w:hAnsi="Times New Roman" w:eastAsia="仿宋_GB2312"/>
          <w:color w:val="auto"/>
          <w:kern w:val="0"/>
          <w:sz w:val="28"/>
          <w:szCs w:val="28"/>
          <w:highlight w:val="none"/>
          <w:lang w:val="en-US" w:eastAsia="zh-CN"/>
        </w:rPr>
        <w:t xml:space="preserve">  </w:t>
      </w:r>
      <w:r>
        <w:rPr>
          <w:rFonts w:hint="eastAsia" w:ascii="Times New Roman" w:hAnsi="Times New Roman" w:eastAsia="仿宋_GB2312"/>
          <w:color w:val="auto"/>
          <w:kern w:val="0"/>
          <w:sz w:val="28"/>
          <w:szCs w:val="28"/>
          <w:highlight w:val="none"/>
          <w:lang w:eastAsia="zh-CN"/>
        </w:rPr>
        <w:t>】。</w:t>
      </w:r>
    </w:p>
    <w:p w14:paraId="01FF9A8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1.4.2 一方通过电子邮箱发送文件的，文件到达对方邮箱即视为送达，送达时间为电子邮件到达对方邮箱地址时间；一方通过信函邮寄送达的，则信函寄出后的第三个工作日或收件人实际签收日（以先到的时间为准）视为送达；一方选择直接送达的，则递交时视为送达，即使邮件邮寄至上述地址被拒收或无人签收。</w:t>
      </w:r>
    </w:p>
    <w:p w14:paraId="45D7FBDE">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1.4.3 双方承诺，因本协议的履行或争议解决，上述联系人和联系方式为有效的联系方式，各项通知均应当向上述联系、联系方式送达。在诉讼、仲裁中，上述联系人、联系方式亦为有效的送达地址，向上述地址的送达即为有效送达，即使发生拒收、退信等事件。</w:t>
      </w:r>
    </w:p>
    <w:p w14:paraId="09E650C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1.4.4 上述联系信息发生变更的，变更方应当及时通知对方；在对方收到变更通知之前，对方当事人或者仲裁、司法机构已经向原联系人、联系方式进行的通知，视为有效通知。</w:t>
      </w:r>
    </w:p>
    <w:p w14:paraId="63B61765">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1.5 保密</w:t>
      </w:r>
    </w:p>
    <w:p w14:paraId="5BAC588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乙方对在订立和履行合同过程中知悉的甲方的商业秘密、技术秘密，以及甲方明确要求保密的其他信息，负有保密责任。</w:t>
      </w:r>
    </w:p>
    <w:p w14:paraId="7DCC2C6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除法律规定或合同条款另有约定外，未经甲方事先书面同意，乙方不得将甲方提供的图纸、文件以及声明需要保密的资料信息等商业秘密、技术秘密泄露给第三方。</w:t>
      </w:r>
    </w:p>
    <w:p w14:paraId="1CD00F3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如乙方泄露或者在本合同以外使用该商业秘密、技术秘密等保密信息，应向甲方支付签</w:t>
      </w:r>
      <w:r>
        <w:rPr>
          <w:rFonts w:hint="eastAsia" w:ascii="仿宋_GB2312" w:hAnsi="Times New Roman" w:eastAsia="仿宋_GB2312"/>
          <w:color w:val="auto"/>
          <w:kern w:val="0"/>
          <w:sz w:val="28"/>
          <w:szCs w:val="28"/>
          <w:highlight w:val="none"/>
        </w:rPr>
        <w:t>约合同价【</w:t>
      </w:r>
      <w:r>
        <w:rPr>
          <w:rFonts w:hint="eastAsia" w:ascii="仿宋_GB2312" w:hAnsi="Times New Roman" w:eastAsia="仿宋_GB2312"/>
          <w:color w:val="auto"/>
          <w:kern w:val="0"/>
          <w:sz w:val="28"/>
          <w:szCs w:val="28"/>
          <w:highlight w:val="none"/>
          <w:lang w:val="en-US" w:eastAsia="zh-CN"/>
        </w:rPr>
        <w:t>5</w:t>
      </w:r>
      <w:r>
        <w:rPr>
          <w:rFonts w:hint="eastAsia" w:ascii="仿宋_GB2312" w:hAnsi="Times New Roman" w:eastAsia="仿宋_GB2312"/>
          <w:color w:val="auto"/>
          <w:kern w:val="0"/>
          <w:sz w:val="28"/>
          <w:szCs w:val="28"/>
          <w:highlight w:val="none"/>
        </w:rPr>
        <w:t>】%的违</w:t>
      </w:r>
      <w:r>
        <w:rPr>
          <w:rFonts w:hint="eastAsia" w:ascii="Times New Roman" w:hAnsi="Times New Roman" w:eastAsia="仿宋_GB2312"/>
          <w:color w:val="auto"/>
          <w:kern w:val="0"/>
          <w:sz w:val="28"/>
          <w:szCs w:val="28"/>
          <w:highlight w:val="none"/>
        </w:rPr>
        <w:t>约金，并赔偿甲方因此遭受的全部损失。</w:t>
      </w:r>
    </w:p>
    <w:p w14:paraId="74E5440A">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33" w:name="_Toc20896"/>
      <w:r>
        <w:rPr>
          <w:rFonts w:hint="eastAsia"/>
          <w:bCs w:val="0"/>
          <w:color w:val="auto"/>
          <w:highlight w:val="none"/>
        </w:rPr>
        <w:t>2. 甲方</w:t>
      </w:r>
      <w:bookmarkEnd w:id="833"/>
    </w:p>
    <w:p w14:paraId="1A702C45">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2.1 分包作业现场和工作条件</w:t>
      </w:r>
    </w:p>
    <w:p w14:paraId="5C5F17A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2.1.1</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甲方于开始工作日期【</w:t>
      </w:r>
      <w:r>
        <w:rPr>
          <w:rFonts w:hint="eastAsia" w:ascii="Times New Roman" w:hAnsi="Times New Roman" w:eastAsia="仿宋_GB2312"/>
          <w:color w:val="auto"/>
          <w:kern w:val="0"/>
          <w:sz w:val="28"/>
          <w:szCs w:val="28"/>
          <w:highlight w:val="none"/>
          <w:lang w:val="en-US" w:eastAsia="zh-CN"/>
        </w:rPr>
        <w:t>2</w:t>
      </w:r>
      <w:r>
        <w:rPr>
          <w:rFonts w:hint="eastAsia" w:ascii="Times New Roman" w:hAnsi="Times New Roman" w:eastAsia="仿宋_GB2312"/>
          <w:color w:val="auto"/>
          <w:kern w:val="0"/>
          <w:sz w:val="28"/>
          <w:szCs w:val="28"/>
          <w:highlight w:val="none"/>
        </w:rPr>
        <w:t>】天前向乙方交付具备分包作业条件的分包作业现场。</w:t>
      </w:r>
    </w:p>
    <w:p w14:paraId="471A36AE">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2.1.2</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甲方负责提供分包作业所需要的分包作业条件，包括：</w:t>
      </w:r>
    </w:p>
    <w:p w14:paraId="53B09E1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将作业所需的用水、电力、通讯线路等必需的条件接至分包作业现场内，水电能源接驳点由甲方提供，由乙方在甲方现有的设备上接驳，水电接驳点与乙方设备连接的人工材料机械等全部费用由乙方自行承担且已包含在综合单价中。施工用电用水由甲方提供至二级配电箱及供水立管（乙方应充分了解本工程二级配电箱及供水立管接驳点，施工时不得以任何理由要求甲方再次布置二级箱及临时水接驳点）；</w:t>
      </w:r>
    </w:p>
    <w:p w14:paraId="39AD628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（2）向乙方提供分包作业所需要的进入分包作业现场的交通条件；</w:t>
      </w:r>
    </w:p>
    <w:p w14:paraId="4BAA634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（3）向乙方提供分包作业所需的工程地质和地下管网线路资料，乙方不得以地质和管网资料不准确为由进行索赔；</w:t>
      </w:r>
    </w:p>
    <w:p w14:paraId="62B0AE5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Times New Roman" w:hAnsi="Times New Roman" w:eastAsia="仿宋_GB2312"/>
          <w:color w:val="auto"/>
          <w:kern w:val="0"/>
          <w:sz w:val="28"/>
          <w:szCs w:val="28"/>
          <w:highlight w:val="none"/>
          <w:lang w:eastAsia="zh-CN"/>
        </w:rPr>
      </w:pPr>
      <w:r>
        <w:rPr>
          <w:rFonts w:hint="eastAsia" w:ascii="Times New Roman" w:hAnsi="Times New Roman" w:eastAsia="仿宋_GB2312"/>
          <w:color w:val="auto"/>
          <w:kern w:val="0"/>
          <w:sz w:val="28"/>
          <w:szCs w:val="28"/>
          <w:highlight w:val="none"/>
        </w:rPr>
        <w:t>（4）完成办理分包作业所需的各种证件、批件等手续，乙方予以配合，但涉及乙方需依法自行办理的手续除外】</w:t>
      </w:r>
      <w:r>
        <w:rPr>
          <w:rFonts w:hint="eastAsia" w:ascii="Times New Roman" w:hAnsi="Times New Roman" w:eastAsia="仿宋_GB2312"/>
          <w:color w:val="auto"/>
          <w:kern w:val="0"/>
          <w:sz w:val="28"/>
          <w:szCs w:val="28"/>
          <w:highlight w:val="none"/>
          <w:lang w:eastAsia="zh-CN"/>
        </w:rPr>
        <w:t>。</w:t>
      </w:r>
    </w:p>
    <w:p w14:paraId="2F1DBF0A">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2.1.3</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甲方的一般义务：</w:t>
      </w:r>
    </w:p>
    <w:p w14:paraId="23369E4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（1）负责统一规划现场的平面布置，确定临设、工地出入口、标志的安置、材料堆放、安全、消防、文明施工设施的位置；</w:t>
      </w:r>
    </w:p>
    <w:p w14:paraId="0162D3C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（2）负责工程测量基准点的定位、沉降观测，组织乙方人员进行图纸会审和技术交底，提供经建设单位批准的施工组织设计，统一安排技术档案资料的收集、整理，办理交工验收；</w:t>
      </w:r>
    </w:p>
    <w:p w14:paraId="47622AF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（3）提供标高、定位的基准点、线；</w:t>
      </w:r>
    </w:p>
    <w:p w14:paraId="1C16304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（4）负责工程的整体进度及各分包单位的进度协调，负责有关工程会议，协调各协同单位施工中出现的矛盾；</w:t>
      </w:r>
    </w:p>
    <w:p w14:paraId="1A45DE3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（5）负责与建设单位、监理、设计等单位和有关部门的工作联系，协调现场有关单位的关系；</w:t>
      </w:r>
    </w:p>
    <w:p w14:paraId="056BC5F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（6）制定项目管理目标、安排施工总进度计划，实施对工程质量、安全、工期、文明施工的控制、监督和验收；</w:t>
      </w:r>
    </w:p>
    <w:p w14:paraId="12958B1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7）随时检查乙方施工设备的运行、材料保管使用情况，检查乙方现场管理人员和操作人员的有效证件及持证上岗情况。当乙方工作达不到合同约定的标准时，甲方有权要求乙方进行整改、返修，并追究相应的违约责任；</w:t>
      </w:r>
    </w:p>
    <w:p w14:paraId="0E05B15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（8）负责审核乙方编制的分包报量及材料计划、进度计划等，并办理款项支付；</w:t>
      </w:r>
    </w:p>
    <w:p w14:paraId="0B715B7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（9）负责施工现场的CI标准的设计、检查，监督现场各单位落实CI标准；</w:t>
      </w:r>
    </w:p>
    <w:p w14:paraId="16CE4CD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（10）协调处理施工场地周围地下管线和临近建筑物（含文物保护建筑物）、古树名木、文物的保护工作；</w:t>
      </w:r>
    </w:p>
    <w:p w14:paraId="03672DA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（11）负责甲供材试件或试块的制作、保管、养护及送试工作，乙方配合。</w:t>
      </w:r>
    </w:p>
    <w:p w14:paraId="284E123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Times New Roman" w:hAnsi="Times New Roman" w:eastAsia="仿宋_GB2312"/>
          <w:strike/>
          <w:color w:val="auto"/>
          <w:kern w:val="0"/>
          <w:sz w:val="28"/>
          <w:szCs w:val="28"/>
          <w:highlight w:val="none"/>
          <w:lang w:eastAsia="zh-CN"/>
        </w:rPr>
      </w:pPr>
      <w:r>
        <w:rPr>
          <w:rFonts w:hint="eastAsia" w:ascii="Times New Roman" w:hAnsi="Times New Roman" w:eastAsia="仿宋_GB2312"/>
          <w:color w:val="auto"/>
          <w:kern w:val="0"/>
          <w:sz w:val="28"/>
          <w:szCs w:val="28"/>
          <w:highlight w:val="none"/>
        </w:rPr>
        <w:t>2</w:t>
      </w:r>
      <w:r>
        <w:rPr>
          <w:rFonts w:ascii="Times New Roman" w:hAnsi="Times New Roman" w:eastAsia="仿宋_GB2312"/>
          <w:color w:val="auto"/>
          <w:kern w:val="0"/>
          <w:sz w:val="28"/>
          <w:szCs w:val="28"/>
          <w:highlight w:val="none"/>
        </w:rPr>
        <w:t xml:space="preserve">.1.4 </w:t>
      </w:r>
      <w:r>
        <w:rPr>
          <w:rFonts w:hint="eastAsia" w:ascii="Times New Roman" w:hAnsi="Times New Roman" w:eastAsia="仿宋_GB2312"/>
          <w:color w:val="auto"/>
          <w:kern w:val="0"/>
          <w:sz w:val="28"/>
          <w:szCs w:val="28"/>
          <w:highlight w:val="none"/>
        </w:rPr>
        <w:t>甲方的特别义务：【</w:t>
      </w:r>
      <w:r>
        <w:rPr>
          <w:rFonts w:hint="eastAsia" w:ascii="Times New Roman" w:hAnsi="Times New Roman" w:eastAsia="仿宋_GB2312"/>
          <w:color w:val="auto"/>
          <w:kern w:val="0"/>
          <w:sz w:val="28"/>
          <w:szCs w:val="28"/>
          <w:highlight w:val="none"/>
          <w:lang w:val="en-US" w:eastAsia="zh-CN"/>
        </w:rPr>
        <w:t>无</w:t>
      </w:r>
      <w:r>
        <w:rPr>
          <w:rFonts w:hint="eastAsia" w:ascii="Times New Roman" w:hAnsi="Times New Roman" w:eastAsia="仿宋_GB2312"/>
          <w:color w:val="auto"/>
          <w:kern w:val="0"/>
          <w:sz w:val="28"/>
          <w:szCs w:val="28"/>
          <w:highlight w:val="none"/>
        </w:rPr>
        <w:t>】</w:t>
      </w:r>
      <w:r>
        <w:rPr>
          <w:rFonts w:hint="eastAsia" w:ascii="Times New Roman" w:hAnsi="Times New Roman" w:eastAsia="仿宋_GB2312"/>
          <w:color w:val="auto"/>
          <w:kern w:val="0"/>
          <w:sz w:val="28"/>
          <w:szCs w:val="28"/>
          <w:highlight w:val="none"/>
          <w:lang w:eastAsia="zh-CN"/>
        </w:rPr>
        <w:t>。</w:t>
      </w:r>
    </w:p>
    <w:p w14:paraId="561D9F92">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2.2 甲方现场代表</w:t>
      </w:r>
    </w:p>
    <w:p w14:paraId="497F8AD7">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2.2.1</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甲方现场代表负责现场管理工作，履行合同约定的职责。</w:t>
      </w:r>
    </w:p>
    <w:p w14:paraId="3CFE3C0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2.2.2</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甲方现场代表有权要求乙方调离不作为或不称职的管理人员，乙方应在【7】日内按照甲方现场代表要求予以撤换。否则，视为乙方违约，甲方有权据此解除合同。</w:t>
      </w:r>
    </w:p>
    <w:p w14:paraId="00520E9F">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34" w:name="_Toc9842"/>
      <w:r>
        <w:rPr>
          <w:rFonts w:hint="eastAsia"/>
          <w:bCs w:val="0"/>
          <w:color w:val="auto"/>
          <w:highlight w:val="none"/>
        </w:rPr>
        <w:t>3. 乙方</w:t>
      </w:r>
      <w:bookmarkEnd w:id="834"/>
    </w:p>
    <w:p w14:paraId="6707AC12">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3.1 乙方的一般义务</w:t>
      </w:r>
    </w:p>
    <w:p w14:paraId="2C61253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3.1.1</w:t>
      </w:r>
      <w:r>
        <w:rPr>
          <w:rFonts w:ascii="Times New Roman" w:hAnsi="Times New Roman" w:eastAsia="仿宋_GB2312"/>
          <w:color w:val="auto"/>
          <w:kern w:val="0"/>
          <w:sz w:val="28"/>
          <w:szCs w:val="28"/>
          <w:highlight w:val="none"/>
        </w:rPr>
        <w:t xml:space="preserve"> </w:t>
      </w:r>
      <w:r>
        <w:rPr>
          <w:rFonts w:hint="eastAsia" w:ascii="Times New Roman" w:hAnsi="Times New Roman" w:eastAsia="仿宋_GB2312"/>
          <w:color w:val="auto"/>
          <w:kern w:val="0"/>
          <w:sz w:val="28"/>
          <w:szCs w:val="28"/>
          <w:highlight w:val="none"/>
        </w:rPr>
        <w:t>乙方在履行合同过程中应遵守法律和工程建设标准规范，并履行以下义务，相关费用已包含在合同综合单价中：</w:t>
      </w:r>
    </w:p>
    <w:p w14:paraId="25DDFF8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（1）按照合同、图纸、标准和规范、有关技术要求、甲方指令、各类交底组织分包作业人员进场作业，并负责工作面范围内的成品保护工作。</w:t>
      </w:r>
    </w:p>
    <w:p w14:paraId="509FE51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（2）承担由于自身原因造成的质量缺陷、工期延误等责任。</w:t>
      </w:r>
    </w:p>
    <w:p w14:paraId="2125369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kern w:val="0"/>
          <w:sz w:val="28"/>
          <w:szCs w:val="28"/>
          <w:highlight w:val="none"/>
        </w:rPr>
        <w:t>（3）履行总承包合同中与分包工作有关的义务，但分包合同明确约定应由甲方履行的义务除外。</w:t>
      </w:r>
    </w:p>
    <w:p w14:paraId="2BAB38E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Times New Roman" w:hAnsi="Times New Roman" w:eastAsia="仿宋_GB2312"/>
          <w:color w:val="auto"/>
          <w:kern w:val="0"/>
          <w:sz w:val="28"/>
          <w:szCs w:val="28"/>
          <w:highlight w:val="none"/>
        </w:rPr>
        <w:t>（4）必须配备完全胜任本工程及甲方要求的包括专职安全管理员、质量管理员等在内的项目管理班子，服从甲方的管理，负责对工程进度、质量、劳动力调配、安全及职工生活安排等具体事项的具体管理；乙</w:t>
      </w:r>
      <w:r>
        <w:rPr>
          <w:rFonts w:hint="eastAsia" w:ascii="仿宋_GB2312" w:hAnsi="仿宋_GB2312" w:eastAsia="仿宋_GB2312" w:cs="仿宋_GB2312"/>
          <w:color w:val="auto"/>
          <w:kern w:val="0"/>
          <w:sz w:val="28"/>
          <w:szCs w:val="28"/>
          <w:highlight w:val="none"/>
        </w:rPr>
        <w:t>方管理人员出勤率每月不少于【25】天，若少于【25】天的，乙方应承担【</w:t>
      </w:r>
      <w:r>
        <w:rPr>
          <w:rFonts w:hint="eastAsia" w:ascii="仿宋_GB2312" w:hAnsi="仿宋_GB2312" w:eastAsia="仿宋_GB2312" w:cs="仿宋_GB2312"/>
          <w:color w:val="auto"/>
          <w:kern w:val="0"/>
          <w:sz w:val="28"/>
          <w:szCs w:val="28"/>
          <w:highlight w:val="none"/>
          <w:lang w:val="en-US" w:eastAsia="zh-CN"/>
        </w:rPr>
        <w:t>1000.00</w:t>
      </w:r>
      <w:r>
        <w:rPr>
          <w:rFonts w:hint="eastAsia" w:ascii="仿宋_GB2312" w:hAnsi="仿宋_GB2312" w:eastAsia="仿宋_GB2312" w:cs="仿宋_GB2312"/>
          <w:color w:val="auto"/>
          <w:kern w:val="0"/>
          <w:sz w:val="28"/>
          <w:szCs w:val="28"/>
          <w:highlight w:val="none"/>
        </w:rPr>
        <w:t>】元/人/天的惩罚性违约金；项目将对分包相关岗位人员进行考勤，缺岗的，乙方应承担【</w:t>
      </w:r>
      <w:r>
        <w:rPr>
          <w:rFonts w:hint="eastAsia" w:ascii="仿宋_GB2312" w:hAnsi="仿宋_GB2312" w:eastAsia="仿宋_GB2312" w:cs="仿宋_GB2312"/>
          <w:color w:val="auto"/>
          <w:kern w:val="0"/>
          <w:sz w:val="28"/>
          <w:szCs w:val="28"/>
          <w:highlight w:val="none"/>
          <w:lang w:val="en-US" w:eastAsia="zh-CN"/>
        </w:rPr>
        <w:t>1000.00</w:t>
      </w:r>
      <w:r>
        <w:rPr>
          <w:rFonts w:hint="eastAsia" w:ascii="仿宋_GB2312" w:hAnsi="仿宋_GB2312" w:eastAsia="仿宋_GB2312" w:cs="仿宋_GB2312"/>
          <w:color w:val="auto"/>
          <w:kern w:val="0"/>
          <w:sz w:val="28"/>
          <w:szCs w:val="28"/>
          <w:highlight w:val="none"/>
        </w:rPr>
        <w:t>】元/人/天的惩罚性违约金，乙方有义务立即将缺岗人员调整到位；所有管理人员及特殊工种必须持证上岗，将证件复印件交甲方备案，并确保证件的真实、有效，否则视为乙方违约，每发现一人次乙方应支付违约金【</w:t>
      </w:r>
      <w:r>
        <w:rPr>
          <w:rFonts w:hint="eastAsia" w:ascii="仿宋_GB2312" w:hAnsi="仿宋_GB2312" w:eastAsia="仿宋_GB2312" w:cs="仿宋_GB2312"/>
          <w:color w:val="auto"/>
          <w:kern w:val="0"/>
          <w:sz w:val="28"/>
          <w:szCs w:val="28"/>
          <w:highlight w:val="none"/>
          <w:lang w:val="en-US" w:eastAsia="zh-CN"/>
        </w:rPr>
        <w:t>5000.00</w:t>
      </w:r>
      <w:r>
        <w:rPr>
          <w:rFonts w:hint="eastAsia" w:ascii="仿宋_GB2312" w:hAnsi="仿宋_GB2312" w:eastAsia="仿宋_GB2312" w:cs="仿宋_GB2312"/>
          <w:color w:val="auto"/>
          <w:kern w:val="0"/>
          <w:sz w:val="28"/>
          <w:szCs w:val="28"/>
          <w:highlight w:val="none"/>
        </w:rPr>
        <w:t>】元，超过【</w:t>
      </w:r>
      <w:r>
        <w:rPr>
          <w:rFonts w:hint="eastAsia" w:ascii="仿宋_GB2312" w:hAnsi="仿宋_GB2312" w:eastAsia="仿宋_GB2312" w:cs="仿宋_GB2312"/>
          <w:color w:val="auto"/>
          <w:kern w:val="0"/>
          <w:sz w:val="28"/>
          <w:szCs w:val="28"/>
          <w:highlight w:val="none"/>
          <w:lang w:val="en-US" w:eastAsia="zh-CN"/>
        </w:rPr>
        <w:t>3</w:t>
      </w:r>
      <w:r>
        <w:rPr>
          <w:rFonts w:hint="eastAsia" w:ascii="仿宋_GB2312" w:hAnsi="仿宋_GB2312" w:eastAsia="仿宋_GB2312" w:cs="仿宋_GB2312"/>
          <w:color w:val="auto"/>
          <w:kern w:val="0"/>
          <w:sz w:val="28"/>
          <w:szCs w:val="28"/>
          <w:highlight w:val="none"/>
        </w:rPr>
        <w:t>】人次，视为乙方严重违约且无履约能力，甲方可单方解除合同。</w:t>
      </w:r>
    </w:p>
    <w:p w14:paraId="62B218A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（5）对本合同承包范围内的分包作业向甲方负责，全部施工任务必须组织自有力量完成，严禁转包、挂靠和再分包。否则一经发现，乙方应承担签约合同价【</w:t>
      </w:r>
      <w:r>
        <w:rPr>
          <w:rFonts w:hint="eastAsia" w:ascii="仿宋_GB2312" w:hAnsi="仿宋_GB2312" w:eastAsia="仿宋_GB2312" w:cs="仿宋_GB2312"/>
          <w:color w:val="auto"/>
          <w:sz w:val="28"/>
          <w:szCs w:val="28"/>
          <w:highlight w:val="none"/>
          <w:lang w:val="en-US" w:eastAsia="zh-CN"/>
        </w:rPr>
        <w:t>20</w:t>
      </w:r>
      <w:r>
        <w:rPr>
          <w:rFonts w:hint="eastAsia" w:ascii="仿宋_GB2312" w:hAnsi="仿宋_GB2312" w:eastAsia="仿宋_GB2312" w:cs="仿宋_GB2312"/>
          <w:color w:val="auto"/>
          <w:sz w:val="28"/>
          <w:szCs w:val="28"/>
          <w:highlight w:val="none"/>
        </w:rPr>
        <w:t>】%的惩罚性违约金并赔偿甲方所有的损失（包括但不限于诉讼费、律师费、行政处罚等），且甲方有权单方解除合同。</w:t>
      </w:r>
    </w:p>
    <w:p w14:paraId="6567D33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未经甲方书面授权，不得擅自与建设单位及有关部门发生工作上的联系，严禁在对外任何事务中签署甲方及甲方关联公司单位名称或简称等字样的落款，每发现一次乙方承担【</w:t>
      </w:r>
      <w:r>
        <w:rPr>
          <w:rFonts w:hint="eastAsia" w:ascii="仿宋_GB2312" w:hAnsi="仿宋_GB2312" w:eastAsia="仿宋_GB2312" w:cs="仿宋_GB2312"/>
          <w:color w:val="auto"/>
          <w:sz w:val="28"/>
          <w:szCs w:val="28"/>
          <w:highlight w:val="none"/>
          <w:lang w:val="en-US" w:eastAsia="zh-CN"/>
        </w:rPr>
        <w:t>2万</w:t>
      </w:r>
      <w:r>
        <w:rPr>
          <w:rFonts w:hint="eastAsia" w:ascii="仿宋_GB2312" w:hAnsi="仿宋_GB2312" w:eastAsia="仿宋_GB2312" w:cs="仿宋_GB2312"/>
          <w:color w:val="auto"/>
          <w:sz w:val="28"/>
          <w:szCs w:val="28"/>
          <w:highlight w:val="none"/>
        </w:rPr>
        <w:t>】元的违约金并赔偿所有损失。</w:t>
      </w:r>
    </w:p>
    <w:p w14:paraId="5B1EF96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（6）参加甲方或建设单位主持的图纸预审、技术交底、安全教育培训、安全技术交底；严格按施工图纸、设计说明、国家及当地有关标准和规范、建筑工程质量检验评定标准精心施工。</w:t>
      </w:r>
    </w:p>
    <w:p w14:paraId="4E532AD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遵守国家法律法规、当地政策文件及甲方有关施工现场管理的各项管理制度，按当地主管部门规定办理应由乙方负责的各项手续。接受甲方、建设单位及有关部门的管理、检查和监督，与现场各单位做好协调配合。</w:t>
      </w:r>
    </w:p>
    <w:p w14:paraId="679EE04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（8）负责完成本分包工程的有关施工方案的编制，报甲方批准后严格实施（施工方案不作为结算及合同价款调整依据）。</w:t>
      </w:r>
    </w:p>
    <w:p w14:paraId="550E044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（9）根据甲方编制的施工组织设计及总进度计划要求，开始作业前【7天】提交主要工序施工方案及施工进度计划，【每月】提交下期施工劳务计划、材料需求计划确保总工期的要求。</w:t>
      </w:r>
    </w:p>
    <w:p w14:paraId="15C678B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（10）乙方应配备具有与承揽工程范围相适应专业技术水平的专职测量人员及经过校定且校定证书在有效期内的测量仪器，根据甲方提供的标高、定位的基准点线，具体负责承包范围内的测量、放线、定位工作。</w:t>
      </w:r>
    </w:p>
    <w:p w14:paraId="7A11364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仿宋_GB2312" w:hAnsi="仿宋_GB2312" w:eastAsia="仿宋_GB2312" w:cs="仿宋_GB2312"/>
          <w:color w:val="auto"/>
          <w:sz w:val="28"/>
          <w:szCs w:val="28"/>
          <w:highlight w:val="none"/>
        </w:rPr>
        <w:t>（11）对甲方的指令应迅速执行，如未按照甲方要求执行，除赔偿甲方所有损失外，须承担【</w:t>
      </w:r>
      <w:r>
        <w:rPr>
          <w:rFonts w:hint="eastAsia" w:ascii="仿宋_GB2312" w:hAnsi="仿宋_GB2312" w:eastAsia="仿宋_GB2312" w:cs="仿宋_GB2312"/>
          <w:color w:val="auto"/>
          <w:sz w:val="28"/>
          <w:szCs w:val="28"/>
          <w:highlight w:val="none"/>
          <w:lang w:val="en-US" w:eastAsia="zh-CN"/>
        </w:rPr>
        <w:t>1000.00</w:t>
      </w:r>
      <w:r>
        <w:rPr>
          <w:rFonts w:hint="eastAsia" w:ascii="仿宋_GB2312" w:hAnsi="仿宋_GB2312" w:eastAsia="仿宋_GB2312" w:cs="仿宋_GB2312"/>
          <w:color w:val="auto"/>
          <w:sz w:val="28"/>
          <w:szCs w:val="28"/>
          <w:highlight w:val="none"/>
        </w:rPr>
        <w:t>】元/次违约金。乙方在收到甲方催促执行的书面通知后【</w:t>
      </w:r>
      <w:r>
        <w:rPr>
          <w:rFonts w:hint="eastAsia" w:ascii="仿宋_GB2312" w:hAnsi="仿宋_GB2312" w:eastAsia="仿宋_GB2312" w:cs="仿宋_GB2312"/>
          <w:color w:val="auto"/>
          <w:sz w:val="28"/>
          <w:szCs w:val="28"/>
          <w:highlight w:val="none"/>
          <w:lang w:val="en-US" w:eastAsia="zh-CN"/>
        </w:rPr>
        <w:t>12</w:t>
      </w:r>
      <w:r>
        <w:rPr>
          <w:rFonts w:hint="eastAsia" w:ascii="Times New Roman" w:hAnsi="Times New Roman" w:eastAsia="仿宋_GB2312"/>
          <w:color w:val="auto"/>
          <w:sz w:val="28"/>
          <w:szCs w:val="28"/>
          <w:highlight w:val="none"/>
        </w:rPr>
        <w:t>】小时内仍未执行，甲方可另行委托他人执行，费用由乙方承担，从应付乙方款项中扣除（不足部分，由乙方补足）。</w:t>
      </w:r>
    </w:p>
    <w:p w14:paraId="015B438B">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（12）认真做好施工日志和隐蔽工程等原始记录工作，完整、清晰、详细准确地记录和积累资料，及时将符合甲方要求的完整的经济技术资料提供给甲方，并配合甲方进行整理归档工作。</w:t>
      </w:r>
    </w:p>
    <w:p w14:paraId="253ADC9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w:t>
      </w:r>
      <w:r>
        <w:rPr>
          <w:rFonts w:ascii="Times New Roman" w:hAnsi="Times New Roman" w:eastAsia="仿宋_GB2312"/>
          <w:color w:val="auto"/>
          <w:sz w:val="28"/>
          <w:szCs w:val="28"/>
          <w:highlight w:val="none"/>
        </w:rPr>
        <w:t>3</w:t>
      </w:r>
      <w:r>
        <w:rPr>
          <w:rFonts w:hint="eastAsia" w:ascii="Times New Roman" w:hAnsi="Times New Roman" w:eastAsia="仿宋_GB2312"/>
          <w:color w:val="auto"/>
          <w:sz w:val="28"/>
          <w:szCs w:val="28"/>
          <w:highlight w:val="none"/>
        </w:rPr>
        <w:t>）做好施工场地周围建筑物、构筑物、地下管线的保护工作，如因乙方原因造成损坏，乙方承担由此造成的经济损失（包括行政主管部门的行政罚款）。</w:t>
      </w:r>
    </w:p>
    <w:p w14:paraId="5E2CCC4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14）负责施工现场的垃圾清理、堆放、装车工作，做到工完场清。乙方现场必须派专人负责乙方自行完成工作范围内施工垃圾的清理工作，并负责装车运输到甲方指定位置，必须做到每日工完场清。若乙方未做到工完场清，甲方将委托他人代为清理（清理产生的乙方材料丢失由乙方自负），清理产生的费用由乙方承担，在付款时直接自乙方的应得款项中扣除。</w:t>
      </w:r>
    </w:p>
    <w:p w14:paraId="77A5426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（15）工程完工后，乙方自用工具、机械和设备应及时清运出场，并负责清理本工程项目的标志、污斑、指印、油污和脏污等，达到交工前的清理标准。</w:t>
      </w:r>
    </w:p>
    <w:p w14:paraId="19F0542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（16）负责工作面范围内半成品、成品的保护工作，承担修复责任。参与交工验收，并负责修复质量缺陷，直至满足交工验收质量标准。</w:t>
      </w:r>
    </w:p>
    <w:p w14:paraId="33D9895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（17）建设单位对甲方的各项要求和标准均是乙方应履行的义务。乙方应无条件服从和执行甲方、建设单位、监理所提出的整改要求。</w:t>
      </w:r>
    </w:p>
    <w:p w14:paraId="3B762C9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（18）如乙方认为甲方违约或存在乙方需要索赔的事项，应在事件发生后【7天】内向甲方提出书面报告及支撑资料，逾期视为乙方放弃索赔权利，将无权得到任何赔偿或补偿。</w:t>
      </w:r>
    </w:p>
    <w:p w14:paraId="3F9964D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（19）在施工过程中，若乙方擅自停工，视为乙方违约，除承担停工给甲方造成的损失外，另承担【</w:t>
      </w:r>
      <w:r>
        <w:rPr>
          <w:rFonts w:hint="eastAsia" w:ascii="仿宋_GB2312" w:hAnsi="仿宋_GB2312" w:eastAsia="仿宋_GB2312" w:cs="仿宋_GB2312"/>
          <w:color w:val="auto"/>
          <w:sz w:val="28"/>
          <w:szCs w:val="28"/>
          <w:highlight w:val="none"/>
          <w:lang w:val="en-US" w:eastAsia="zh-CN"/>
        </w:rPr>
        <w:t>1000.00</w:t>
      </w:r>
      <w:r>
        <w:rPr>
          <w:rFonts w:hint="eastAsia" w:ascii="Times New Roman" w:hAnsi="Times New Roman" w:eastAsia="仿宋_GB2312"/>
          <w:color w:val="auto"/>
          <w:sz w:val="28"/>
          <w:szCs w:val="28"/>
          <w:highlight w:val="none"/>
        </w:rPr>
        <w:t>】元/天的违约金，停工超过【5天】甲方可单方解除合同，乙方需向甲方承担本合同签约合同</w:t>
      </w:r>
      <w:r>
        <w:rPr>
          <w:rFonts w:hint="eastAsia" w:ascii="仿宋_GB2312" w:hAnsi="Times New Roman" w:eastAsia="仿宋_GB2312"/>
          <w:color w:val="auto"/>
          <w:sz w:val="28"/>
          <w:szCs w:val="28"/>
          <w:highlight w:val="none"/>
        </w:rPr>
        <w:t>价【</w:t>
      </w:r>
      <w:r>
        <w:rPr>
          <w:rFonts w:hint="eastAsia" w:ascii="仿宋_GB2312" w:hAnsi="Times New Roman" w:eastAsia="仿宋_GB2312"/>
          <w:color w:val="auto"/>
          <w:sz w:val="28"/>
          <w:szCs w:val="28"/>
          <w:highlight w:val="none"/>
          <w:lang w:val="en-US" w:eastAsia="zh-CN"/>
        </w:rPr>
        <w:t>3</w:t>
      </w:r>
      <w:r>
        <w:rPr>
          <w:rFonts w:hint="eastAsia" w:ascii="仿宋_GB2312" w:hAnsi="Times New Roman" w:eastAsia="仿宋_GB2312"/>
          <w:color w:val="auto"/>
          <w:sz w:val="28"/>
          <w:szCs w:val="28"/>
          <w:highlight w:val="none"/>
        </w:rPr>
        <w:t>】%</w:t>
      </w:r>
      <w:r>
        <w:rPr>
          <w:rFonts w:hint="eastAsia" w:ascii="Times New Roman" w:hAnsi="Times New Roman" w:eastAsia="仿宋_GB2312"/>
          <w:color w:val="auto"/>
          <w:sz w:val="28"/>
          <w:szCs w:val="28"/>
          <w:highlight w:val="none"/>
        </w:rPr>
        <w:t>的违约金。</w:t>
      </w:r>
    </w:p>
    <w:p w14:paraId="7ABF3B1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（20）乙方现场必须派专人负责工</w:t>
      </w:r>
      <w:r>
        <w:rPr>
          <w:rFonts w:hint="eastAsia" w:ascii="仿宋_GB2312" w:hAnsi="仿宋_GB2312" w:eastAsia="仿宋_GB2312" w:cs="仿宋_GB2312"/>
          <w:color w:val="auto"/>
          <w:sz w:val="28"/>
          <w:szCs w:val="28"/>
          <w:highlight w:val="none"/>
        </w:rPr>
        <w:t>人生活区保洁工作，如经甲方、监理检查不符合现场管理规定，乙方除限期整改外，须承担【</w:t>
      </w:r>
      <w:r>
        <w:rPr>
          <w:rFonts w:hint="eastAsia" w:ascii="仿宋_GB2312" w:hAnsi="仿宋_GB2312" w:eastAsia="仿宋_GB2312" w:cs="仿宋_GB2312"/>
          <w:color w:val="auto"/>
          <w:sz w:val="28"/>
          <w:szCs w:val="28"/>
          <w:highlight w:val="none"/>
          <w:lang w:val="en-US" w:eastAsia="zh-CN"/>
        </w:rPr>
        <w:t>500.00</w:t>
      </w:r>
      <w:r>
        <w:rPr>
          <w:rFonts w:hint="eastAsia" w:ascii="仿宋_GB2312" w:hAnsi="仿宋_GB2312" w:eastAsia="仿宋_GB2312" w:cs="仿宋_GB2312"/>
          <w:color w:val="auto"/>
          <w:sz w:val="28"/>
          <w:szCs w:val="28"/>
          <w:highlight w:val="none"/>
        </w:rPr>
        <w:t>】元/次的惩罚性违约金。</w:t>
      </w:r>
    </w:p>
    <w:p w14:paraId="154BB6A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（21）甲方另行分包的工程，乙方应积极配合，做好与其他分包穿插及配合施工。</w:t>
      </w:r>
    </w:p>
    <w:p w14:paraId="14AB0CE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22）施工过程中按甲方要求对施工现场临时设施、工作面、工人生活区、现场内外临时道路等进行清理，对模板、周转料具等分类整理、码放，迎接相关检查。若乙方未做到或无故拖延，甲方将委托他人代为清理，清理产生的费用由乙方承担，在付款时直接自乙方的应得款项中扣除。</w:t>
      </w:r>
    </w:p>
    <w:p w14:paraId="011A7A12">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（23）配合甲方进行绿色施工管理。</w:t>
      </w:r>
    </w:p>
    <w:p w14:paraId="6FC9C5F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24）因施工需拆除安全防护装置或设施的，经甲方批准后方准实施，并在施工完成后负责恢复。作业面内存在交叉施工作业时，做好与相关单位的协调工作，并负责本单位施工区域交叉作业安全防护设置工作。乙方未做到或无故拖延，甲方将委托他人代为执行，期间因防护不到位发生生产安全事故或产生其他损失的，由乙方承担，相关费用或损失在付款时直接自乙方的应得款项中扣除。</w:t>
      </w:r>
    </w:p>
    <w:p w14:paraId="2ABBEB1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25）乙方负责工作面范围内“四口”“五临边”安全防护安装、维护工作。临时安全防护的标准需满足相关规范、标准及甲方要求。需安装定型化防护设施的，在其未安装到位前，乙方负责相应区域临时防护设施的安装。无甲方允许不得私自拆除安全防护范围内的防护措施，否则造成的后果由乙方承担。</w:t>
      </w:r>
    </w:p>
    <w:p w14:paraId="0635F73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（26）保证施工中使用的各类中小型设备、移动式操作平台、临时消防器材、辅助设施或工具的安全性能，确保其安全防护设施、装置安全可靠。</w:t>
      </w:r>
    </w:p>
    <w:p w14:paraId="5F59E57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（27）乙方施工中应杜绝“十项零容忍安全隐患”的发生，对甲方提出的安全隐患整改意见应在规定的期限内整改完成并组织回复。安全隐患整改不及时，甲方有权依照相关管理规定对乙方进行处罚。</w:t>
      </w:r>
    </w:p>
    <w:p w14:paraId="16C553C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28）按照国家法律法规要求，乙方配合甲方做好农民工工资分账制管理工作，工程款与人工费分开核算。乙方配合甲方进行项目施工现场实名制管理工作，按月编制农民工工资发放表并报送甲方审核后从农民工工资专用账户代发农民工工资。</w:t>
      </w:r>
    </w:p>
    <w:p w14:paraId="2B2B1C8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（29）本协议履行期间，若因乙方与其合作方的债务纠纷出现合作方向甲方追索情形，乙方应承担因此对甲方造成的所有损失并按签约合</w:t>
      </w:r>
      <w:r>
        <w:rPr>
          <w:rFonts w:hint="eastAsia" w:ascii="仿宋_GB2312" w:hAnsi="Times New Roman" w:eastAsia="仿宋_GB2312"/>
          <w:color w:val="auto"/>
          <w:sz w:val="28"/>
          <w:szCs w:val="28"/>
          <w:highlight w:val="none"/>
        </w:rPr>
        <w:t>同价【</w:t>
      </w:r>
      <w:r>
        <w:rPr>
          <w:rFonts w:hint="eastAsia" w:ascii="仿宋_GB2312" w:hAnsi="Times New Roman" w:eastAsia="仿宋_GB2312"/>
          <w:color w:val="auto"/>
          <w:sz w:val="28"/>
          <w:szCs w:val="28"/>
          <w:highlight w:val="none"/>
          <w:lang w:val="en-US" w:eastAsia="zh-CN"/>
        </w:rPr>
        <w:t>1</w:t>
      </w:r>
      <w:r>
        <w:rPr>
          <w:rFonts w:hint="eastAsia" w:ascii="仿宋_GB2312" w:hAnsi="Times New Roman" w:eastAsia="仿宋_GB2312"/>
          <w:color w:val="auto"/>
          <w:sz w:val="28"/>
          <w:szCs w:val="28"/>
          <w:highlight w:val="none"/>
        </w:rPr>
        <w:t>】%</w:t>
      </w:r>
      <w:r>
        <w:rPr>
          <w:rFonts w:hint="eastAsia" w:ascii="Times New Roman" w:hAnsi="Times New Roman" w:eastAsia="仿宋_GB2312"/>
          <w:color w:val="auto"/>
          <w:sz w:val="28"/>
          <w:szCs w:val="28"/>
          <w:highlight w:val="none"/>
        </w:rPr>
        <w:t>或【</w:t>
      </w:r>
      <w:r>
        <w:rPr>
          <w:rFonts w:hint="eastAsia" w:ascii="Times New Roman" w:hAnsi="Times New Roman" w:eastAsia="仿宋_GB2312"/>
          <w:color w:val="auto"/>
          <w:sz w:val="28"/>
          <w:szCs w:val="28"/>
          <w:highlight w:val="none"/>
          <w:lang w:val="en-US" w:eastAsia="zh-CN"/>
        </w:rPr>
        <w:t>10万</w:t>
      </w:r>
      <w:r>
        <w:rPr>
          <w:rFonts w:hint="eastAsia" w:ascii="Times New Roman" w:hAnsi="Times New Roman" w:eastAsia="仿宋_GB2312"/>
          <w:color w:val="auto"/>
          <w:sz w:val="28"/>
          <w:szCs w:val="28"/>
          <w:highlight w:val="none"/>
        </w:rPr>
        <w:t>】元/次进行赔偿。</w:t>
      </w:r>
    </w:p>
    <w:p w14:paraId="2FF26C3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（30）乙方应与其雇用人员签订雇佣合同按时发放工资，不得无故拖欠或克扣所雇用人员工资。</w:t>
      </w:r>
    </w:p>
    <w:p w14:paraId="022D650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（31）对于乙方所雇用的工人出现的伤亡事故或损失，应由乙方自行负责，包括伤亡或损失的索赔、诉讼、损害赔偿及其他费用。</w:t>
      </w:r>
    </w:p>
    <w:p w14:paraId="22896D2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（32）乙方应当清楚地预计到施工期间对外界可能产生的必需的不可能避免的干扰，并为此保证主动努力减少这些干扰对外界的影响，且应当积极主动与外界进行协调。</w:t>
      </w:r>
    </w:p>
    <w:p w14:paraId="0D2C253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（33）按法律规定和合同约定采取施工安全和环境保护措施，办理工伤保险，确保工程及人员、材料、设备和设施的安全。</w:t>
      </w:r>
    </w:p>
    <w:p w14:paraId="719C8F7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34）在进行合同约定的各项工作时，不得侵害他人使用公用道路、水源、市政管网等公共设施的权利，避免对邻近的公共设施产生干扰。乙方占用或使用他人的施工场地，影响他人作业或生活的，应承担相应责任。</w:t>
      </w:r>
    </w:p>
    <w:p w14:paraId="1E39867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35）乙方应按照分包合同的约定，对分包工程进行深化设计（分包合同有约定时）、施工、竣工和保修。乙方在审阅分包合同和（或）总承包合同的相关内容时，或在分包合同的施工中，如发现分包工程的设计或工程建设标准、技术要求存在错误、遗漏、失误或其他缺陷，应立即通知甲方。</w:t>
      </w:r>
    </w:p>
    <w:p w14:paraId="1FE7D41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Times New Roman" w:hAnsi="Times New Roman" w:eastAsia="仿宋_GB2312"/>
          <w:color w:val="auto"/>
          <w:sz w:val="28"/>
          <w:szCs w:val="28"/>
          <w:highlight w:val="none"/>
        </w:rPr>
        <w:t>3.1.2</w:t>
      </w:r>
      <w:r>
        <w:rPr>
          <w:rFonts w:ascii="Times New Roman" w:hAnsi="Times New Roman" w:eastAsia="仿宋_GB2312"/>
          <w:color w:val="auto"/>
          <w:sz w:val="28"/>
          <w:szCs w:val="28"/>
          <w:highlight w:val="none"/>
        </w:rPr>
        <w:t xml:space="preserve"> </w:t>
      </w:r>
      <w:r>
        <w:rPr>
          <w:rFonts w:hint="eastAsia" w:ascii="Times New Roman" w:hAnsi="Times New Roman" w:eastAsia="仿宋_GB2312"/>
          <w:color w:val="auto"/>
          <w:sz w:val="28"/>
          <w:szCs w:val="28"/>
          <w:highlight w:val="none"/>
        </w:rPr>
        <w:t>未经甲方书面准许，乙方不得擅自调整和撤走进驻工地人员。私自调整进驻工地人员，所导致的经济损失由乙方负责，除承担因此造成的损失外，</w:t>
      </w:r>
      <w:r>
        <w:rPr>
          <w:rFonts w:hint="eastAsia" w:ascii="仿宋_GB2312" w:hAnsi="仿宋_GB2312" w:eastAsia="仿宋_GB2312" w:cs="仿宋_GB2312"/>
          <w:color w:val="auto"/>
          <w:sz w:val="28"/>
          <w:szCs w:val="28"/>
          <w:highlight w:val="none"/>
        </w:rPr>
        <w:t>每发现一次处以【</w:t>
      </w:r>
      <w:r>
        <w:rPr>
          <w:rFonts w:hint="eastAsia" w:ascii="仿宋_GB2312" w:hAnsi="仿宋_GB2312" w:eastAsia="仿宋_GB2312" w:cs="仿宋_GB2312"/>
          <w:color w:val="auto"/>
          <w:sz w:val="28"/>
          <w:szCs w:val="28"/>
          <w:highlight w:val="none"/>
          <w:lang w:val="en-US" w:eastAsia="zh-CN"/>
        </w:rPr>
        <w:t>1000.00</w:t>
      </w:r>
      <w:r>
        <w:rPr>
          <w:rFonts w:hint="eastAsia" w:ascii="仿宋_GB2312" w:hAnsi="仿宋_GB2312" w:eastAsia="仿宋_GB2312" w:cs="仿宋_GB2312"/>
          <w:color w:val="auto"/>
          <w:sz w:val="28"/>
          <w:szCs w:val="28"/>
          <w:highlight w:val="none"/>
        </w:rPr>
        <w:t>】元惩罚性违约金。</w:t>
      </w:r>
    </w:p>
    <w:p w14:paraId="1BC0B99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3.1.3 乙方对甲方指令持有异议，应在收到指令后的【24小时】内提出书面报告，逾期视为认可。</w:t>
      </w:r>
    </w:p>
    <w:p w14:paraId="4B9DC9E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3.1.4 乙方投标书中承诺的人员及现场委托的负责人非经甲方事先书面同意不得擅自更换。如乙方擅自更换前述人员，甲方有权解除合同，甲方解除合同的，乙方需向甲方支付签约合同价【</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】%的违约金。乙方现场代表外出办事需向甲方请假，未经批准擅自离开工地的，承担【</w:t>
      </w:r>
      <w:r>
        <w:rPr>
          <w:rFonts w:hint="eastAsia" w:ascii="仿宋_GB2312" w:hAnsi="仿宋_GB2312" w:eastAsia="仿宋_GB2312" w:cs="仿宋_GB2312"/>
          <w:color w:val="auto"/>
          <w:sz w:val="28"/>
          <w:szCs w:val="28"/>
          <w:highlight w:val="none"/>
          <w:lang w:val="en-US" w:eastAsia="zh-CN"/>
        </w:rPr>
        <w:t>1000.00</w:t>
      </w:r>
      <w:r>
        <w:rPr>
          <w:rFonts w:hint="eastAsia" w:ascii="仿宋_GB2312" w:hAnsi="仿宋_GB2312" w:eastAsia="仿宋_GB2312" w:cs="仿宋_GB2312"/>
          <w:color w:val="auto"/>
          <w:sz w:val="28"/>
          <w:szCs w:val="28"/>
          <w:highlight w:val="none"/>
        </w:rPr>
        <w:t>】元/天的违约金，其他管理人员承担【</w:t>
      </w:r>
      <w:r>
        <w:rPr>
          <w:rFonts w:hint="eastAsia" w:ascii="仿宋_GB2312" w:hAnsi="仿宋_GB2312" w:eastAsia="仿宋_GB2312" w:cs="仿宋_GB2312"/>
          <w:color w:val="auto"/>
          <w:sz w:val="28"/>
          <w:szCs w:val="28"/>
          <w:highlight w:val="none"/>
          <w:lang w:val="en-US" w:eastAsia="zh-CN"/>
        </w:rPr>
        <w:t>500.00</w:t>
      </w:r>
      <w:r>
        <w:rPr>
          <w:rFonts w:hint="eastAsia" w:ascii="仿宋_GB2312" w:hAnsi="仿宋_GB2312" w:eastAsia="仿宋_GB2312" w:cs="仿宋_GB2312"/>
          <w:color w:val="auto"/>
          <w:sz w:val="28"/>
          <w:szCs w:val="28"/>
          <w:highlight w:val="none"/>
        </w:rPr>
        <w:t>】元/天的违约金。</w:t>
      </w:r>
    </w:p>
    <w:p w14:paraId="7F566A4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3.1.5 乙方已知晓本合同的付款条件，乙方不得以任何理由向甲方提出超出本合同支付条款以外的任何工程款的支付请求。</w:t>
      </w:r>
    </w:p>
    <w:p w14:paraId="3138A9DF">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
          <w:color w:val="auto"/>
          <w:sz w:val="28"/>
          <w:szCs w:val="28"/>
          <w:highlight w:val="none"/>
        </w:rPr>
        <w:t>3.2 乙方现场代表</w:t>
      </w:r>
    </w:p>
    <w:p w14:paraId="65D995C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3.2.1 乙方现场代表代表乙方进行合同履行及施工管理、签署文件和处理与工程有关的所有事务等，行使合同约定的权利，履行合同约定的职责。乙方无条件接受现场代表的行为后果。</w:t>
      </w:r>
    </w:p>
    <w:p w14:paraId="6753848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3.2.2 乙方现场代表必须保证长驻施工现场，并保证通讯畅通，乙方承诺甲方发现乙方现场代表通讯不畅通，乙方承担违约金【</w:t>
      </w:r>
      <w:r>
        <w:rPr>
          <w:rFonts w:hint="eastAsia" w:ascii="仿宋_GB2312" w:hAnsi="仿宋_GB2312" w:eastAsia="仿宋_GB2312" w:cs="仿宋_GB2312"/>
          <w:color w:val="auto"/>
          <w:sz w:val="28"/>
          <w:szCs w:val="28"/>
          <w:highlight w:val="none"/>
          <w:lang w:val="en-US" w:eastAsia="zh-CN"/>
        </w:rPr>
        <w:t>1000.00</w:t>
      </w:r>
      <w:r>
        <w:rPr>
          <w:rFonts w:hint="eastAsia" w:ascii="仿宋_GB2312" w:hAnsi="仿宋_GB2312" w:eastAsia="仿宋_GB2312" w:cs="仿宋_GB2312"/>
          <w:color w:val="auto"/>
          <w:sz w:val="28"/>
          <w:szCs w:val="28"/>
          <w:highlight w:val="none"/>
        </w:rPr>
        <w:t>】元/次，累计计算，同时，乙方代表需按时参加甲方组织的各项会议、交底、教育等，如有事需及时请假，未经甲方允许擅自不参加，每次承担【</w:t>
      </w:r>
      <w:r>
        <w:rPr>
          <w:rFonts w:hint="eastAsia" w:ascii="仿宋_GB2312" w:hAnsi="仿宋_GB2312" w:eastAsia="仿宋_GB2312" w:cs="仿宋_GB2312"/>
          <w:color w:val="auto"/>
          <w:sz w:val="28"/>
          <w:szCs w:val="28"/>
          <w:highlight w:val="none"/>
          <w:lang w:val="en-US" w:eastAsia="zh-CN"/>
        </w:rPr>
        <w:t>1000.00</w:t>
      </w:r>
      <w:r>
        <w:rPr>
          <w:rFonts w:hint="eastAsia" w:ascii="仿宋_GB2312" w:hAnsi="仿宋_GB2312" w:eastAsia="仿宋_GB2312" w:cs="仿宋_GB2312"/>
          <w:color w:val="auto"/>
          <w:sz w:val="28"/>
          <w:szCs w:val="28"/>
          <w:highlight w:val="none"/>
        </w:rPr>
        <w:t>】元的罚款，累计计算。乙方的现场代表每月在工地不少于【</w:t>
      </w:r>
      <w:r>
        <w:rPr>
          <w:rFonts w:hint="eastAsia" w:ascii="仿宋_GB2312" w:hAnsi="仿宋_GB2312" w:eastAsia="仿宋_GB2312" w:cs="仿宋_GB2312"/>
          <w:color w:val="auto"/>
          <w:sz w:val="28"/>
          <w:szCs w:val="28"/>
          <w:highlight w:val="none"/>
          <w:lang w:val="en-US" w:eastAsia="zh-CN"/>
        </w:rPr>
        <w:t>28</w:t>
      </w:r>
      <w:r>
        <w:rPr>
          <w:rFonts w:hint="eastAsia" w:ascii="仿宋_GB2312" w:hAnsi="仿宋_GB2312" w:eastAsia="仿宋_GB2312" w:cs="仿宋_GB2312"/>
          <w:color w:val="auto"/>
          <w:sz w:val="28"/>
          <w:szCs w:val="28"/>
          <w:highlight w:val="none"/>
        </w:rPr>
        <w:t>】天，每少一天，乙方应承担【</w:t>
      </w:r>
      <w:r>
        <w:rPr>
          <w:rFonts w:hint="eastAsia" w:ascii="仿宋_GB2312" w:hAnsi="仿宋_GB2312" w:eastAsia="仿宋_GB2312" w:cs="仿宋_GB2312"/>
          <w:color w:val="auto"/>
          <w:sz w:val="28"/>
          <w:szCs w:val="28"/>
          <w:highlight w:val="none"/>
          <w:lang w:val="en-US" w:eastAsia="zh-CN"/>
        </w:rPr>
        <w:t>1000.00</w:t>
      </w:r>
      <w:r>
        <w:rPr>
          <w:rFonts w:hint="eastAsia" w:ascii="仿宋_GB2312" w:hAnsi="仿宋_GB2312" w:eastAsia="仿宋_GB2312" w:cs="仿宋_GB2312"/>
          <w:color w:val="auto"/>
          <w:sz w:val="28"/>
          <w:szCs w:val="28"/>
          <w:highlight w:val="none"/>
        </w:rPr>
        <w:t>】元/天的违约金，累计计算。</w:t>
      </w:r>
    </w:p>
    <w:p w14:paraId="0A10005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3.2.3 乙方现场代表应按甲方批准的施工组织设计或施工方案和依据合同发出的指令、指示组织施工。在情况紧急无法与甲方现场代表联系的情况下，可采取保证工程和人员生命、财产安全的紧急措施，并在采取措施后【</w:t>
      </w:r>
      <w:r>
        <w:rPr>
          <w:rFonts w:hint="eastAsia" w:ascii="仿宋_GB2312" w:hAnsi="仿宋_GB2312" w:eastAsia="仿宋_GB2312" w:cs="仿宋_GB2312"/>
          <w:color w:val="auto"/>
          <w:sz w:val="28"/>
          <w:szCs w:val="28"/>
          <w:highlight w:val="none"/>
          <w:lang w:val="en-US" w:eastAsia="zh-CN"/>
        </w:rPr>
        <w:t>24</w:t>
      </w:r>
      <w:r>
        <w:rPr>
          <w:rFonts w:hint="eastAsia" w:ascii="仿宋_GB2312" w:hAnsi="仿宋_GB2312" w:eastAsia="仿宋_GB2312" w:cs="仿宋_GB2312"/>
          <w:color w:val="auto"/>
          <w:sz w:val="28"/>
          <w:szCs w:val="28"/>
          <w:highlight w:val="none"/>
        </w:rPr>
        <w:t>】小时内向甲方提交书面报告。</w:t>
      </w:r>
    </w:p>
    <w:p w14:paraId="22E9E68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3.2.4 乙方现场代表接甲方现场代表通知要求撤换人员后，立即将该人员调离现场，交回有关证件，未经甲方现场代表书面许可，不可再将此人员调入工地。否则，每发生一次，应向甲方支付违约金【</w:t>
      </w:r>
      <w:r>
        <w:rPr>
          <w:rFonts w:hint="eastAsia" w:ascii="仿宋_GB2312" w:hAnsi="仿宋_GB2312" w:eastAsia="仿宋_GB2312" w:cs="仿宋_GB2312"/>
          <w:color w:val="auto"/>
          <w:sz w:val="28"/>
          <w:szCs w:val="28"/>
          <w:highlight w:val="none"/>
          <w:lang w:val="en-US" w:eastAsia="zh-CN"/>
        </w:rPr>
        <w:t>2000.00</w:t>
      </w:r>
      <w:r>
        <w:rPr>
          <w:rFonts w:hint="eastAsia" w:ascii="仿宋_GB2312" w:hAnsi="仿宋_GB2312" w:eastAsia="仿宋_GB2312" w:cs="仿宋_GB2312"/>
          <w:color w:val="auto"/>
          <w:sz w:val="28"/>
          <w:szCs w:val="28"/>
          <w:highlight w:val="none"/>
        </w:rPr>
        <w:t>】元，甲方可单方解除合同。</w:t>
      </w:r>
    </w:p>
    <w:p w14:paraId="023D38C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3.2.5 乙方现场代表应是乙方正式聘用的员工，保证其代表权限无权利瑕疵。</w:t>
      </w:r>
    </w:p>
    <w:p w14:paraId="01B840E7">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3.3 乙方管理人员</w:t>
      </w:r>
    </w:p>
    <w:p w14:paraId="149E952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在合同签订时提供一份乙方施工现场管理人员名单（详见附件4）。在合同签订时提供项目现场代表、技术负责人、质量负责人、安全负责人的劳动合同、养老保险及工资发放凭证，同时提供身份证复印件（双面复印）及岗位证书复印件，其中养老保险及工资发放凭证在合同履行期间每季度提供一次且确保真实、有效，直至合同履行完成，否则，甲方有权单方解除合同。</w:t>
      </w:r>
    </w:p>
    <w:p w14:paraId="22CC71E6">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3.4 履约担保</w:t>
      </w:r>
    </w:p>
    <w:p w14:paraId="183A3F05">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履约担保采用以下第【（</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）】种方式。</w:t>
      </w:r>
    </w:p>
    <w:p w14:paraId="0D906881">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（1）独立、不可撤销、见索即付的银行保函。</w:t>
      </w:r>
    </w:p>
    <w:p w14:paraId="5C5952B4">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（2）履约保证金，缴纳方式【</w:t>
      </w:r>
      <w:r>
        <w:rPr>
          <w:rFonts w:hint="eastAsia" w:ascii="仿宋_GB2312" w:hAnsi="仿宋_GB2312" w:eastAsia="仿宋_GB2312" w:cs="仿宋_GB2312"/>
          <w:color w:val="auto"/>
          <w:sz w:val="28"/>
          <w:szCs w:val="28"/>
          <w:highlight w:val="none"/>
          <w:lang w:val="en-US" w:eastAsia="zh-CN"/>
        </w:rPr>
        <w:t>现金转账</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转账至甲方以下账户：</w:t>
      </w:r>
    </w:p>
    <w:p w14:paraId="328F0BEE">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账 户 名：【</w:t>
      </w:r>
      <w:r>
        <w:rPr>
          <w:rFonts w:hint="eastAsia" w:ascii="仿宋_GB2312" w:hAnsi="仿宋_GB2312" w:eastAsia="仿宋_GB2312" w:cs="仿宋_GB2312"/>
          <w:color w:val="auto"/>
          <w:sz w:val="28"/>
          <w:szCs w:val="28"/>
          <w:highlight w:val="none"/>
          <w:lang w:val="en-US" w:eastAsia="zh-CN"/>
        </w:rPr>
        <w:t>XXXX</w:t>
      </w:r>
      <w:r>
        <w:rPr>
          <w:rFonts w:hint="eastAsia" w:ascii="仿宋_GB2312" w:hAnsi="仿宋_GB2312" w:eastAsia="仿宋_GB2312" w:cs="仿宋_GB2312"/>
          <w:color w:val="auto"/>
          <w:sz w:val="28"/>
          <w:szCs w:val="28"/>
          <w:highlight w:val="none"/>
        </w:rPr>
        <w:t>】；</w:t>
      </w:r>
    </w:p>
    <w:p w14:paraId="797B4B83">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 户 行：【</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w:t>
      </w:r>
    </w:p>
    <w:p w14:paraId="1B985326">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账号信息：【</w:t>
      </w:r>
      <w:r>
        <w:rPr>
          <w:rFonts w:hint="eastAsia" w:ascii="仿宋" w:hAnsi="仿宋" w:eastAsia="仿宋" w:cs="仿宋"/>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w:t>
      </w:r>
    </w:p>
    <w:p w14:paraId="11A93032">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（3）其他【</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w:t>
      </w:r>
    </w:p>
    <w:p w14:paraId="374FB569">
      <w:pPr>
        <w:keepNext w:val="0"/>
        <w:keepLines w:val="0"/>
        <w:pageBreakBefore w:val="0"/>
        <w:widowControl w:val="0"/>
        <w:shd w:val="clear" w:color="000000"/>
        <w:kinsoku/>
        <w:wordWrap/>
        <w:overflowPunct/>
        <w:topLinePunct w:val="0"/>
        <w:autoSpaceDE/>
        <w:autoSpaceDN/>
        <w:bidi w:val="0"/>
        <w:adjustRightInd/>
        <w:snapToGrid/>
        <w:spacing w:line="440" w:lineRule="exact"/>
        <w:ind w:firstLine="560" w:firstLineChars="200"/>
        <w:textAlignment w:val="auto"/>
        <w:outlineLvl w:val="0"/>
        <w:rPr>
          <w:rFonts w:hint="eastAsia" w:ascii="仿宋_GB2312" w:hAnsi="仿宋_GB2312" w:eastAsia="仿宋_GB2312" w:cs="仿宋_GB2312"/>
          <w:color w:val="auto"/>
          <w:kern w:val="10"/>
          <w:sz w:val="28"/>
          <w:szCs w:val="28"/>
          <w:highlight w:val="none"/>
          <w:lang w:eastAsia="zh-CN"/>
        </w:rPr>
      </w:pPr>
      <w:r>
        <w:rPr>
          <w:rFonts w:hint="eastAsia" w:ascii="仿宋_GB2312" w:hAnsi="仿宋_GB2312" w:eastAsia="仿宋_GB2312" w:cs="仿宋_GB2312"/>
          <w:color w:val="auto"/>
          <w:sz w:val="28"/>
          <w:szCs w:val="28"/>
          <w:highlight w:val="none"/>
        </w:rPr>
        <w:t>履约担保的金额：</w:t>
      </w:r>
      <w:r>
        <w:rPr>
          <w:rFonts w:hint="eastAsia" w:ascii="仿宋_GB2312" w:hAnsi="仿宋_GB2312" w:eastAsia="仿宋_GB2312" w:cs="仿宋_GB2312"/>
          <w:color w:val="auto"/>
          <w:kern w:val="10"/>
          <w:sz w:val="28"/>
          <w:szCs w:val="28"/>
          <w:highlight w:val="none"/>
          <w:lang w:eastAsia="zh-CN"/>
        </w:rPr>
        <w:t>分包人属于</w:t>
      </w:r>
      <w:r>
        <w:rPr>
          <w:rFonts w:hint="eastAsia" w:ascii="仿宋_GB2312" w:hAnsi="仿宋_GB2312" w:eastAsia="仿宋_GB2312" w:cs="仿宋_GB2312"/>
          <w:color w:val="auto"/>
          <w:kern w:val="10"/>
          <w:sz w:val="28"/>
          <w:szCs w:val="28"/>
          <w:highlight w:val="none"/>
          <w:u w:val="single"/>
          <w:lang w:eastAsia="zh-CN"/>
        </w:rPr>
        <w:t xml:space="preserve"> </w:t>
      </w:r>
      <w:r>
        <w:rPr>
          <w:rFonts w:hint="eastAsia" w:ascii="仿宋_GB2312" w:hAnsi="仿宋_GB2312" w:eastAsia="仿宋_GB2312" w:cs="仿宋_GB2312"/>
          <w:color w:val="auto"/>
          <w:kern w:val="10"/>
          <w:sz w:val="28"/>
          <w:szCs w:val="28"/>
          <w:highlight w:val="none"/>
          <w:u w:val="single"/>
          <w:lang w:val="en-US" w:eastAsia="zh-CN"/>
        </w:rPr>
        <w:t xml:space="preserve">新引进 </w:t>
      </w:r>
      <w:r>
        <w:rPr>
          <w:rFonts w:hint="eastAsia" w:ascii="仿宋_GB2312" w:hAnsi="仿宋_GB2312" w:eastAsia="仿宋_GB2312" w:cs="仿宋_GB2312"/>
          <w:color w:val="auto"/>
          <w:kern w:val="10"/>
          <w:sz w:val="28"/>
          <w:szCs w:val="28"/>
          <w:highlight w:val="none"/>
          <w:lang w:eastAsia="zh-CN"/>
        </w:rPr>
        <w:t>层级，分包人按含税合同额</w:t>
      </w:r>
      <w:r>
        <w:rPr>
          <w:rFonts w:hint="eastAsia" w:ascii="仿宋_GB2312" w:hAnsi="仿宋_GB2312" w:eastAsia="仿宋_GB2312" w:cs="仿宋_GB2312"/>
          <w:color w:val="auto"/>
          <w:kern w:val="10"/>
          <w:sz w:val="28"/>
          <w:szCs w:val="28"/>
          <w:highlight w:val="none"/>
          <w:u w:val="single"/>
          <w:lang w:eastAsia="zh-CN"/>
        </w:rPr>
        <w:t xml:space="preserve"> </w:t>
      </w:r>
      <w:r>
        <w:rPr>
          <w:rFonts w:hint="eastAsia" w:ascii="仿宋_GB2312" w:hAnsi="仿宋_GB2312" w:eastAsia="仿宋_GB2312" w:cs="仿宋_GB2312"/>
          <w:color w:val="auto"/>
          <w:kern w:val="10"/>
          <w:sz w:val="28"/>
          <w:szCs w:val="28"/>
          <w:highlight w:val="none"/>
          <w:u w:val="single"/>
          <w:lang w:val="en-US" w:eastAsia="zh-CN"/>
        </w:rPr>
        <w:t xml:space="preserve">3 </w:t>
      </w:r>
      <w:r>
        <w:rPr>
          <w:rFonts w:hint="eastAsia" w:ascii="仿宋_GB2312" w:hAnsi="仿宋_GB2312" w:eastAsia="仿宋_GB2312" w:cs="仿宋_GB2312"/>
          <w:color w:val="auto"/>
          <w:kern w:val="10"/>
          <w:sz w:val="28"/>
          <w:szCs w:val="28"/>
          <w:highlight w:val="none"/>
          <w:u w:val="single"/>
          <w:lang w:eastAsia="zh-CN"/>
        </w:rPr>
        <w:t xml:space="preserve">% </w:t>
      </w:r>
      <w:r>
        <w:rPr>
          <w:rFonts w:hint="eastAsia" w:ascii="仿宋_GB2312" w:hAnsi="仿宋_GB2312" w:eastAsia="仿宋_GB2312" w:cs="仿宋_GB2312"/>
          <w:color w:val="auto"/>
          <w:kern w:val="10"/>
          <w:sz w:val="28"/>
          <w:szCs w:val="28"/>
          <w:highlight w:val="none"/>
          <w:lang w:eastAsia="zh-CN"/>
        </w:rPr>
        <w:t>缴纳。分包人按要求承包人缴纳￥</w:t>
      </w:r>
      <w:r>
        <w:rPr>
          <w:rFonts w:hint="eastAsia" w:ascii="仿宋_GB2312" w:hAnsi="仿宋_GB2312" w:eastAsia="仿宋_GB2312" w:cs="仿宋_GB2312"/>
          <w:color w:val="auto"/>
          <w:sz w:val="28"/>
          <w:szCs w:val="28"/>
          <w:highlight w:val="none"/>
          <w:u w:val="none"/>
          <w:lang w:val="en-US" w:eastAsia="zh-CN"/>
        </w:rPr>
        <w:t>【  】</w:t>
      </w:r>
      <w:r>
        <w:rPr>
          <w:rFonts w:hint="eastAsia" w:ascii="仿宋_GB2312" w:hAnsi="仿宋_GB2312" w:eastAsia="仿宋_GB2312" w:cs="仿宋_GB2312"/>
          <w:color w:val="auto"/>
          <w:kern w:val="10"/>
          <w:sz w:val="28"/>
          <w:szCs w:val="28"/>
          <w:highlight w:val="none"/>
          <w:lang w:eastAsia="zh-CN"/>
        </w:rPr>
        <w:t>元（大写：</w:t>
      </w:r>
      <w:r>
        <w:rPr>
          <w:rFonts w:hint="eastAsia" w:ascii="仿宋_GB2312" w:hAnsi="仿宋_GB2312" w:eastAsia="仿宋_GB2312" w:cs="仿宋_GB2312"/>
          <w:color w:val="auto"/>
          <w:sz w:val="28"/>
          <w:szCs w:val="28"/>
          <w:highlight w:val="none"/>
          <w:u w:val="none"/>
          <w:lang w:val="en-US" w:eastAsia="zh-CN"/>
        </w:rPr>
        <w:t>【  】</w:t>
      </w:r>
      <w:r>
        <w:rPr>
          <w:rFonts w:hint="eastAsia" w:ascii="仿宋_GB2312" w:hAnsi="仿宋_GB2312" w:eastAsia="仿宋_GB2312" w:cs="仿宋_GB2312"/>
          <w:color w:val="auto"/>
          <w:kern w:val="10"/>
          <w:sz w:val="28"/>
          <w:szCs w:val="28"/>
          <w:highlight w:val="none"/>
          <w:lang w:eastAsia="zh-CN"/>
        </w:rPr>
        <w:t>）保证金。其中，签约保证金占保证金总金额比例为5%、农民工工资保证金占保证金总额比例为45%、履约保证金占保证金总额比例为50%。</w:t>
      </w:r>
    </w:p>
    <w:p w14:paraId="076F5D9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履约担保的提交时间：乙方应在合同签订后【</w:t>
      </w:r>
      <w:r>
        <w:rPr>
          <w:rFonts w:hint="eastAsia" w:ascii="仿宋_GB2312" w:hAnsi="仿宋_GB2312" w:eastAsia="仿宋_GB2312" w:cs="仿宋_GB2312"/>
          <w:color w:val="auto"/>
          <w:sz w:val="28"/>
          <w:szCs w:val="28"/>
          <w:highlight w:val="none"/>
          <w:lang w:val="en-US" w:eastAsia="zh-CN"/>
        </w:rPr>
        <w:t>14</w:t>
      </w:r>
      <w:r>
        <w:rPr>
          <w:rFonts w:hint="eastAsia" w:ascii="仿宋_GB2312" w:hAnsi="仿宋_GB2312" w:eastAsia="仿宋_GB2312" w:cs="仿宋_GB2312"/>
          <w:color w:val="auto"/>
          <w:sz w:val="28"/>
          <w:szCs w:val="28"/>
          <w:highlight w:val="none"/>
        </w:rPr>
        <w:t>】天内，向甲方提交履约担保，否则进度款不予支付。</w:t>
      </w:r>
    </w:p>
    <w:p w14:paraId="56666EB4">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履约担保的退还，按照【（1）】执行：</w:t>
      </w:r>
    </w:p>
    <w:p w14:paraId="27F16F6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（1）履约担保</w:t>
      </w:r>
      <w:r>
        <w:rPr>
          <w:rFonts w:hint="eastAsia" w:ascii="仿宋_GB2312" w:hAnsi="仿宋_GB2312" w:eastAsia="仿宋_GB2312" w:cs="仿宋_GB2312"/>
          <w:color w:val="auto"/>
          <w:sz w:val="28"/>
          <w:szCs w:val="28"/>
          <w:highlight w:val="none"/>
          <w:lang w:val="en-US" w:eastAsia="zh-CN"/>
        </w:rPr>
        <w:t>在</w:t>
      </w:r>
      <w:r>
        <w:rPr>
          <w:rFonts w:hint="eastAsia" w:ascii="仿宋_GB2312" w:hAnsi="仿宋_GB2312" w:eastAsia="仿宋_GB2312" w:cs="仿宋_GB2312"/>
          <w:color w:val="auto"/>
          <w:sz w:val="28"/>
          <w:szCs w:val="28"/>
          <w:highlight w:val="none"/>
        </w:rPr>
        <w:t>【乙方履行完本合同工作内容经甲方验收合格且办理退场手续，扣除乙方违约金及应扣款项后】无息返还。</w:t>
      </w:r>
    </w:p>
    <w:p w14:paraId="69C98ADF">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（2）履约担保按照工程节点分期退还。</w:t>
      </w:r>
    </w:p>
    <w:p w14:paraId="73E17276">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（3）其他方式。【</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w:t>
      </w:r>
    </w:p>
    <w:p w14:paraId="2AF116D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仿宋_GB2312" w:hAnsi="仿宋_GB2312" w:eastAsia="仿宋_GB2312" w:cs="仿宋_GB2312"/>
          <w:color w:val="auto"/>
          <w:sz w:val="28"/>
          <w:szCs w:val="28"/>
          <w:highlight w:val="none"/>
        </w:rPr>
        <w:t>当乙方未按约定履行合同而发生违约行为时，乙方应承担</w:t>
      </w:r>
      <w:r>
        <w:rPr>
          <w:rFonts w:hint="eastAsia" w:ascii="Times New Roman" w:hAnsi="Times New Roman" w:eastAsia="仿宋_GB2312"/>
          <w:color w:val="auto"/>
          <w:sz w:val="28"/>
          <w:szCs w:val="28"/>
          <w:highlight w:val="none"/>
        </w:rPr>
        <w:t>的违约金及因违约对甲方所造成的损失金额，甲方有权无条件从履约担保中扣除违约金及相关损失并通知乙方，乙方有义务在接到上述通知后【7】天内将履约担保恢复到原金额。当乙方需承担的违约金及造成甲方的损失金额超出履约担保金额时，甲方有权就超出数额向乙方追偿。</w:t>
      </w:r>
    </w:p>
    <w:p w14:paraId="7E055D2A">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履约担保有效期的延长：在本分包工程竣工验收合格之前，乙方应保证履约担保持续有效。若分包工程尚未竣工验收，则乙方应在履约担保期满前【2</w:t>
      </w:r>
      <w:r>
        <w:rPr>
          <w:rFonts w:ascii="Times New Roman" w:hAnsi="Times New Roman" w:eastAsia="仿宋_GB2312"/>
          <w:color w:val="auto"/>
          <w:sz w:val="28"/>
          <w:szCs w:val="28"/>
          <w:highlight w:val="none"/>
        </w:rPr>
        <w:t>8</w:t>
      </w:r>
      <w:r>
        <w:rPr>
          <w:rFonts w:hint="eastAsia" w:ascii="Times New Roman" w:hAnsi="Times New Roman" w:eastAsia="仿宋_GB2312"/>
          <w:color w:val="auto"/>
          <w:sz w:val="28"/>
          <w:szCs w:val="28"/>
          <w:highlight w:val="none"/>
        </w:rPr>
        <w:t>】天内延长履约担保的有效期，直至分包工程竣工验收合格。</w:t>
      </w:r>
    </w:p>
    <w:p w14:paraId="2ED3FD29">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35" w:name="_Toc29262"/>
      <w:r>
        <w:rPr>
          <w:rFonts w:hint="eastAsia"/>
          <w:bCs w:val="0"/>
          <w:color w:val="auto"/>
          <w:highlight w:val="none"/>
        </w:rPr>
        <w:t>4. 分包作业人员</w:t>
      </w:r>
      <w:bookmarkEnd w:id="835"/>
    </w:p>
    <w:p w14:paraId="15A3CCC3">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4.1 签订书面劳动合同</w:t>
      </w:r>
    </w:p>
    <w:p w14:paraId="47F3178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乙方应当与分包作业人员签订书面劳动合同，并在工人进场前将劳动合同报甲方备案。在劳动合同中应明确工资支付方式、支付标准（不低于当地最低工资标准）及工资支付日期等条款，工人工资约定内容要便于计量和支付。</w:t>
      </w:r>
    </w:p>
    <w:p w14:paraId="53DA62D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乙方应建立职工花名册并办理劳动备案；要全面实行农民工实名制管理制度，建立劳动计酬手册，记录施工现场作业农民工的身份信息、劳动考勤、工资结算等信息。同时，乙方应每月向甲方提供上月所有分包作业人员的劳动合同签署情况、出勤情况、人员变动情况书面记录及本人签字确认的工资支付书面记录。除上述书面记录用工行为外，乙方承诺在本工程不存在其他劳务用工行为。</w:t>
      </w:r>
    </w:p>
    <w:p w14:paraId="7C0ED94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若发现乙方未与工人签订劳动用工合同或者签订劳动合同不真实，乙方承担</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3000.00</w:t>
      </w:r>
      <w:r>
        <w:rPr>
          <w:rFonts w:hint="eastAsia" w:ascii="仿宋_GB2312" w:hAnsi="仿宋_GB2312" w:eastAsia="仿宋_GB2312" w:cs="仿宋_GB2312"/>
          <w:color w:val="auto"/>
          <w:sz w:val="28"/>
          <w:szCs w:val="28"/>
          <w:highlight w:val="none"/>
        </w:rPr>
        <w:t>】元</w:t>
      </w:r>
      <w:r>
        <w:rPr>
          <w:rFonts w:hint="eastAsia" w:ascii="Times New Roman" w:hAnsi="Times New Roman" w:eastAsia="仿宋_GB2312"/>
          <w:color w:val="auto"/>
          <w:sz w:val="28"/>
          <w:szCs w:val="28"/>
          <w:highlight w:val="none"/>
        </w:rPr>
        <w:t>/人次违约金并赔偿因此给甲方造成的损失（包括但不限于诉讼费、律师费、行政处罚等），乙方同意甲方在工程进度款中扣除，甲方有权单方解除合同。</w:t>
      </w:r>
    </w:p>
    <w:p w14:paraId="1977657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办理意外伤害保险的具体事项:【乙方必须自行购买意外伤害险(保险赔偿限额要求住院医疗不低于6万元，死亡伤残不低于60 万元)，并为劳务作业现场内自有人员、自有财产办理保险，支付保险费用。乙方进场后30日内将购买证明文件交甲方备案。若不行上述义务乙方应向甲方支付违约金【2】万元，承担因此造成的一切不利后果】。</w:t>
      </w:r>
    </w:p>
    <w:p w14:paraId="778A3F2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伤害保险缴纳后，乙方须将保单原件扫描并加盖公章后交甲方留存；乙方为每位劳务工人提供的意外伤害保险保额不得低于50万元。如乙方未购买保险的，甲方有权代为购买，并在进度款中扣除相关费用。</w:t>
      </w:r>
    </w:p>
    <w:p w14:paraId="324177CF">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4.2 支付分包作业人员工资</w:t>
      </w:r>
    </w:p>
    <w:p w14:paraId="149E11E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乙方必须严格执行甲方的门禁制度，为每个劳务工人办理门禁卡（人脸识别），每次进出施工现场刷卡/刷脸考勤。乙方在支付工人工资时，应以甲方门禁系统考核结果作为依据编制表格，发放工资。乙方应当依据劳动合同每月按时足额支付分包作业人员工资并支付法定社会保险，分包作业人员工资不得低于工程所在地最低工资标准，并于收到甲方支付的工程款后10日内向甲方提供支付劳务工人工资的回执单。否则，甲方有权暂停支付乙方工程款。</w:t>
      </w:r>
    </w:p>
    <w:p w14:paraId="0F20716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如乙方未按照约定及时支付分包作业人员工资，出现经济纠纷事件，干扰甲方正常工作，乙方应及时解决。经甲方催告（包括口头催告）后半天内仍不履行义务，在第三方证明或相关政府部门要求下甲方可行使特别付款权，使用未付工程款代乙方支付工人工资。乙方同意支付金额参照甲方考勤记录和工资标准。甲方可通过银行打入工人工资卡或者现场以现金方式支付。乙方认可银行打款记录或者现场领取签字记录作为甲方代付依据。如甲方代付的金额超出本合同项下甲方应付乙方的工程款，甲方有权从其与乙方签订的其他经济类合同项下的应付款项中直接扣除，乙方不得提出任何异议。</w:t>
      </w:r>
    </w:p>
    <w:p w14:paraId="6AAB4AA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Times New Roman" w:hAnsi="Times New Roman" w:eastAsia="仿宋_GB2312"/>
          <w:color w:val="auto"/>
          <w:sz w:val="28"/>
          <w:szCs w:val="28"/>
          <w:highlight w:val="none"/>
        </w:rPr>
        <w:t>乙方未如期支付分包作业人员工资及法定社会保险费用，导致分包作业人员投诉、上访</w:t>
      </w:r>
      <w:r>
        <w:rPr>
          <w:rFonts w:hint="eastAsia" w:ascii="仿宋_GB2312" w:hAnsi="仿宋_GB2312" w:eastAsia="仿宋_GB2312" w:cs="仿宋_GB2312"/>
          <w:color w:val="auto"/>
          <w:sz w:val="28"/>
          <w:szCs w:val="28"/>
          <w:highlight w:val="none"/>
        </w:rPr>
        <w:t>或引发纠纷的或影响甲方及甲方项目正常工作的，甲方可单方面解除合同，同时乙方承担【</w:t>
      </w:r>
      <w:r>
        <w:rPr>
          <w:rFonts w:hint="eastAsia" w:ascii="仿宋_GB2312" w:hAnsi="仿宋_GB2312" w:eastAsia="仿宋_GB2312" w:cs="仿宋_GB2312"/>
          <w:color w:val="auto"/>
          <w:sz w:val="28"/>
          <w:szCs w:val="28"/>
          <w:highlight w:val="none"/>
          <w:lang w:val="en-US" w:eastAsia="zh-CN"/>
        </w:rPr>
        <w:t>2万</w:t>
      </w:r>
      <w:r>
        <w:rPr>
          <w:rFonts w:hint="eastAsia" w:ascii="仿宋_GB2312" w:hAnsi="仿宋_GB2312" w:eastAsia="仿宋_GB2312" w:cs="仿宋_GB2312"/>
          <w:color w:val="auto"/>
          <w:sz w:val="28"/>
          <w:szCs w:val="28"/>
          <w:highlight w:val="none"/>
        </w:rPr>
        <w:t>】元/次的违约金，如果违约金不足以弥补甲方损失的，乙方还应承担赔偿责任。</w:t>
      </w:r>
    </w:p>
    <w:p w14:paraId="485B67B2">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 xml:space="preserve">4.3 分包作业人员管理 </w:t>
      </w:r>
    </w:p>
    <w:p w14:paraId="75A5E3A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4.3.1 乙方应当根据甲方编制的施工组织设计，编制与施工组织设计相适应的劳动力安排计划，劳动力安排计划应当包括分包作业人员数量、工种、进场时间、退场时间以及劳务费支付计划等，劳动力安排计划应当经甲方批准后实施。</w:t>
      </w:r>
    </w:p>
    <w:p w14:paraId="781AEB7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4.3.2 乙方应当组织具有相应资格证书和符合本合同分包作业要求的分包作业人员投入工作。</w:t>
      </w:r>
    </w:p>
    <w:p w14:paraId="3BC7E27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4.3.3 甲方有权随时检查分包作业人员的有效证件及持证上岗情况。特种作业人员必须按照有关规定取得相应职业资格证书，并保证人证合一，否则甲方有权禁止未获得相应资格证书的特种作业人员进入分包作业现场，并对乙方处以【</w:t>
      </w:r>
      <w:r>
        <w:rPr>
          <w:rFonts w:hint="eastAsia" w:ascii="仿宋_GB2312" w:hAnsi="仿宋_GB2312" w:eastAsia="仿宋_GB2312" w:cs="仿宋_GB2312"/>
          <w:color w:val="auto"/>
          <w:sz w:val="28"/>
          <w:szCs w:val="28"/>
          <w:highlight w:val="none"/>
          <w:lang w:val="en-US" w:eastAsia="zh-CN"/>
        </w:rPr>
        <w:t>1万</w:t>
      </w:r>
      <w:r>
        <w:rPr>
          <w:rFonts w:hint="eastAsia" w:ascii="仿宋_GB2312" w:hAnsi="仿宋_GB2312" w:eastAsia="仿宋_GB2312" w:cs="仿宋_GB2312"/>
          <w:color w:val="auto"/>
          <w:sz w:val="28"/>
          <w:szCs w:val="28"/>
          <w:highlight w:val="none"/>
        </w:rPr>
        <w:t>】元/人次惩罚性违约金。</w:t>
      </w:r>
    </w:p>
    <w:p w14:paraId="7E47A58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4.3.4 甲方要求撤换违章作业的分包作业人员时，乙方应当立即撤换。乙方无正当理由拒绝撤换的，应承担违约金【</w:t>
      </w:r>
      <w:r>
        <w:rPr>
          <w:rFonts w:hint="eastAsia" w:ascii="仿宋_GB2312" w:hAnsi="仿宋_GB2312" w:eastAsia="仿宋_GB2312" w:cs="仿宋_GB2312"/>
          <w:color w:val="auto"/>
          <w:sz w:val="28"/>
          <w:szCs w:val="28"/>
          <w:highlight w:val="none"/>
          <w:lang w:val="en-US" w:eastAsia="zh-CN"/>
        </w:rPr>
        <w:t>2000.00</w:t>
      </w:r>
      <w:r>
        <w:rPr>
          <w:rFonts w:hint="eastAsia" w:ascii="仿宋_GB2312" w:hAnsi="仿宋_GB2312" w:eastAsia="仿宋_GB2312" w:cs="仿宋_GB2312"/>
          <w:color w:val="auto"/>
          <w:sz w:val="28"/>
          <w:szCs w:val="28"/>
          <w:highlight w:val="none"/>
        </w:rPr>
        <w:t>】元/人次。</w:t>
      </w:r>
    </w:p>
    <w:p w14:paraId="1DA7068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4.3.5 乙方应当对分包作业人员进行实名制管理，包括但不限于进出场管理、登记造册管理、工资支付管理以及各种证照的办理。乙方在进场前提供所有人员花名册，并提供：身份证、暂住证、健康证、上岗证等复印件，其费用由乙方自行承担。</w:t>
      </w:r>
    </w:p>
    <w:p w14:paraId="2BB1A5D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4.3.6 乙方加强劳务用工管理，执行工程所在地建筑企业用工的有关规定。</w:t>
      </w:r>
    </w:p>
    <w:p w14:paraId="5933B8D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4.3.7 乙方任何危险作业活动必须经甲方批准后方准实施。</w:t>
      </w:r>
    </w:p>
    <w:p w14:paraId="3046EF7E">
      <w:pPr>
        <w:pStyle w:val="5"/>
        <w:pageBreakBefore w:val="0"/>
        <w:shd w:val="clear"/>
        <w:kinsoku/>
        <w:wordWrap/>
        <w:overflowPunct/>
        <w:topLinePunct w:val="0"/>
        <w:bidi w:val="0"/>
        <w:snapToGrid/>
        <w:spacing w:before="0" w:after="0" w:line="440" w:lineRule="exact"/>
        <w:ind w:left="0" w:leftChars="0" w:firstLine="562" w:firstLineChars="200"/>
        <w:textAlignment w:val="auto"/>
        <w:rPr>
          <w:rFonts w:hint="eastAsia" w:ascii="仿宋_GB2312" w:hAnsi="仿宋_GB2312" w:eastAsia="仿宋_GB2312" w:cs="仿宋_GB2312"/>
          <w:bCs w:val="0"/>
          <w:color w:val="auto"/>
          <w:highlight w:val="none"/>
        </w:rPr>
      </w:pPr>
      <w:bookmarkStart w:id="836" w:name="_Toc30645"/>
      <w:r>
        <w:rPr>
          <w:rFonts w:hint="eastAsia" w:ascii="仿宋_GB2312" w:hAnsi="仿宋_GB2312" w:eastAsia="仿宋_GB2312" w:cs="仿宋_GB2312"/>
          <w:bCs w:val="0"/>
          <w:color w:val="auto"/>
          <w:highlight w:val="none"/>
        </w:rPr>
        <w:t>5. 作业安全与环境保护</w:t>
      </w:r>
      <w:bookmarkEnd w:id="836"/>
    </w:p>
    <w:p w14:paraId="2C5E7104">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5.1 作业安全</w:t>
      </w:r>
    </w:p>
    <w:p w14:paraId="3E2281C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5.1.1 乙方应按照建质〔2008〕91号文件规定配备专职安全管理人员，现场施工人员在50人以下的，应当配备1名专职安全生产管理人员；50人-200人的，应当配备2名专职安全生产管理人员；200人及以上的，应当配备3名及以上专职安全生产管理人员，并根据所承担的分部分项工程施工危险实际情况增加，不得少于工程施工人员总人数的5‰。（专业承包单位应当配置至少1人，并根据所承担的分部分项工程的工程量和施工危险程度增加）。</w:t>
      </w:r>
    </w:p>
    <w:p w14:paraId="4CDA0C5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专职安全管理人员配备不足的，限【3】日内改正，逾期没有改正的，每缺少1人，每天承担违约金【</w:t>
      </w:r>
      <w:r>
        <w:rPr>
          <w:rFonts w:hint="eastAsia" w:ascii="仿宋_GB2312" w:hAnsi="仿宋_GB2312" w:eastAsia="仿宋_GB2312" w:cs="仿宋_GB2312"/>
          <w:color w:val="auto"/>
          <w:sz w:val="28"/>
          <w:szCs w:val="28"/>
          <w:highlight w:val="none"/>
          <w:lang w:val="en-US" w:eastAsia="zh-CN"/>
        </w:rPr>
        <w:t>1000.00</w:t>
      </w:r>
      <w:r>
        <w:rPr>
          <w:rFonts w:hint="eastAsia" w:ascii="仿宋_GB2312" w:hAnsi="仿宋_GB2312" w:eastAsia="仿宋_GB2312" w:cs="仿宋_GB2312"/>
          <w:color w:val="auto"/>
          <w:sz w:val="28"/>
          <w:szCs w:val="28"/>
          <w:highlight w:val="none"/>
        </w:rPr>
        <w:t>】元；甲方、乙方专职安全管理人员集中办公，办公地点由甲方指定，甲方每月对乙方专职安全管理人员到岗情况及工作质量进行考核，缺勤费用及违约金从当月工程报量中予以扣除。</w:t>
      </w:r>
    </w:p>
    <w:p w14:paraId="6417EC9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5.1.2 乙方应明确拒绝甲方违反工程建设安全生产有关管理规定的指示。</w:t>
      </w:r>
    </w:p>
    <w:p w14:paraId="04DB992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5.1.3 乙方应遵守工程建设安全生产有关管理规定，严格按安全标准进行作业，并随时接受行业安全检查人员依法实施的监督检查，采取必要的安全防护措施，消除事故隐患。</w:t>
      </w:r>
    </w:p>
    <w:p w14:paraId="778E0C4E">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5.1.4 乙方应遵守国家现行的《中华人民共和国安全生产法》《中华人民共和国建筑法》《中华人民共和国劳动法》《安全生产许可证条例》《建设工程安全生产管理条例》等有关安全生产的法律法规，严格执行《建筑安全施工检查标准》JGJ59—2011等标准、规程、规范。</w:t>
      </w:r>
    </w:p>
    <w:p w14:paraId="1F7B089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仿宋_GB2312" w:hAnsi="仿宋_GB2312" w:eastAsia="仿宋_GB2312" w:cs="仿宋_GB2312"/>
          <w:color w:val="auto"/>
          <w:sz w:val="28"/>
          <w:szCs w:val="28"/>
          <w:highlight w:val="none"/>
        </w:rPr>
        <w:t>5.1.5 乙方必须接受甲方管理</w:t>
      </w:r>
      <w:r>
        <w:rPr>
          <w:rFonts w:hint="eastAsia" w:ascii="Times New Roman" w:hAnsi="Times New Roman" w:eastAsia="仿宋_GB2312"/>
          <w:color w:val="auto"/>
          <w:sz w:val="28"/>
          <w:szCs w:val="28"/>
          <w:highlight w:val="none"/>
        </w:rPr>
        <w:t>人员对施工现场安全生产的指导、监督，服从甲方管理人员的指挥。</w:t>
      </w:r>
    </w:p>
    <w:p w14:paraId="4E0482C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5.1.6</w:t>
      </w:r>
      <w:r>
        <w:rPr>
          <w:rFonts w:ascii="Times New Roman" w:hAnsi="Times New Roman" w:eastAsia="仿宋_GB2312"/>
          <w:color w:val="auto"/>
          <w:sz w:val="28"/>
          <w:szCs w:val="28"/>
          <w:highlight w:val="none"/>
        </w:rPr>
        <w:t xml:space="preserve"> </w:t>
      </w:r>
      <w:r>
        <w:rPr>
          <w:rFonts w:hint="eastAsia" w:ascii="Times New Roman" w:hAnsi="Times New Roman" w:eastAsia="仿宋_GB2312"/>
          <w:color w:val="auto"/>
          <w:sz w:val="28"/>
          <w:szCs w:val="28"/>
          <w:highlight w:val="none"/>
        </w:rPr>
        <w:t>乙方应配合甲方建立安全保证体系。</w:t>
      </w:r>
    </w:p>
    <w:p w14:paraId="1E1B1AC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5.1.7</w:t>
      </w:r>
      <w:r>
        <w:rPr>
          <w:rFonts w:ascii="Times New Roman" w:hAnsi="Times New Roman" w:eastAsia="仿宋_GB2312"/>
          <w:color w:val="auto"/>
          <w:sz w:val="28"/>
          <w:szCs w:val="28"/>
          <w:highlight w:val="none"/>
        </w:rPr>
        <w:t xml:space="preserve"> </w:t>
      </w:r>
      <w:r>
        <w:rPr>
          <w:rFonts w:hint="eastAsia" w:ascii="Times New Roman" w:hAnsi="Times New Roman" w:eastAsia="仿宋_GB2312"/>
          <w:color w:val="auto"/>
          <w:sz w:val="28"/>
          <w:szCs w:val="28"/>
          <w:highlight w:val="none"/>
        </w:rPr>
        <w:t>乙方应在所招用农民工进场前组织对农民工的进场的三级安全教育，教育内容不限于安全生产教育、合理合法维权方法及上述有关内容，要积极组织相关考试，并将教育情况、考试情况录入劳务实名制管理平台，并配合甲方项目部做好入场教育。</w:t>
      </w:r>
    </w:p>
    <w:p w14:paraId="10DE835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乙方每日进入施工现场前，必须进行班前教育。</w:t>
      </w:r>
    </w:p>
    <w:p w14:paraId="43611B3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乙方应接受甲方对安全教育的监督，并配合甲方自行组织的教育活动开展。</w:t>
      </w:r>
    </w:p>
    <w:p w14:paraId="7F5DBD7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乙方班组长应参加甲方组织的周安全教育和警示教育。</w:t>
      </w:r>
    </w:p>
    <w:p w14:paraId="4A3A1F5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5.1.8</w:t>
      </w:r>
      <w:r>
        <w:rPr>
          <w:rFonts w:ascii="Times New Roman" w:hAnsi="Times New Roman" w:eastAsia="仿宋_GB2312"/>
          <w:color w:val="auto"/>
          <w:sz w:val="28"/>
          <w:szCs w:val="28"/>
          <w:highlight w:val="none"/>
        </w:rPr>
        <w:t xml:space="preserve"> </w:t>
      </w:r>
      <w:r>
        <w:rPr>
          <w:rFonts w:hint="eastAsia" w:ascii="Times New Roman" w:hAnsi="Times New Roman" w:eastAsia="仿宋_GB2312"/>
          <w:color w:val="auto"/>
          <w:sz w:val="28"/>
          <w:szCs w:val="28"/>
          <w:highlight w:val="none"/>
        </w:rPr>
        <w:t>乙方随时接受并配合甲方对安全措施落实执行情况的检查、并按照甲方要求对检查出的问题进行整改，落实到人。</w:t>
      </w:r>
    </w:p>
    <w:p w14:paraId="32D17E4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Times New Roman" w:hAnsi="Times New Roman" w:eastAsia="仿宋_GB2312"/>
          <w:color w:val="auto"/>
          <w:sz w:val="28"/>
          <w:szCs w:val="28"/>
          <w:highlight w:val="none"/>
        </w:rPr>
        <w:t>5.1.9</w:t>
      </w:r>
      <w:r>
        <w:rPr>
          <w:rFonts w:ascii="Times New Roman" w:hAnsi="Times New Roman" w:eastAsia="仿宋_GB2312"/>
          <w:color w:val="auto"/>
          <w:sz w:val="28"/>
          <w:szCs w:val="28"/>
          <w:highlight w:val="none"/>
        </w:rPr>
        <w:t xml:space="preserve"> </w:t>
      </w:r>
      <w:r>
        <w:rPr>
          <w:rFonts w:hint="eastAsia" w:ascii="Times New Roman" w:hAnsi="Times New Roman" w:eastAsia="仿宋_GB2312"/>
          <w:color w:val="auto"/>
          <w:sz w:val="28"/>
          <w:szCs w:val="28"/>
          <w:highlight w:val="none"/>
        </w:rPr>
        <w:t>乙方要配合甲方落实好“进入施工现场必须佩戴安全帽”，可能涉及高处作业人员应佩戴安全带、每日组织班前安全教育活动、“</w:t>
      </w:r>
      <w:r>
        <w:rPr>
          <w:rFonts w:hint="eastAsia" w:ascii="仿宋_GB2312" w:hAnsi="仿宋_GB2312" w:eastAsia="仿宋_GB2312" w:cs="仿宋_GB2312"/>
          <w:color w:val="auto"/>
          <w:sz w:val="28"/>
          <w:szCs w:val="28"/>
          <w:highlight w:val="none"/>
        </w:rPr>
        <w:t>行为安全之星”评选等管理制度或措施。</w:t>
      </w:r>
    </w:p>
    <w:p w14:paraId="29E59D85">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5.1.10 乙方需严格落实十项“零容忍”安全隐患及其他相关安全管理制度。严格按照甲方关于重大危险源管控的相关要求，遵守重大危险源管控流程，做好危险源日常管理。</w:t>
      </w:r>
    </w:p>
    <w:p w14:paraId="68D8AE3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5.1.11 若乙方未执行5.1.2-5.1.10的任一约定，每发现一次乙方需向甲方支付【</w:t>
      </w:r>
      <w:r>
        <w:rPr>
          <w:rFonts w:hint="eastAsia" w:ascii="仿宋_GB2312" w:hAnsi="仿宋_GB2312" w:eastAsia="仿宋_GB2312" w:cs="仿宋_GB2312"/>
          <w:color w:val="auto"/>
          <w:sz w:val="28"/>
          <w:szCs w:val="28"/>
          <w:highlight w:val="none"/>
          <w:lang w:val="en-US" w:eastAsia="zh-CN"/>
        </w:rPr>
        <w:t>1000.00</w:t>
      </w:r>
      <w:r>
        <w:rPr>
          <w:rFonts w:hint="eastAsia" w:ascii="仿宋_GB2312" w:hAnsi="仿宋_GB2312" w:eastAsia="仿宋_GB2312" w:cs="仿宋_GB2312"/>
          <w:color w:val="auto"/>
          <w:sz w:val="28"/>
          <w:szCs w:val="28"/>
          <w:highlight w:val="none"/>
        </w:rPr>
        <w:t>】元惩罚性违约金。</w:t>
      </w:r>
    </w:p>
    <w:p w14:paraId="5BA1397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5.1.12 如在本工程中发生安全事故，应立即向甲方报告，并做出书面记录或影像资料，重大事故按规定上报有关部门，如因乙方未及时报告，导致甲方被行政部门问责或被连带起诉，每发生一次乙方需向甲方支付违约金【</w:t>
      </w:r>
      <w:r>
        <w:rPr>
          <w:rFonts w:hint="eastAsia" w:ascii="仿宋_GB2312" w:hAnsi="仿宋_GB2312" w:eastAsia="仿宋_GB2312" w:cs="仿宋_GB2312"/>
          <w:color w:val="auto"/>
          <w:sz w:val="28"/>
          <w:szCs w:val="28"/>
          <w:highlight w:val="none"/>
          <w:lang w:val="en-US" w:eastAsia="zh-CN"/>
        </w:rPr>
        <w:t>5万</w:t>
      </w:r>
      <w:r>
        <w:rPr>
          <w:rFonts w:hint="eastAsia" w:ascii="仿宋_GB2312" w:hAnsi="仿宋_GB2312" w:eastAsia="仿宋_GB2312" w:cs="仿宋_GB2312"/>
          <w:color w:val="auto"/>
          <w:sz w:val="28"/>
          <w:szCs w:val="28"/>
          <w:highlight w:val="none"/>
        </w:rPr>
        <w:t>】元。事故发生后，乙方应全力出人出资组织抢救，防止事态扩大，并支付抢救、医疗、赔偿金等相关费用，做好受害方安抚工作。若乙方不及时支付费用，在任何第三方证明下，甲方可先行垫付，该费用从应付款项中扣除。且每发生一次按垫付数额的【</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】倍向甲方支付违约金，如果违约金不足以弥补甲方损失的，乙方还应承担赔偿责任。</w:t>
      </w:r>
    </w:p>
    <w:p w14:paraId="53268C3B">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5.2 职业健康</w:t>
      </w:r>
    </w:p>
    <w:p w14:paraId="08DE92E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5.2.1 乙方应按法律规定安排分包作业人员的劳动和休息时间，保证其雇佣人员享有休息和休假的权利。</w:t>
      </w:r>
    </w:p>
    <w:p w14:paraId="5DB61E6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5.2.2</w:t>
      </w:r>
      <w:r>
        <w:rPr>
          <w:rFonts w:ascii="Times New Roman" w:hAnsi="Times New Roman" w:eastAsia="仿宋_GB2312"/>
          <w:color w:val="auto"/>
          <w:sz w:val="28"/>
          <w:szCs w:val="28"/>
          <w:highlight w:val="none"/>
        </w:rPr>
        <w:t xml:space="preserve"> </w:t>
      </w:r>
      <w:r>
        <w:rPr>
          <w:rFonts w:hint="eastAsia" w:ascii="Times New Roman" w:hAnsi="Times New Roman" w:eastAsia="仿宋_GB2312"/>
          <w:color w:val="auto"/>
          <w:sz w:val="28"/>
          <w:szCs w:val="28"/>
          <w:highlight w:val="none"/>
        </w:rPr>
        <w:t>如果甲方提供住宿，则甲方应为乙方雇用的分包作业人员提供必要的临建板房。甲方应按工程所在地行政管理机关的标准和要求对分包作业人员的宿舍和食堂进行管理。</w:t>
      </w:r>
    </w:p>
    <w:p w14:paraId="2EB92CA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5.2.3</w:t>
      </w:r>
      <w:r>
        <w:rPr>
          <w:rFonts w:ascii="Times New Roman" w:hAnsi="Times New Roman" w:eastAsia="仿宋_GB2312"/>
          <w:color w:val="auto"/>
          <w:sz w:val="28"/>
          <w:szCs w:val="28"/>
          <w:highlight w:val="none"/>
        </w:rPr>
        <w:t xml:space="preserve"> </w:t>
      </w:r>
      <w:r>
        <w:rPr>
          <w:rFonts w:hint="eastAsia" w:ascii="Times New Roman" w:hAnsi="Times New Roman" w:eastAsia="仿宋_GB2312"/>
          <w:color w:val="auto"/>
          <w:sz w:val="28"/>
          <w:szCs w:val="28"/>
          <w:highlight w:val="none"/>
        </w:rPr>
        <w:t>乙方应按照行政管理机关的要求为外来务工人员办理暂住证等一切所需证件。</w:t>
      </w:r>
    </w:p>
    <w:p w14:paraId="10F22D2E">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5.3 环境保护</w:t>
      </w:r>
    </w:p>
    <w:p w14:paraId="35BBE78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在合同履行期间，乙方应采取合理措施保护分包作业现场环境。对分包作业过程中可能引起的大气、水、噪音以及固体废物等污染采取具体可行的防范措施，确保符合甲方的环境管理体系目标和要求。乙方应当遵守甲方关于分包作业现场环境保护的要求。</w:t>
      </w:r>
    </w:p>
    <w:p w14:paraId="04ADC0C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乙方应承担因其原因引起的环境污染侵权损害赔偿责任，因上述环境污染引起纠纷而导致分包作业暂停的，由此增加的费用和（或）延误的工期由乙方承担。</w:t>
      </w:r>
    </w:p>
    <w:p w14:paraId="18C9FFAB">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5.4</w:t>
      </w:r>
      <w:r>
        <w:rPr>
          <w:rFonts w:ascii="Times New Roman" w:hAnsi="Times New Roman" w:eastAsia="黑体"/>
          <w:b/>
          <w:color w:val="auto"/>
          <w:sz w:val="28"/>
          <w:szCs w:val="28"/>
          <w:highlight w:val="none"/>
        </w:rPr>
        <w:t xml:space="preserve"> </w:t>
      </w:r>
      <w:r>
        <w:rPr>
          <w:rFonts w:hint="eastAsia" w:ascii="Times New Roman" w:hAnsi="Times New Roman" w:eastAsia="黑体"/>
          <w:b/>
          <w:color w:val="auto"/>
          <w:sz w:val="28"/>
          <w:szCs w:val="28"/>
          <w:highlight w:val="none"/>
        </w:rPr>
        <w:t>文明施工</w:t>
      </w:r>
    </w:p>
    <w:p w14:paraId="1862076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乙方应严格执行建设主管部门及环保、环卫、消防等有关部门对施工现场管理的规定及甲方的有关管理制度和CI标化工地标准，确保现场管理达标，创造标化工地。</w:t>
      </w:r>
    </w:p>
    <w:p w14:paraId="03C2004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（1）按甲方的统一规划搭设临时设施，分类整齐堆放材料、机具，挂牌标识。</w:t>
      </w:r>
    </w:p>
    <w:p w14:paraId="4491C78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（2）按标化工地要求完成场地硬化覆盖，设置标牌，做好现场美化，做到每天工完场清，保持现场整洁。</w:t>
      </w:r>
    </w:p>
    <w:p w14:paraId="279FC20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乙方进场后，派专人负责工作面及生活区卫生清理工作，并将垃圾清理装车运输到甲方指定位置满足甲方项目管理要求。否则，甲方有权安排其他人完成此项工作，相关费用由乙方承担。负责施工现场的垃圾清理、堆放、装车工作，做到工完场清。</w:t>
      </w:r>
    </w:p>
    <w:p w14:paraId="36E2A34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（4）乙方施工现场人员服装，由甲方统一提供样式，或由甲方统一订制，费用由乙方承担。乙方应做好生活区管理，做好自身责任区的治安保卫工作。</w:t>
      </w:r>
    </w:p>
    <w:p w14:paraId="2F9E27B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（5）按甲方要求设置消防设施，负责自用部分消防设施的费用。乙方负责该消防设施的维护、保管，损坏照价赔偿。</w:t>
      </w:r>
    </w:p>
    <w:p w14:paraId="61658FC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（6）因乙方原因文明施工、标化工地达不到要求，甲方有权要求乙方赔偿全部损失，并从乙方进度款中扣除安全文明施工费。</w:t>
      </w:r>
    </w:p>
    <w:p w14:paraId="6665CA29">
      <w:pPr>
        <w:pStyle w:val="57"/>
        <w:keepLines w:val="0"/>
        <w:pageBreakBefore w:val="0"/>
        <w:widowControl w:val="0"/>
        <w:shd w:val="clear"/>
        <w:kinsoku/>
        <w:wordWrap/>
        <w:overflowPunct/>
        <w:topLinePunct w:val="0"/>
        <w:bidi w:val="0"/>
        <w:snapToGrid/>
        <w:spacing w:line="440" w:lineRule="exact"/>
        <w:ind w:firstLine="560" w:firstLineChars="200"/>
        <w:textAlignment w:val="auto"/>
        <w:rPr>
          <w:rFonts w:hint="eastAsia" w:ascii="Times New Roman" w:hAnsi="Times New Roman" w:eastAsia="仿宋_GB2312" w:cstheme="minorBidi"/>
          <w:color w:val="auto"/>
          <w:kern w:val="2"/>
          <w:sz w:val="28"/>
          <w:szCs w:val="28"/>
          <w:highlight w:val="none"/>
          <w:lang w:val="en-US" w:eastAsia="zh-CN" w:bidi="ar-SA"/>
        </w:rPr>
      </w:pPr>
      <w:r>
        <w:rPr>
          <w:rFonts w:hint="eastAsia" w:ascii="Times New Roman" w:hAnsi="Times New Roman" w:eastAsia="仿宋_GB2312" w:cstheme="minorBidi"/>
          <w:color w:val="auto"/>
          <w:kern w:val="2"/>
          <w:sz w:val="28"/>
          <w:szCs w:val="28"/>
          <w:highlight w:val="none"/>
          <w:lang w:val="en-US" w:eastAsia="zh-CN" w:bidi="ar-SA"/>
        </w:rPr>
        <w:t>因乙方原因影响甲方国家级安全文明标准化工地评定的，乙方应承担30万违约金；</w:t>
      </w:r>
    </w:p>
    <w:p w14:paraId="5F6C214B">
      <w:pPr>
        <w:pStyle w:val="57"/>
        <w:keepLines w:val="0"/>
        <w:pageBreakBefore w:val="0"/>
        <w:widowControl w:val="0"/>
        <w:shd w:val="clear"/>
        <w:kinsoku/>
        <w:wordWrap/>
        <w:overflowPunct/>
        <w:topLinePunct w:val="0"/>
        <w:bidi w:val="0"/>
        <w:snapToGrid/>
        <w:spacing w:line="440" w:lineRule="exact"/>
        <w:ind w:firstLine="560" w:firstLineChars="200"/>
        <w:textAlignment w:val="auto"/>
        <w:rPr>
          <w:rFonts w:hint="eastAsia" w:ascii="Times New Roman" w:hAnsi="Times New Roman" w:eastAsia="仿宋_GB2312" w:cstheme="minorBidi"/>
          <w:color w:val="auto"/>
          <w:kern w:val="2"/>
          <w:sz w:val="28"/>
          <w:szCs w:val="28"/>
          <w:highlight w:val="none"/>
          <w:lang w:val="en-US" w:eastAsia="zh-CN" w:bidi="ar-SA"/>
        </w:rPr>
      </w:pPr>
      <w:r>
        <w:rPr>
          <w:rFonts w:hint="eastAsia" w:ascii="Times New Roman" w:hAnsi="Times New Roman" w:eastAsia="仿宋_GB2312" w:cstheme="minorBidi"/>
          <w:color w:val="auto"/>
          <w:kern w:val="2"/>
          <w:sz w:val="28"/>
          <w:szCs w:val="28"/>
          <w:highlight w:val="none"/>
          <w:lang w:val="en-US" w:eastAsia="zh-CN" w:bidi="ar-SA"/>
        </w:rPr>
        <w:t>因乙方原因影响甲方省级安全文明标准化工地评定的，乙方应承担20万违约金；</w:t>
      </w:r>
    </w:p>
    <w:p w14:paraId="55C74552">
      <w:pPr>
        <w:pStyle w:val="57"/>
        <w:keepLines w:val="0"/>
        <w:pageBreakBefore w:val="0"/>
        <w:widowControl w:val="0"/>
        <w:shd w:val="clear"/>
        <w:kinsoku/>
        <w:wordWrap/>
        <w:overflowPunct/>
        <w:topLinePunct w:val="0"/>
        <w:bidi w:val="0"/>
        <w:snapToGrid/>
        <w:spacing w:line="440" w:lineRule="exact"/>
        <w:ind w:firstLine="560" w:firstLineChars="200"/>
        <w:textAlignment w:val="auto"/>
        <w:rPr>
          <w:rFonts w:hint="eastAsia" w:ascii="Times New Roman" w:hAnsi="Times New Roman" w:eastAsia="仿宋_GB2312" w:cstheme="minorBidi"/>
          <w:color w:val="auto"/>
          <w:kern w:val="2"/>
          <w:sz w:val="28"/>
          <w:szCs w:val="28"/>
          <w:highlight w:val="none"/>
          <w:lang w:val="en-US" w:eastAsia="zh-CN" w:bidi="ar-SA"/>
        </w:rPr>
      </w:pPr>
      <w:r>
        <w:rPr>
          <w:rFonts w:hint="eastAsia" w:ascii="Times New Roman" w:hAnsi="Times New Roman" w:eastAsia="仿宋_GB2312" w:cstheme="minorBidi"/>
          <w:color w:val="auto"/>
          <w:kern w:val="2"/>
          <w:sz w:val="28"/>
          <w:szCs w:val="28"/>
          <w:highlight w:val="none"/>
          <w:lang w:val="en-US" w:eastAsia="zh-CN" w:bidi="ar-SA"/>
        </w:rPr>
        <w:t>因乙方原因影响甲方市级安全文明标准化工地评定的，乙方应承担10万违约金；</w:t>
      </w:r>
    </w:p>
    <w:p w14:paraId="7220FAAB">
      <w:pPr>
        <w:pStyle w:val="57"/>
        <w:keepLines w:val="0"/>
        <w:pageBreakBefore w:val="0"/>
        <w:widowControl w:val="0"/>
        <w:shd w:val="clear"/>
        <w:kinsoku/>
        <w:wordWrap/>
        <w:overflowPunct/>
        <w:topLinePunct w:val="0"/>
        <w:bidi w:val="0"/>
        <w:snapToGrid/>
        <w:spacing w:line="440" w:lineRule="exact"/>
        <w:ind w:firstLine="560" w:firstLineChars="200"/>
        <w:textAlignment w:val="auto"/>
        <w:rPr>
          <w:rFonts w:hint="eastAsia" w:ascii="Times New Roman" w:hAnsi="Times New Roman" w:eastAsia="仿宋_GB2312" w:cstheme="minorBidi"/>
          <w:color w:val="auto"/>
          <w:kern w:val="2"/>
          <w:sz w:val="28"/>
          <w:szCs w:val="28"/>
          <w:highlight w:val="none"/>
          <w:lang w:val="en-US" w:eastAsia="zh-CN" w:bidi="ar-SA"/>
        </w:rPr>
      </w:pPr>
      <w:r>
        <w:rPr>
          <w:rFonts w:hint="eastAsia" w:ascii="Times New Roman" w:hAnsi="Times New Roman" w:eastAsia="仿宋_GB2312" w:cstheme="minorBidi"/>
          <w:color w:val="auto"/>
          <w:kern w:val="2"/>
          <w:sz w:val="28"/>
          <w:szCs w:val="28"/>
          <w:highlight w:val="none"/>
          <w:lang w:val="en-US" w:eastAsia="zh-CN" w:bidi="ar-SA"/>
        </w:rPr>
        <w:t>乙方应严格执行《中建四局房屋建筑施工安全生产标准化指导图册》《中建四局安全生产“十条零容忍》《中建四局易发事故安全生产专项整治方案》《中国建筑作业人员“三铁六律”行为安全准则》《行为安全七步法》《项目开展班前安全喊话、早晚巡场管理要求》要求，确保安全达标。若乙方安全考核不满足要求，甲方将扣除相应安全文明施工费用。严禁违反“新安法”规定，严格 按照“三管三必须”的原则执行，一经发现触碰“新安法”规定或未按“三管三必须”原则执行的必将重罚。</w:t>
      </w:r>
    </w:p>
    <w:p w14:paraId="656E3DD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Times New Roman" w:hAnsi="Times New Roman" w:eastAsia="仿宋_GB2312" w:cstheme="minorBidi"/>
          <w:color w:val="auto"/>
          <w:kern w:val="2"/>
          <w:sz w:val="28"/>
          <w:szCs w:val="28"/>
          <w:highlight w:val="none"/>
          <w:lang w:val="en-US" w:eastAsia="zh-CN" w:bidi="ar-SA"/>
        </w:rPr>
      </w:pPr>
      <w:r>
        <w:rPr>
          <w:rFonts w:hint="eastAsia" w:ascii="Times New Roman" w:hAnsi="Times New Roman" w:eastAsia="仿宋_GB2312" w:cstheme="minorBidi"/>
          <w:color w:val="auto"/>
          <w:kern w:val="2"/>
          <w:sz w:val="28"/>
          <w:szCs w:val="28"/>
          <w:highlight w:val="none"/>
          <w:lang w:val="en-US" w:eastAsia="zh-CN" w:bidi="ar-SA"/>
        </w:rPr>
        <w:t>分包人若要进出校园须提前与承包人沟通，由承包人指派代表带领分包人进出。分包人未经承包人同意不得私自进出校园,私自通过施工现场违规进入校园内处罚 10000 元人/次。私自进出校园造成严重负面影响的按合同额的10%处罚，并移送当地公安机关处理。</w:t>
      </w:r>
    </w:p>
    <w:p w14:paraId="1049EDBC">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5.5</w:t>
      </w:r>
      <w:r>
        <w:rPr>
          <w:rFonts w:ascii="Times New Roman" w:hAnsi="Times New Roman" w:eastAsia="黑体"/>
          <w:b/>
          <w:color w:val="auto"/>
          <w:sz w:val="28"/>
          <w:szCs w:val="28"/>
          <w:highlight w:val="none"/>
        </w:rPr>
        <w:t xml:space="preserve"> </w:t>
      </w:r>
      <w:r>
        <w:rPr>
          <w:rFonts w:hint="eastAsia" w:ascii="Times New Roman" w:hAnsi="Times New Roman" w:eastAsia="黑体"/>
          <w:b/>
          <w:color w:val="auto"/>
          <w:sz w:val="28"/>
          <w:szCs w:val="28"/>
          <w:highlight w:val="none"/>
        </w:rPr>
        <w:t>绿色施工</w:t>
      </w:r>
    </w:p>
    <w:p w14:paraId="7F32055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乙方必须遵守国家、当地政府部门的有关绿色施工的规定、标准和要求，定期对自有管理人员及劳务工人进行绿色施工法规、技术知识培训等，并接受相关单位的监督管理。</w:t>
      </w:r>
    </w:p>
    <w:p w14:paraId="3D047FE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乙方应按照相关行政管理规定，建立绿色施工组织架构和绿色施工管理体系，设专人负责绿色施工管理工作，责任落实到人，并保证有效运行，真正做到“四节一环保”即：节水、节能、节地、节材和环境保护。</w:t>
      </w:r>
    </w:p>
    <w:p w14:paraId="70AA8C1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（1）建筑余料应合理使用：施工现场建筑余料要合理利用，如混凝土用于制作路牙石，预制过梁等，钢筋制作马镫，定位筋等；</w:t>
      </w:r>
    </w:p>
    <w:p w14:paraId="59CE294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（2）板材、块材等下脚料和撒落混凝土及砂浆应科学利用：下脚料等分规格后合理进行利用；</w:t>
      </w:r>
    </w:p>
    <w:p w14:paraId="55123C4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（3）混凝土养护和砂浆搅拌用水应合理，应有节水措施：混凝土养护宜采用覆膜养护或喷雾养护等节水措施；</w:t>
      </w:r>
    </w:p>
    <w:p w14:paraId="379EF4B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（4）管网和用水器具不应有渗漏：对管网及用水器具要定期进行检查维修；</w:t>
      </w:r>
    </w:p>
    <w:p w14:paraId="681FD00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（5）对施工现场的生产、生活、办公和主要耗能施工设备应设有节能的控制措施：主要耗能设备要有自动控制等相关控制措施，避免造成能源浪费；</w:t>
      </w:r>
    </w:p>
    <w:p w14:paraId="277D50F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（6）国家、行业、地方政府明令淘汰的施工设备、机具和产品不应使用：施工现场严禁使用国家明令淘汰的用能设备及生产工艺；</w:t>
      </w:r>
    </w:p>
    <w:p w14:paraId="0D97460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（7）应采用节能型设施：现场临电设备、小型机具、照明灯具等应采用带有国家能源效率标识的产品；</w:t>
      </w:r>
    </w:p>
    <w:p w14:paraId="7F666CE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（8）临时用电应设置合理，管理制度应齐全并应落实到位：施工现场临时用电要规范，制定相关管理制度，有专人负责；</w:t>
      </w:r>
    </w:p>
    <w:p w14:paraId="176BFAF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（9）应采用能源利用效率高的施工机械设备：现场施工应选用功率与负载相匹配的施工机械设备；</w:t>
      </w:r>
    </w:p>
    <w:p w14:paraId="24886A2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（10）施工机具资源应共享：合理进行施工平面布置，塔吊、加工厂等要充分考虑多区域共同利用；</w:t>
      </w:r>
    </w:p>
    <w:p w14:paraId="205CC3B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（11）应定期监控重点耗能设备的能源利用情况，并有记录：塔吊、施工电梯等重点耗能设备要单独安装电表；</w:t>
      </w:r>
    </w:p>
    <w:p w14:paraId="21CC244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（12）建筑材料的选用应缩短运输距离，减少能源消耗：500km以内的建筑材料用量占施工使用的建筑材料总重量的70%以上；</w:t>
      </w:r>
    </w:p>
    <w:p w14:paraId="2F97D25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（13）应采用能耗少的施工工艺：改进施工工艺，节能降耗。如采用逆作法等，降低扬尘及噪音、减少材料消耗、避免使用大型设备能源；</w:t>
      </w:r>
    </w:p>
    <w:p w14:paraId="6E6D2FB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（14）应合理安排施工工序和施工进度：在既定施工目标条件下，做到均衡施工、流水施工。特别要避免突击赶工期造成的无序施工、人力物力财力浪费等现象。</w:t>
      </w:r>
    </w:p>
    <w:p w14:paraId="6DCB7C34">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37" w:name="_Toc5308"/>
      <w:r>
        <w:rPr>
          <w:rFonts w:hint="eastAsia"/>
          <w:bCs w:val="0"/>
          <w:color w:val="auto"/>
          <w:highlight w:val="none"/>
        </w:rPr>
        <w:t>6. 作业期限及进度</w:t>
      </w:r>
      <w:bookmarkEnd w:id="837"/>
    </w:p>
    <w:p w14:paraId="3268CE1A">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6.1 分包作业方案</w:t>
      </w:r>
    </w:p>
    <w:p w14:paraId="79B794F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6.1.1 甲方负责编制施工组织设计，在分包作业过程中，施工组织设计修订的，甲方应及时通知乙方。</w:t>
      </w:r>
    </w:p>
    <w:p w14:paraId="12DB63B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default" w:ascii="Times New Roman" w:hAnsi="Times New Roman" w:eastAsia="仿宋_GB2312"/>
          <w:color w:val="auto"/>
          <w:sz w:val="28"/>
          <w:szCs w:val="28"/>
          <w:highlight w:val="none"/>
          <w:lang w:val="en-US" w:eastAsia="zh-CN"/>
        </w:rPr>
      </w:pPr>
      <w:r>
        <w:rPr>
          <w:rFonts w:hint="eastAsia" w:ascii="Times New Roman" w:hAnsi="Times New Roman" w:eastAsia="仿宋_GB2312"/>
          <w:color w:val="auto"/>
          <w:sz w:val="28"/>
          <w:szCs w:val="28"/>
          <w:highlight w:val="none"/>
        </w:rPr>
        <w:t>6.1.2 乙方应当根据甲方要求及施工组织设计，编制及修订分包作业方案，分包作业方案应包括施工安排、施工进度计划、施工准备与资源配置计划、施工方法及工艺技术、各项管理计划（绿色施工、进度、质量、安全、成品保护等）、应急预案等。乙方应于开工前【7】天提供分包作业方案。如乙方未按甲方要求提供作业方案，甲方有权暂停支付进度款</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自逾期之日起，每延迟一日，乙方需按 500 元 / 天的标准向甲方支付违约金，直至作业方案通过甲方审核验收为止。乙方应按甲方要求提交相关资料，各项资料的提交时间节点为甲方发出通知之日起 7 天内。若乙方延迟提交资料，每延迟一日，需按 500 元 / 天的标准向甲方支付违约金，直至资料提交符合甲方要求为止。</w:t>
      </w:r>
    </w:p>
    <w:p w14:paraId="058D00C8">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6.2 开始工作</w:t>
      </w:r>
    </w:p>
    <w:p w14:paraId="0D63ACF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6.2.1</w:t>
      </w:r>
      <w:r>
        <w:rPr>
          <w:rFonts w:ascii="Times New Roman" w:hAnsi="Times New Roman" w:eastAsia="仿宋_GB2312"/>
          <w:color w:val="auto"/>
          <w:sz w:val="28"/>
          <w:szCs w:val="28"/>
          <w:highlight w:val="none"/>
        </w:rPr>
        <w:t xml:space="preserve"> </w:t>
      </w:r>
      <w:r>
        <w:rPr>
          <w:rFonts w:hint="eastAsia" w:ascii="Times New Roman" w:hAnsi="Times New Roman" w:eastAsia="仿宋_GB2312"/>
          <w:color w:val="auto"/>
          <w:sz w:val="28"/>
          <w:szCs w:val="28"/>
          <w:highlight w:val="none"/>
        </w:rPr>
        <w:t>分包作业准备</w:t>
      </w:r>
    </w:p>
    <w:p w14:paraId="43EF049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合同当事人应按约定完成如下分包作业准备工作：</w:t>
      </w:r>
    </w:p>
    <w:p w14:paraId="43905A5E">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（1）甲方负责工程测量定位、沉降观测、技术交底，组织图纸会审。</w:t>
      </w:r>
    </w:p>
    <w:p w14:paraId="13E79A7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（2）乙方应根据施工组织设计及分包作业方案，组织分包作业人员。</w:t>
      </w:r>
    </w:p>
    <w:p w14:paraId="371EC58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6.2.2</w:t>
      </w:r>
      <w:r>
        <w:rPr>
          <w:rFonts w:ascii="Times New Roman" w:hAnsi="Times New Roman" w:eastAsia="仿宋_GB2312"/>
          <w:color w:val="auto"/>
          <w:sz w:val="28"/>
          <w:szCs w:val="28"/>
          <w:highlight w:val="none"/>
        </w:rPr>
        <w:t xml:space="preserve"> </w:t>
      </w:r>
      <w:r>
        <w:rPr>
          <w:rFonts w:hint="eastAsia" w:ascii="Times New Roman" w:hAnsi="Times New Roman" w:eastAsia="仿宋_GB2312"/>
          <w:color w:val="auto"/>
          <w:sz w:val="28"/>
          <w:szCs w:val="28"/>
          <w:highlight w:val="none"/>
        </w:rPr>
        <w:t>分包作业通知</w:t>
      </w:r>
    </w:p>
    <w:p w14:paraId="328C287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合同当事人应按照法律规定和合同约定获得分包作业所需的许可。甲方应在计划开始工作日期【7】天前向乙方发出分包作业通知，作业期限自分包作业通知中载明的开始工作日期起算。</w:t>
      </w:r>
    </w:p>
    <w:p w14:paraId="45F8B944">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6.3 作业期限延误</w:t>
      </w:r>
    </w:p>
    <w:p w14:paraId="71E83859">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6.3.1</w:t>
      </w:r>
      <w:r>
        <w:rPr>
          <w:rFonts w:ascii="Times New Roman" w:hAnsi="Times New Roman" w:eastAsia="仿宋_GB2312"/>
          <w:color w:val="auto"/>
          <w:sz w:val="28"/>
          <w:szCs w:val="28"/>
          <w:highlight w:val="none"/>
        </w:rPr>
        <w:t xml:space="preserve"> </w:t>
      </w:r>
      <w:r>
        <w:rPr>
          <w:rFonts w:hint="eastAsia" w:ascii="Times New Roman" w:hAnsi="Times New Roman" w:eastAsia="仿宋_GB2312"/>
          <w:color w:val="auto"/>
          <w:sz w:val="28"/>
          <w:szCs w:val="28"/>
          <w:highlight w:val="none"/>
        </w:rPr>
        <w:t>工期顺延</w:t>
      </w:r>
    </w:p>
    <w:p w14:paraId="74C6959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合同履行期间，因下列原因之一造成工期延误的，乙方有权要求工期相应顺延：</w:t>
      </w:r>
    </w:p>
    <w:p w14:paraId="01655AA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（1）建设单位书面认可的工期延误；</w:t>
      </w:r>
    </w:p>
    <w:p w14:paraId="2853BDA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Times New Roman" w:hAnsi="Times New Roman" w:eastAsia="仿宋_GB2312"/>
          <w:color w:val="auto"/>
          <w:sz w:val="28"/>
          <w:szCs w:val="28"/>
          <w:highlight w:val="none"/>
        </w:rPr>
        <w:t>（2）因不可抗力或甲方原因导致乙方不能正常施工，并经甲方【</w:t>
      </w:r>
      <w:r>
        <w:rPr>
          <w:rFonts w:hint="eastAsia" w:ascii="仿宋_GB2312" w:hAnsi="仿宋_GB2312" w:eastAsia="仿宋_GB2312" w:cs="仿宋_GB2312"/>
          <w:color w:val="auto"/>
          <w:sz w:val="28"/>
          <w:szCs w:val="28"/>
          <w:highlight w:val="none"/>
        </w:rPr>
        <w:t>项目经理、项目总工、项目生产经理、项目商务经理</w:t>
      </w:r>
      <w:r>
        <w:rPr>
          <w:rFonts w:hint="eastAsia" w:ascii="Times New Roman" w:hAnsi="Times New Roman" w:eastAsia="仿宋_GB2312"/>
          <w:color w:val="auto"/>
          <w:sz w:val="28"/>
          <w:szCs w:val="28"/>
          <w:highlight w:val="none"/>
        </w:rPr>
        <w:t>】书面确认。</w:t>
      </w:r>
    </w:p>
    <w:p w14:paraId="2FA00C6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6.3.2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工期顺延的申请</w:t>
      </w:r>
    </w:p>
    <w:p w14:paraId="2A08DB7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当第6.3.1款所述事件发生后，乙方应在【5】日内以书面形式向甲方提交要求延期的通知，并在前述事件结束后【</w:t>
      </w:r>
      <w:r>
        <w:rPr>
          <w:rFonts w:ascii="仿宋_GB2312" w:hAnsi="仿宋_GB2312" w:eastAsia="仿宋_GB2312" w:cs="仿宋_GB2312"/>
          <w:color w:val="auto"/>
          <w:sz w:val="28"/>
          <w:szCs w:val="28"/>
          <w:highlight w:val="none"/>
        </w:rPr>
        <w:t>5</w:t>
      </w:r>
      <w:r>
        <w:rPr>
          <w:rFonts w:hint="eastAsia" w:ascii="仿宋_GB2312" w:hAnsi="仿宋_GB2312" w:eastAsia="仿宋_GB2312" w:cs="仿宋_GB2312"/>
          <w:color w:val="auto"/>
          <w:sz w:val="28"/>
          <w:szCs w:val="28"/>
          <w:highlight w:val="none"/>
        </w:rPr>
        <w:t>】日内提交详细报告。逾期未提交要求延期的通知或详细报告，则视为乙方放弃索赔工期的权利。</w:t>
      </w:r>
    </w:p>
    <w:p w14:paraId="30D8591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甲方应在收到乙方发出要求延期的通知或提交详细报告后的【14】日内，要求乙方进一步补充顺延工期的资料或确认顺延工期的天数。若乙方未在【5】日内补充要求的资料，则视为乙方放弃索赔工期的权利。</w:t>
      </w:r>
    </w:p>
    <w:p w14:paraId="76DE4B9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6.3.</w:t>
      </w:r>
      <w:r>
        <w:rPr>
          <w:rFonts w:ascii="仿宋_GB2312" w:hAnsi="仿宋_GB2312" w:eastAsia="仿宋_GB2312" w:cs="仿宋_GB2312"/>
          <w:color w:val="auto"/>
          <w:sz w:val="28"/>
          <w:szCs w:val="28"/>
          <w:highlight w:val="none"/>
        </w:rPr>
        <w:t xml:space="preserve">3 </w:t>
      </w:r>
      <w:r>
        <w:rPr>
          <w:rFonts w:hint="eastAsia" w:ascii="仿宋_GB2312" w:hAnsi="仿宋_GB2312" w:eastAsia="仿宋_GB2312" w:cs="仿宋_GB2312"/>
          <w:color w:val="auto"/>
          <w:sz w:val="28"/>
          <w:szCs w:val="28"/>
          <w:highlight w:val="none"/>
        </w:rPr>
        <w:t>节点工期</w:t>
      </w:r>
    </w:p>
    <w:p w14:paraId="4906B09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甲方根据合同约定工期编制节点工期，乙方必须严格按照甲方制定的节点工期要求组织施工，甲乙双方在合同中约定工程节点工期。</w:t>
      </w:r>
    </w:p>
    <w:p w14:paraId="20B1731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6.3.</w:t>
      </w:r>
      <w:r>
        <w:rPr>
          <w:rFonts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rPr>
        <w:t xml:space="preserve"> 因甲方原因导致作业期限延误</w:t>
      </w:r>
    </w:p>
    <w:p w14:paraId="5298F1D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因甲方原因未按计划开始工作日期开始工作的，甲方应按实际开始工作日期顺延作业期限，确保实际作业期限不低于合同约定的作业总日历天数。</w:t>
      </w:r>
    </w:p>
    <w:p w14:paraId="5083106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6.3.</w:t>
      </w:r>
      <w:r>
        <w:rPr>
          <w:rFonts w:ascii="仿宋_GB2312" w:hAnsi="仿宋_GB2312" w:eastAsia="仿宋_GB2312" w:cs="仿宋_GB2312"/>
          <w:color w:val="auto"/>
          <w:sz w:val="28"/>
          <w:szCs w:val="28"/>
          <w:highlight w:val="none"/>
        </w:rPr>
        <w:t>5</w:t>
      </w:r>
      <w:r>
        <w:rPr>
          <w:rFonts w:hint="eastAsia" w:ascii="仿宋_GB2312" w:hAnsi="仿宋_GB2312" w:eastAsia="仿宋_GB2312" w:cs="仿宋_GB2312"/>
          <w:color w:val="auto"/>
          <w:sz w:val="28"/>
          <w:szCs w:val="28"/>
          <w:highlight w:val="none"/>
        </w:rPr>
        <w:t xml:space="preserve"> 因乙方原因导致作业期限延误</w:t>
      </w:r>
    </w:p>
    <w:p w14:paraId="4F1877C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因乙方原因造成节点工期或者分包合同工期延误的，乙方承担签约合同价【</w:t>
      </w:r>
      <w:r>
        <w:rPr>
          <w:rFonts w:hint="eastAsia" w:ascii="仿宋_GB2312" w:hAnsi="仿宋_GB2312" w:eastAsia="仿宋_GB2312" w:cs="仿宋_GB2312"/>
          <w:color w:val="auto"/>
          <w:sz w:val="28"/>
          <w:szCs w:val="28"/>
          <w:highlight w:val="none"/>
          <w:lang w:val="en-US" w:eastAsia="zh-CN"/>
        </w:rPr>
        <w:t>0.2</w:t>
      </w:r>
      <w:r>
        <w:rPr>
          <w:rFonts w:hint="eastAsia" w:ascii="仿宋_GB2312" w:hAnsi="仿宋_GB2312" w:eastAsia="仿宋_GB2312" w:cs="仿宋_GB2312"/>
          <w:color w:val="auto"/>
          <w:sz w:val="28"/>
          <w:szCs w:val="28"/>
          <w:highlight w:val="none"/>
        </w:rPr>
        <w:t>】%/天的逾期违约金，如发生节点工期延误，逾期违约金于当期进度款扣除，乙方采取赶工措施满足计划工期节点后，经甲方确认后返还。乙方支付逾期违约金后，不免除乙方继续完成分包作业及整改的义务。如果节点工期延误超过【</w:t>
      </w: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】天或分包合同工期延误超过【</w:t>
      </w:r>
      <w:r>
        <w:rPr>
          <w:rFonts w:hint="eastAsia" w:ascii="仿宋_GB2312" w:hAnsi="仿宋_GB2312" w:eastAsia="仿宋_GB2312" w:cs="仿宋_GB2312"/>
          <w:color w:val="auto"/>
          <w:sz w:val="28"/>
          <w:szCs w:val="28"/>
          <w:highlight w:val="none"/>
          <w:lang w:val="en-US" w:eastAsia="zh-CN"/>
        </w:rPr>
        <w:t>14</w:t>
      </w:r>
      <w:r>
        <w:rPr>
          <w:rFonts w:hint="eastAsia" w:ascii="仿宋_GB2312" w:hAnsi="仿宋_GB2312" w:eastAsia="仿宋_GB2312" w:cs="仿宋_GB2312"/>
          <w:color w:val="auto"/>
          <w:sz w:val="28"/>
          <w:szCs w:val="28"/>
          <w:highlight w:val="none"/>
        </w:rPr>
        <w:t>】天，甲方有权单方解除合同，且乙方须向甲方支付签约合同价【</w:t>
      </w:r>
      <w:r>
        <w:rPr>
          <w:rFonts w:hint="eastAsia" w:ascii="仿宋_GB2312" w:hAnsi="仿宋_GB2312" w:eastAsia="仿宋_GB2312" w:cs="仿宋_GB2312"/>
          <w:color w:val="auto"/>
          <w:sz w:val="28"/>
          <w:szCs w:val="28"/>
          <w:highlight w:val="none"/>
          <w:lang w:val="en-US" w:eastAsia="zh-CN"/>
        </w:rPr>
        <w:t>20</w:t>
      </w:r>
      <w:r>
        <w:rPr>
          <w:rFonts w:hint="eastAsia" w:ascii="仿宋_GB2312" w:hAnsi="仿宋_GB2312" w:eastAsia="仿宋_GB2312" w:cs="仿宋_GB2312"/>
          <w:color w:val="auto"/>
          <w:sz w:val="28"/>
          <w:szCs w:val="28"/>
          <w:highlight w:val="none"/>
        </w:rPr>
        <w:t>】%的违约金。</w:t>
      </w:r>
    </w:p>
    <w:p w14:paraId="78B84158">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6.4 分包作业暂停</w:t>
      </w:r>
    </w:p>
    <w:p w14:paraId="4FAFB95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由于政策变化、扬尘治理、不可抗力以及建设单位或甲乙双方原因等导致工程停建或缓建，使合同不能连续履行，乙方应妥善做好已完工程和已进场材料、设备的保护和移交工作，按甲方要求将自带机械和人员撤出施工现场；如需继续施工到安全部位的，乙方应按甲方指令将工程施工到安全部位。甲方应为乙方撤出现场提供必要的条件，及时做好已完工程的结算，并按合同约定支付已完工程款。</w:t>
      </w:r>
    </w:p>
    <w:p w14:paraId="2365251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当工程具备复工条件时，甲方向乙方发出复工通知后，乙方应按照复工通知的要求复工，乙方应当无条件复工，超过【15】天乙方仍未复工的，甲方有权解除合同并要求乙方承担违约责任。</w:t>
      </w:r>
    </w:p>
    <w:p w14:paraId="7A4C432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如在乙方没有全面履行完此分包合同义务之前，甲方与建设单位合同解除，甲方应当及时通知乙方，乙方接到通知后应尽快与甲方协商，解除或调整分包合同的内容，乙方及时做好已完工程的结算。无法施工的剩余分包内容工程，乙方放弃主张可得利益等权利。</w:t>
      </w:r>
    </w:p>
    <w:p w14:paraId="5AB86B82">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6.5 工作配合</w:t>
      </w:r>
    </w:p>
    <w:p w14:paraId="7001335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6.5.1 乙方按约定完成分包作业，必须由甲方或甲方的其他分包方配合时，甲方应配合乙方工作或协助乙方获得该其他分包方的配合。</w:t>
      </w:r>
    </w:p>
    <w:p w14:paraId="791A832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6.5.2 甲方或甲方的其他分包方的工作必须由乙方配合时，乙方应按甲方的指示予以配合，否则由此造成的损失由乙方承担，并承担【</w:t>
      </w:r>
      <w:r>
        <w:rPr>
          <w:rFonts w:hint="eastAsia" w:ascii="仿宋_GB2312" w:hAnsi="仿宋_GB2312" w:eastAsia="仿宋_GB2312" w:cs="仿宋_GB2312"/>
          <w:color w:val="auto"/>
          <w:sz w:val="28"/>
          <w:szCs w:val="28"/>
          <w:highlight w:val="none"/>
          <w:lang w:val="en-US" w:eastAsia="zh-CN"/>
        </w:rPr>
        <w:t>5000.00</w:t>
      </w:r>
      <w:r>
        <w:rPr>
          <w:rFonts w:hint="eastAsia" w:ascii="仿宋_GB2312" w:hAnsi="仿宋_GB2312" w:eastAsia="仿宋_GB2312" w:cs="仿宋_GB2312"/>
          <w:color w:val="auto"/>
          <w:sz w:val="28"/>
          <w:szCs w:val="28"/>
          <w:highlight w:val="none"/>
        </w:rPr>
        <w:t>】元/次的违约金。</w:t>
      </w:r>
    </w:p>
    <w:p w14:paraId="0925D852">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38" w:name="_Toc15716"/>
      <w:r>
        <w:rPr>
          <w:rFonts w:hint="eastAsia"/>
          <w:bCs w:val="0"/>
          <w:color w:val="auto"/>
          <w:highlight w:val="none"/>
        </w:rPr>
        <w:t>7. 机具、设备及材料供应</w:t>
      </w:r>
      <w:bookmarkEnd w:id="838"/>
    </w:p>
    <w:p w14:paraId="0BE865FC">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7.1 机具、设备和材料供应计划</w:t>
      </w:r>
    </w:p>
    <w:p w14:paraId="6D9D1DC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7.1.1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应在收到甲方提供的施工组织设计之日起【14】天内，向甲方提交机具、设备、材料供应计划。供应计划经甲方确认后，乙方应按供应计划要求的品种、规格、型号、质量、数量和供应时间等组织货源并及时运入场地。</w:t>
      </w:r>
    </w:p>
    <w:p w14:paraId="3F8B719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7.1.</w:t>
      </w:r>
      <w:r>
        <w:rPr>
          <w:rFonts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rPr>
        <w:t xml:space="preserve"> 甲方提供的机具、设备应在安装调试完毕，确认运行良好后交付乙方使用，在进出场时，乙方必须参与验收。</w:t>
      </w:r>
    </w:p>
    <w:p w14:paraId="6390BCA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 xml:space="preserve">7.1.3 </w:t>
      </w:r>
      <w:r>
        <w:rPr>
          <w:rFonts w:hint="eastAsia" w:ascii="仿宋_GB2312" w:hAnsi="仿宋_GB2312" w:eastAsia="仿宋_GB2312" w:cs="仿宋_GB2312"/>
          <w:color w:val="auto"/>
          <w:sz w:val="28"/>
          <w:szCs w:val="28"/>
          <w:highlight w:val="none"/>
        </w:rPr>
        <w:t>甲方提供的材料在进场时应由乙方负责验收，如材料的品种、规格、型号、质量、数量不符合要求，乙方应在验收时提出，否则，视为乙方认可甲方提供的材料符合要求，如果乙方再行提出其他要求，由此增加的费用和（或）延误的期限均由乙方承担。</w:t>
      </w:r>
    </w:p>
    <w:p w14:paraId="42A1A7CF">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Cs/>
          <w:color w:val="auto"/>
          <w:sz w:val="28"/>
          <w:szCs w:val="28"/>
          <w:highlight w:val="none"/>
        </w:rPr>
      </w:pPr>
      <w:r>
        <w:rPr>
          <w:rFonts w:hint="eastAsia" w:ascii="Times New Roman" w:hAnsi="Times New Roman" w:eastAsia="黑体"/>
          <w:b/>
          <w:color w:val="auto"/>
          <w:sz w:val="28"/>
          <w:szCs w:val="28"/>
          <w:highlight w:val="none"/>
        </w:rPr>
        <w:t>7.2 大型机械、主要材料和周转性材料</w:t>
      </w:r>
    </w:p>
    <w:p w14:paraId="4EAF8DE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大型机械、主要材料和周转性材料供应具体详见协议书中约定。</w:t>
      </w:r>
    </w:p>
    <w:p w14:paraId="3FE4EC9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乙方材料验收人员需提供乙方单位的授权委托书，此委托书由甲方保存。</w:t>
      </w:r>
    </w:p>
    <w:p w14:paraId="4C54D30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供应的材料设备属甲方所有，只供本合同分包作业范围内工程专用，乙方不能挪作他用或擅自处理（包括边角余料）。施工节余材料，废旧材料、边角余料由乙方负责回收至指定地点，归甲方所有,若乙方不按照甲方要求送回至甲方指定地点，甲方将以采购价上浮【</w:t>
      </w: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rPr>
        <w:t>】%的价格调拨给乙方，或由乙方承担甲方自行收回所使用的机械、人工等费用。</w:t>
      </w:r>
    </w:p>
    <w:p w14:paraId="6D31085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甲方供料由乙方按进度计划提前【20】天报材料进场计划，甲方按审定的计划供应。因计划不及时、不准确，造成乙方停工、窝工责任由乙方承担。</w:t>
      </w:r>
    </w:p>
    <w:p w14:paraId="0D19C60E">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7.3 低值易耗材料和小型机械</w:t>
      </w:r>
    </w:p>
    <w:p w14:paraId="30CFAF7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低值易耗材料和小型机械供应，详见协议书中约定。除甲方供应外，分包作业所需的其他低值易耗零星材料及小型机械，均由乙方自行提供。</w:t>
      </w:r>
    </w:p>
    <w:p w14:paraId="2A8B8B20">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7.4 乙方的保管义务</w:t>
      </w:r>
    </w:p>
    <w:p w14:paraId="4665201E">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应妥善保管、合理使用甲方供应的机具、设备、材料，并接受甲方随时检查其机具、设备、材料的保管、使用情况，保管费用由乙方承担。因乙方保管不善、不合理使用造成机具、设备、材料丢失、损毁的，乙方应负责赔偿，并承担因此造成的作业期限延误等责任。</w:t>
      </w:r>
    </w:p>
    <w:p w14:paraId="308E0268">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7.5 甲方供应设备、材料的合理损耗</w:t>
      </w:r>
    </w:p>
    <w:p w14:paraId="52FF0BA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甲方提供设备及供应材料，乙方本合同约定损耗的范围内对设备、材料进行合理使用。超出约定损耗率范围之外的设备、材料用量，由乙方全部赔偿，价格按甲方购买价格加价10%计取，在进度款中扣除。</w:t>
      </w:r>
    </w:p>
    <w:p w14:paraId="1D6EBE2B">
      <w:pPr>
        <w:pStyle w:val="5"/>
        <w:pageBreakBefore w:val="0"/>
        <w:shd w:val="clear"/>
        <w:kinsoku/>
        <w:wordWrap/>
        <w:overflowPunct/>
        <w:topLinePunct w:val="0"/>
        <w:bidi w:val="0"/>
        <w:snapToGrid/>
        <w:spacing w:before="0" w:after="0" w:line="440" w:lineRule="exact"/>
        <w:ind w:left="0" w:leftChars="0" w:firstLine="562" w:firstLineChars="200"/>
        <w:jc w:val="both"/>
        <w:textAlignment w:val="auto"/>
        <w:rPr>
          <w:color w:val="auto"/>
          <w:highlight w:val="none"/>
        </w:rPr>
      </w:pPr>
      <w:bookmarkStart w:id="839" w:name="_Toc28129"/>
      <w:r>
        <w:rPr>
          <w:rFonts w:hint="eastAsia"/>
          <w:bCs w:val="0"/>
          <w:color w:val="auto"/>
          <w:highlight w:val="none"/>
        </w:rPr>
        <w:t>8. 分包作业变化</w:t>
      </w:r>
      <w:bookmarkEnd w:id="839"/>
    </w:p>
    <w:p w14:paraId="3C822973">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8.1 分包作业变化的情形</w:t>
      </w:r>
    </w:p>
    <w:p w14:paraId="687CF29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按照甲方发出的设计变更通知及有关要求，进行施工，未经甲方事先书面同意，乙方不得擅自调整分包作业范围。由乙方擅自变更或未按照甲方设计变更通知进行施工造成的费用增加和由此导致甲方的直接损失，由乙方承担，延误的工期不予顺延。</w:t>
      </w:r>
    </w:p>
    <w:p w14:paraId="1C73BEE9">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8.2 分包作业变化的通知</w:t>
      </w:r>
    </w:p>
    <w:p w14:paraId="1F6FB6A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施工中如发生对原工作内容进行变更，甲方应提前【</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】天以书面形式向乙方发出变更通知，并提供变更的相应图纸和说明。</w:t>
      </w:r>
    </w:p>
    <w:p w14:paraId="1BBE0AFE">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应依据自己的专业性提出合理化建议。乙方提出合理化建议的，应向甲方提交合理化建议说明，说明建议的内容、理由以及实施该建议对合同价格和工期的影响。甲方应在收到乙方的合理化建议后【7】天内审批完毕。合理化建议经甲方批准的，甲方应及时发出变更通知。</w:t>
      </w:r>
    </w:p>
    <w:p w14:paraId="64B87735">
      <w:pPr>
        <w:pageBreakBefore w:val="0"/>
        <w:shd w:val="clear"/>
        <w:kinsoku/>
        <w:wordWrap/>
        <w:overflowPunct/>
        <w:topLinePunct w:val="0"/>
        <w:autoSpaceDE w:val="0"/>
        <w:autoSpaceDN w:val="0"/>
        <w:bidi w:val="0"/>
        <w:adjustRightInd w:val="0"/>
        <w:snapToGrid/>
        <w:spacing w:line="440" w:lineRule="exact"/>
        <w:ind w:firstLine="562" w:firstLineChars="200"/>
        <w:jc w:val="left"/>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8.3 分包作业变化估价</w:t>
      </w:r>
    </w:p>
    <w:p w14:paraId="1611912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8.3.1 分包作业变化估价原则</w:t>
      </w:r>
    </w:p>
    <w:p w14:paraId="3AFA379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①已标价工程量清单或预算书有相同项目的，按照相同项目单价认定；</w:t>
      </w:r>
    </w:p>
    <w:p w14:paraId="2C33A56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②已标价工程量清单或预算书中无相同项目，但有类似项目的，参照类似项目的单价认定；</w:t>
      </w:r>
    </w:p>
    <w:p w14:paraId="545E0CF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③合同中既无可执行的，又没有类似参照执行的，由乙方报送费用，甲方审核确认。</w:t>
      </w:r>
    </w:p>
    <w:p w14:paraId="3723DBF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8.3.2 分包作业变化估价程序</w:t>
      </w:r>
    </w:p>
    <w:p w14:paraId="75BB293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当分包作业变化且合同中没有相应实物的合同单价或者其他原因造成需要办理经济签证时，严格按照甲方程序办理签证。</w:t>
      </w:r>
    </w:p>
    <w:p w14:paraId="2829E91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w:t>
      </w:r>
      <w:r>
        <w:rPr>
          <w:rFonts w:ascii="仿宋" w:hAnsi="仿宋" w:eastAsia="仿宋" w:cs="仿宋"/>
          <w:color w:val="auto"/>
          <w:spacing w:val="-5"/>
          <w:sz w:val="28"/>
          <w:szCs w:val="28"/>
          <w:highlight w:val="none"/>
        </w:rPr>
        <w:t>签证执行“月清月结</w:t>
      </w:r>
      <w:r>
        <w:rPr>
          <w:rFonts w:ascii="仿宋" w:hAnsi="仿宋" w:eastAsia="仿宋" w:cs="仿宋"/>
          <w:color w:val="auto"/>
          <w:spacing w:val="-92"/>
          <w:sz w:val="28"/>
          <w:szCs w:val="28"/>
          <w:highlight w:val="none"/>
        </w:rPr>
        <w:t xml:space="preserve"> </w:t>
      </w:r>
      <w:r>
        <w:rPr>
          <w:rFonts w:ascii="仿宋" w:hAnsi="仿宋" w:eastAsia="仿宋" w:cs="仿宋"/>
          <w:color w:val="auto"/>
          <w:spacing w:val="-5"/>
          <w:sz w:val="28"/>
          <w:szCs w:val="28"/>
          <w:highlight w:val="none"/>
        </w:rPr>
        <w:t>”原则：当月审批完成的分包签证当月办</w:t>
      </w:r>
      <w:r>
        <w:rPr>
          <w:rFonts w:ascii="仿宋" w:hAnsi="仿宋" w:eastAsia="仿宋" w:cs="仿宋"/>
          <w:color w:val="auto"/>
          <w:sz w:val="28"/>
          <w:szCs w:val="28"/>
          <w:highlight w:val="none"/>
        </w:rPr>
        <w:t xml:space="preserve">  </w:t>
      </w:r>
      <w:r>
        <w:rPr>
          <w:rFonts w:ascii="仿宋" w:hAnsi="仿宋" w:eastAsia="仿宋" w:cs="仿宋"/>
          <w:color w:val="auto"/>
          <w:spacing w:val="-6"/>
          <w:sz w:val="28"/>
          <w:szCs w:val="28"/>
          <w:highlight w:val="none"/>
        </w:rPr>
        <w:t>理结算；分包单位当月办理时需提供工程指令单承诺书及指令单台账，</w:t>
      </w:r>
      <w:r>
        <w:rPr>
          <w:rFonts w:ascii="仿宋" w:hAnsi="仿宋" w:eastAsia="仿宋" w:cs="仿宋"/>
          <w:color w:val="auto"/>
          <w:spacing w:val="11"/>
          <w:sz w:val="28"/>
          <w:szCs w:val="28"/>
          <w:highlight w:val="none"/>
        </w:rPr>
        <w:t xml:space="preserve"> </w:t>
      </w:r>
      <w:r>
        <w:rPr>
          <w:rFonts w:ascii="仿宋" w:hAnsi="仿宋" w:eastAsia="仿宋" w:cs="仿宋"/>
          <w:color w:val="auto"/>
          <w:spacing w:val="-1"/>
          <w:sz w:val="28"/>
          <w:szCs w:val="28"/>
          <w:highlight w:val="none"/>
        </w:rPr>
        <w:t>项目审核审批后在当月（期）结算中予以办理</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w:t>
      </w:r>
    </w:p>
    <w:p w14:paraId="6ADF1E3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w:t>
      </w:r>
      <w:r>
        <w:rPr>
          <w:rFonts w:ascii="仿宋_GB2312" w:hAnsi="仿宋_GB2312" w:eastAsia="仿宋_GB2312" w:cs="仿宋_GB2312"/>
          <w:color w:val="auto"/>
          <w:sz w:val="28"/>
          <w:szCs w:val="28"/>
          <w:highlight w:val="none"/>
        </w:rPr>
        <w:t xml:space="preserve">.3.3 </w:t>
      </w:r>
      <w:r>
        <w:rPr>
          <w:rFonts w:hint="eastAsia" w:ascii="仿宋_GB2312" w:hAnsi="仿宋_GB2312" w:eastAsia="仿宋_GB2312" w:cs="仿宋_GB2312"/>
          <w:color w:val="auto"/>
          <w:sz w:val="28"/>
          <w:szCs w:val="28"/>
          <w:highlight w:val="none"/>
        </w:rPr>
        <w:t>变更费用的支付</w:t>
      </w:r>
    </w:p>
    <w:p w14:paraId="0C96490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合同外的增减部分在依据充足情况下，随中间进度报量一并提交。签证金额的支付时间由双方另行约定。</w:t>
      </w:r>
    </w:p>
    <w:p w14:paraId="7C7C0B2C">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8</w:t>
      </w:r>
      <w:r>
        <w:rPr>
          <w:rFonts w:ascii="Times New Roman" w:hAnsi="Times New Roman" w:eastAsia="黑体"/>
          <w:b/>
          <w:color w:val="auto"/>
          <w:sz w:val="28"/>
          <w:szCs w:val="28"/>
          <w:highlight w:val="none"/>
        </w:rPr>
        <w:t xml:space="preserve">.4 </w:t>
      </w:r>
      <w:r>
        <w:rPr>
          <w:rFonts w:hint="eastAsia" w:ascii="Times New Roman" w:hAnsi="Times New Roman" w:eastAsia="黑体"/>
          <w:b/>
          <w:color w:val="auto"/>
          <w:sz w:val="28"/>
          <w:szCs w:val="28"/>
          <w:highlight w:val="none"/>
        </w:rPr>
        <w:t>分包作业变化引起的作业期限调整</w:t>
      </w:r>
    </w:p>
    <w:p w14:paraId="5DBF1B5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由甲方原因造成的变更导致合同价款的增加，由甲方承担，延误的工期相应顺延；因变更减少工程量，合同价款应相应减少，工期相应调整。</w:t>
      </w:r>
    </w:p>
    <w:p w14:paraId="07895FE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由乙方原因造成的变更费用和由此导致甲方的直接损失，由乙方承担，延误的工期不予顺延。</w:t>
      </w:r>
    </w:p>
    <w:p w14:paraId="3C3105B2">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8.5 临时性用工劳务</w:t>
      </w:r>
    </w:p>
    <w:p w14:paraId="3FB4634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临时性用工劳务是指未包括在合同约定的分包作业范围之内的零星用工。甲方要求乙方提供临时性用工劳务的，甲方应当提前向乙方发出指示，乙方应当按照甲方的指示按时组织分包作业人员进场。临时性用工结束后，乙方提交结算时应提供所涉及全部工人的工人工资付清证明资料及承诺书，否则甲方不予认可，如发生工人工资纠纷，乙方自行承担相应责任。</w:t>
      </w:r>
    </w:p>
    <w:p w14:paraId="06510D3C">
      <w:pPr>
        <w:pStyle w:val="5"/>
        <w:pageBreakBefore w:val="0"/>
        <w:shd w:val="clear"/>
        <w:kinsoku/>
        <w:wordWrap/>
        <w:overflowPunct/>
        <w:topLinePunct w:val="0"/>
        <w:bidi w:val="0"/>
        <w:snapToGrid/>
        <w:spacing w:before="0" w:after="0" w:line="440" w:lineRule="exact"/>
        <w:ind w:left="0" w:leftChars="0" w:firstLine="562" w:firstLineChars="200"/>
        <w:jc w:val="both"/>
        <w:textAlignment w:val="auto"/>
        <w:rPr>
          <w:b w:val="0"/>
          <w:bCs w:val="0"/>
          <w:color w:val="auto"/>
          <w:highlight w:val="none"/>
        </w:rPr>
      </w:pPr>
      <w:bookmarkStart w:id="840" w:name="_Toc8190"/>
      <w:r>
        <w:rPr>
          <w:rFonts w:hint="eastAsia"/>
          <w:bCs w:val="0"/>
          <w:color w:val="auto"/>
          <w:highlight w:val="none"/>
        </w:rPr>
        <w:t>9. 分包作业价格调整</w:t>
      </w:r>
      <w:bookmarkEnd w:id="840"/>
    </w:p>
    <w:p w14:paraId="6E756EFE">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合同分包作业价格由乙方根据自身企业情况确定，包干单价是乙方结合图纸、现场条件、招标文件及附件合同、国家现行的材料工艺标准规范、工程规范和技术说明、甲方与建设单位的总承包合同等综合进行理解所确定的单价，以上清单中的所有工作内容的深化审计费、人工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楼梯侧面、洞口、插座边收边收口等费用</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、材料费、机械机具使用费（塔吊、升降机除外）、管理费、利润、安全文明施工措施费、</w:t>
      </w:r>
      <w:r>
        <w:rPr>
          <w:rFonts w:hint="eastAsia" w:ascii="仿宋_GB2312" w:hAnsi="仿宋_GB2312" w:eastAsia="仿宋_GB2312" w:cs="仿宋_GB2312"/>
          <w:color w:val="auto"/>
          <w:sz w:val="28"/>
          <w:szCs w:val="28"/>
          <w:highlight w:val="none"/>
          <w:lang w:val="en-US" w:eastAsia="zh-CN"/>
        </w:rPr>
        <w:t>进出</w:t>
      </w:r>
      <w:r>
        <w:rPr>
          <w:rFonts w:hint="eastAsia" w:ascii="仿宋_GB2312" w:hAnsi="仿宋_GB2312" w:eastAsia="仿宋_GB2312" w:cs="仿宋_GB2312"/>
          <w:color w:val="auto"/>
          <w:sz w:val="28"/>
          <w:szCs w:val="28"/>
          <w:highlight w:val="none"/>
        </w:rPr>
        <w:t>校园车辆停车费、人员引导车辆费、校园及施工场地道路清洗费、垃圾清运费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开荒保洁费达到交付标准</w:t>
      </w:r>
      <w:r>
        <w:rPr>
          <w:rFonts w:hint="eastAsia" w:ascii="仿宋_GB2312" w:hAnsi="仿宋_GB2312" w:eastAsia="仿宋_GB2312" w:cs="仿宋_GB2312"/>
          <w:color w:val="auto"/>
          <w:sz w:val="28"/>
          <w:szCs w:val="28"/>
          <w:highlight w:val="none"/>
        </w:rPr>
        <w:t>。不受市场人工、材料价格涨跌影响，不受变更以外工程含量变化的影响，以上综合单价已含利润</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已考虑一切风险因素。合同约定施工范围内产生的建筑垃圾，乙方须负责</w:t>
      </w:r>
      <w:r>
        <w:rPr>
          <w:rFonts w:hint="eastAsia" w:ascii="仿宋_GB2312" w:hAnsi="仿宋_GB2312" w:eastAsia="仿宋_GB2312" w:cs="仿宋_GB2312"/>
          <w:color w:val="auto"/>
          <w:sz w:val="28"/>
          <w:szCs w:val="28"/>
          <w:highlight w:val="none"/>
          <w:lang w:val="en-US" w:eastAsia="zh-CN"/>
        </w:rPr>
        <w:t>弃运</w:t>
      </w:r>
      <w:r>
        <w:rPr>
          <w:rFonts w:hint="eastAsia" w:ascii="仿宋_GB2312" w:hAnsi="仿宋_GB2312" w:eastAsia="仿宋_GB2312" w:cs="仿宋_GB2312"/>
          <w:color w:val="auto"/>
          <w:sz w:val="28"/>
          <w:szCs w:val="28"/>
          <w:highlight w:val="none"/>
        </w:rPr>
        <w:t>至符合政府相关规定的合法弃运点。若乙方未履行清运义务，甲方有权代为</w:t>
      </w:r>
      <w:r>
        <w:rPr>
          <w:rFonts w:hint="eastAsia" w:ascii="仿宋_GB2312" w:hAnsi="仿宋_GB2312" w:eastAsia="仿宋_GB2312" w:cs="仿宋_GB2312"/>
          <w:color w:val="auto"/>
          <w:sz w:val="28"/>
          <w:szCs w:val="28"/>
          <w:highlight w:val="none"/>
          <w:lang w:val="en-US" w:eastAsia="zh-CN"/>
        </w:rPr>
        <w:t>弃运</w:t>
      </w:r>
      <w:r>
        <w:rPr>
          <w:rFonts w:hint="eastAsia" w:ascii="仿宋_GB2312" w:hAnsi="仿宋_GB2312" w:eastAsia="仿宋_GB2312" w:cs="仿宋_GB2312"/>
          <w:color w:val="auto"/>
          <w:sz w:val="28"/>
          <w:szCs w:val="28"/>
          <w:highlight w:val="none"/>
        </w:rPr>
        <w:t>，由此产生的费用将按照</w:t>
      </w:r>
      <w:r>
        <w:rPr>
          <w:rFonts w:hint="eastAsia" w:ascii="仿宋_GB2312" w:hAnsi="仿宋_GB2312" w:eastAsia="仿宋_GB2312" w:cs="仿宋_GB2312"/>
          <w:color w:val="auto"/>
          <w:sz w:val="28"/>
          <w:szCs w:val="28"/>
          <w:highlight w:val="none"/>
          <w:lang w:val="en-US" w:eastAsia="zh-CN"/>
        </w:rPr>
        <w:t>实际发生费用</w:t>
      </w:r>
      <w:r>
        <w:rPr>
          <w:rFonts w:hint="eastAsia" w:ascii="仿宋_GB2312" w:hAnsi="仿宋_GB2312" w:eastAsia="仿宋_GB2312" w:cs="仿宋_GB2312"/>
          <w:color w:val="auto"/>
          <w:sz w:val="28"/>
          <w:szCs w:val="28"/>
          <w:highlight w:val="none"/>
        </w:rPr>
        <w:t>并加收 20% 的管理费。该费用将与其他分包单位产生的同类费用合并计算，按照各分包单位实际工程量占比进行分摊，相关款项直接从乙方工程款中扣除。任何情况下，乙方在投标前已勘察现场及熟悉施工图纸等，实际施工时不能以对现场或图纸不熟，或者以清单未描述或内容描述不全面等为由要求调整合同单价，也不因施工期内市场材料价格、人工价格、政府收费、政府政策性调整等因素造成价格的变动而要求调整单价，且乙方已综合考虑由于甲方或建设单位图纸变更对合同单价造成的影响，及由于甲方要求施工工程量增加或减少对招标工程量及合同总造价的影响，综合单价（含税）均不得以任何理由要求调整。合同一经签订，乙方应诚信履约。如出现乙方要求增加任何费用的情况，视为乙方违约，甲方有权按分包工程签约合同价的【</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】%处以惩罚性违约金；给甲方造成损失的，由乙方承担所有给甲方造成的相关损失，由此造成的影响由乙方自负，且甲方有权单方解除合同。</w:t>
      </w:r>
    </w:p>
    <w:p w14:paraId="2A2FE8F5">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41" w:name="_Toc13850"/>
      <w:r>
        <w:rPr>
          <w:rFonts w:hint="eastAsia"/>
          <w:bCs w:val="0"/>
          <w:color w:val="auto"/>
          <w:highlight w:val="none"/>
        </w:rPr>
        <w:t>10. 合同价格形式</w:t>
      </w:r>
      <w:bookmarkEnd w:id="841"/>
    </w:p>
    <w:p w14:paraId="0B08BB0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详见协议书中约定。</w:t>
      </w:r>
    </w:p>
    <w:p w14:paraId="68FB9B9C">
      <w:pPr>
        <w:pStyle w:val="5"/>
        <w:pageBreakBefore w:val="0"/>
        <w:shd w:val="clear"/>
        <w:kinsoku/>
        <w:wordWrap/>
        <w:overflowPunct/>
        <w:topLinePunct w:val="0"/>
        <w:bidi w:val="0"/>
        <w:snapToGrid/>
        <w:spacing w:before="0" w:after="0" w:line="440" w:lineRule="exact"/>
        <w:ind w:left="0" w:leftChars="0" w:firstLine="562" w:firstLineChars="200"/>
        <w:jc w:val="both"/>
        <w:textAlignment w:val="auto"/>
        <w:rPr>
          <w:color w:val="auto"/>
          <w:highlight w:val="none"/>
        </w:rPr>
      </w:pPr>
      <w:bookmarkStart w:id="842" w:name="_Toc18652"/>
      <w:r>
        <w:rPr>
          <w:rFonts w:hint="eastAsia"/>
          <w:bCs w:val="0"/>
          <w:color w:val="auto"/>
          <w:highlight w:val="none"/>
        </w:rPr>
        <w:t>11. 分包作业计量与支付</w:t>
      </w:r>
      <w:bookmarkEnd w:id="842"/>
    </w:p>
    <w:p w14:paraId="178DA5F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Times New Roman" w:hAnsi="Times New Roman" w:eastAsia="黑体"/>
          <w:bCs/>
          <w:color w:val="auto"/>
          <w:sz w:val="28"/>
          <w:szCs w:val="28"/>
          <w:highlight w:val="none"/>
        </w:rPr>
      </w:pPr>
      <w:r>
        <w:rPr>
          <w:rFonts w:hint="eastAsia" w:ascii="Times New Roman" w:hAnsi="Times New Roman" w:eastAsia="黑体"/>
          <w:bCs/>
          <w:color w:val="auto"/>
          <w:sz w:val="28"/>
          <w:szCs w:val="28"/>
          <w:highlight w:val="none"/>
        </w:rPr>
        <w:t>11.1 分包作业的计量</w:t>
      </w:r>
    </w:p>
    <w:p w14:paraId="3025871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11.1.1 计量原则和计量周期</w:t>
      </w:r>
    </w:p>
    <w:p w14:paraId="2ABD6A2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分包作业工作量计算规则详见合同协议书。</w:t>
      </w:r>
    </w:p>
    <w:p w14:paraId="3F9F503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11.1.2 计量程序</w:t>
      </w:r>
    </w:p>
    <w:p w14:paraId="5DD4F7D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（1）乙方每月【</w:t>
      </w:r>
      <w:r>
        <w:rPr>
          <w:rFonts w:hint="eastAsia" w:ascii="仿宋_GB2312" w:hAnsi="仿宋_GB2312" w:eastAsia="仿宋_GB2312" w:cs="仿宋_GB2312"/>
          <w:color w:val="auto"/>
          <w:sz w:val="28"/>
          <w:szCs w:val="28"/>
          <w:highlight w:val="none"/>
          <w:lang w:val="en-US" w:eastAsia="zh-CN"/>
        </w:rPr>
        <w:t>20</w:t>
      </w:r>
      <w:r>
        <w:rPr>
          <w:rFonts w:hint="eastAsia" w:ascii="仿宋_GB2312" w:hAnsi="仿宋_GB2312" w:eastAsia="仿宋_GB2312" w:cs="仿宋_GB2312"/>
          <w:color w:val="auto"/>
          <w:sz w:val="28"/>
          <w:szCs w:val="28"/>
          <w:highlight w:val="none"/>
        </w:rPr>
        <w:t>】日向甲方上报已完工程量计算书，并填报《分包报量审核报告》，并经甲方项目商务部审核后仅可用于支付工程进度款，不得作为最终结算的依据。</w:t>
      </w:r>
    </w:p>
    <w:p w14:paraId="54F86A1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eastAsia="仿宋_GB2312" w:cstheme="minorBidi"/>
          <w:color w:val="auto"/>
          <w:kern w:val="0"/>
          <w:sz w:val="28"/>
          <w:szCs w:val="28"/>
          <w:highlight w:val="none"/>
        </w:rPr>
        <w:t>乙方所报工程量为上月【</w:t>
      </w:r>
      <w:r>
        <w:rPr>
          <w:rFonts w:hint="eastAsia" w:eastAsia="仿宋_GB2312" w:cstheme="minorBidi"/>
          <w:color w:val="auto"/>
          <w:kern w:val="0"/>
          <w:sz w:val="28"/>
          <w:szCs w:val="28"/>
          <w:highlight w:val="none"/>
          <w:lang w:val="en-US" w:eastAsia="zh-CN"/>
        </w:rPr>
        <w:t>21</w:t>
      </w:r>
      <w:r>
        <w:rPr>
          <w:rFonts w:hint="eastAsia" w:eastAsia="仿宋_GB2312" w:cstheme="minorBidi"/>
          <w:color w:val="auto"/>
          <w:kern w:val="0"/>
          <w:sz w:val="28"/>
          <w:szCs w:val="28"/>
          <w:highlight w:val="none"/>
        </w:rPr>
        <w:t>】日至本月【</w:t>
      </w:r>
      <w:r>
        <w:rPr>
          <w:rFonts w:hint="eastAsia" w:eastAsia="仿宋_GB2312" w:cstheme="minorBidi"/>
          <w:color w:val="auto"/>
          <w:kern w:val="0"/>
          <w:sz w:val="28"/>
          <w:szCs w:val="28"/>
          <w:highlight w:val="none"/>
          <w:lang w:val="en-US" w:eastAsia="zh-CN"/>
        </w:rPr>
        <w:t>20</w:t>
      </w:r>
      <w:r>
        <w:rPr>
          <w:rFonts w:hint="eastAsia" w:eastAsia="仿宋_GB2312" w:cstheme="minorBidi"/>
          <w:color w:val="auto"/>
          <w:kern w:val="0"/>
          <w:sz w:val="28"/>
          <w:szCs w:val="28"/>
          <w:highlight w:val="none"/>
        </w:rPr>
        <w:t>】日完成的工作内容，必须有乙方现场代表签字、盖章，过程付款资料及报量单均应连续编号。</w:t>
      </w:r>
    </w:p>
    <w:p w14:paraId="4E35C7B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）乙方每月报量中的安全措施费，可根据月度考核情况单独计量，由项目安全工程师、专业工程师、安全总监、商务经理、甲方现场代表进行审核，按乙方实际投入情况计取费用。</w:t>
      </w:r>
    </w:p>
    <w:p w14:paraId="003C20B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）如分包计量超过签约合同价【</w:t>
      </w: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rPr>
        <w:t>】的，应及时签订补充协议，如不签订补充协议，增加部分不予计量。</w:t>
      </w:r>
    </w:p>
    <w:p w14:paraId="1DC090E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Times New Roman" w:hAnsi="Times New Roman" w:eastAsia="黑体"/>
          <w:bCs/>
          <w:color w:val="auto"/>
          <w:sz w:val="28"/>
          <w:szCs w:val="28"/>
          <w:highlight w:val="none"/>
        </w:rPr>
        <w:t>11.2 合同价款支付</w:t>
      </w:r>
    </w:p>
    <w:p w14:paraId="7F84E2F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具体支付比例及支付方式详见协议书中约定。</w:t>
      </w:r>
    </w:p>
    <w:p w14:paraId="2804D4AF">
      <w:pPr>
        <w:pStyle w:val="5"/>
        <w:pageBreakBefore w:val="0"/>
        <w:shd w:val="clear"/>
        <w:kinsoku/>
        <w:wordWrap/>
        <w:overflowPunct/>
        <w:topLinePunct w:val="0"/>
        <w:bidi w:val="0"/>
        <w:snapToGrid/>
        <w:spacing w:before="0" w:after="0" w:line="440" w:lineRule="exact"/>
        <w:ind w:left="0" w:leftChars="0" w:firstLine="562" w:firstLineChars="200"/>
        <w:jc w:val="both"/>
        <w:textAlignment w:val="auto"/>
        <w:rPr>
          <w:color w:val="auto"/>
          <w:highlight w:val="none"/>
        </w:rPr>
      </w:pPr>
      <w:bookmarkStart w:id="843" w:name="_Toc16905"/>
      <w:r>
        <w:rPr>
          <w:rFonts w:hint="eastAsia"/>
          <w:bCs w:val="0"/>
          <w:color w:val="auto"/>
          <w:highlight w:val="none"/>
        </w:rPr>
        <w:t>12. 验收与交付</w:t>
      </w:r>
      <w:bookmarkEnd w:id="843"/>
    </w:p>
    <w:p w14:paraId="5C601038">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12.1 分包作业质量</w:t>
      </w:r>
    </w:p>
    <w:p w14:paraId="6C5B1B9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12.1.1 乙方应确保所完成分包作业符合合同约定的质量标准。甲方有作业规范要求的，乙方的分包作业还应当满足甲方的作业规范要求。</w:t>
      </w:r>
    </w:p>
    <w:p w14:paraId="7E3E7B9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12.1.2 甲方有权随时对乙方实施的分包作业进行监督检查，确保分包作业质量，并对存在的质量隐患提出整改要求，乙方应当及时完成整改。</w:t>
      </w:r>
    </w:p>
    <w:p w14:paraId="3E186D48">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12.2 参加检验与验收</w:t>
      </w:r>
    </w:p>
    <w:p w14:paraId="4A252EC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乙方应按照甲方的书面指示，参加与其分包作业有关的分部分项工程的验收，并承担相应部分的整改责任。</w:t>
      </w:r>
    </w:p>
    <w:p w14:paraId="0F7FACE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质量检查：乙方应当建立质量管理体系，坚持自检、互检、交接检制度，并为检验提供便利条件，随时接受甲方现场代表和委派人员以及各级质检部门的检查、检验，并按要求返工、修改，承担由自身原因导致的返工、修改费用。</w:t>
      </w:r>
    </w:p>
    <w:p w14:paraId="30181CD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隐蔽工程验收：乙方应在自检合格后，验收【48】小时前通知甲方组织验收，经监理公司验收合格，在验收记录签字后方可进行隐蔽和继续施工。如验收不符合质量要求，乙方应按验收提出的整改意见进行返修自检，合格后重新通知验收，返修费用乙方承担，工期不予顺延。未经验收不得自行隐蔽，如有自行隐蔽，乙方必须按照甲方或有关单位的验收要求剥露和开口及恢复，并承担因此发生的全部费用及损失，工期不予顺延。</w:t>
      </w:r>
    </w:p>
    <w:p w14:paraId="28181E0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交工验收：乙方承担的任务全部完成，经初验达到约定的质量标准后，由甲方约请建设单位验收，经验收合格，评定质量等级。交工验收书签字后，办理工程移交。如质量达不到要求，乙方应对所施工部分存在的问题按验收提出的意见返修，并在限定的期限内完成，再通知验收，直到符合质量要求为止。乙方承担因此发生的全部经济损失和工期延误责任。</w:t>
      </w:r>
    </w:p>
    <w:p w14:paraId="4045DBC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12.2.4</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分包工程质量应达到设计图纸要求及约定的标准和质量目标。如图纸、国家及当地政府的施工验收规范、标准、建设单位的指令之间有差异和不一致的，乙方应取得甲方的书面认可后，以质量要求较严者为施工依据。</w:t>
      </w:r>
    </w:p>
    <w:p w14:paraId="530D08DB">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12.3 完工日期的确定</w:t>
      </w:r>
    </w:p>
    <w:p w14:paraId="36198FC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12.3.1 乙方完成全部分包作业后，应向甲方提交完工报告，通知甲方验收。分包作业经甲方验收合格的，以验收合格之日起为本分包工程完工日期。</w:t>
      </w:r>
    </w:p>
    <w:p w14:paraId="0DAE87F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12.3.2 总包工程竣工且经建设单位验收合格的，视为乙方的分包作业质量符合合同约定的要求。</w:t>
      </w:r>
    </w:p>
    <w:p w14:paraId="7BA1BB34">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仿宋_GB2312" w:hAnsi="仿宋_GB2312" w:eastAsia="仿宋_GB2312" w:cs="仿宋_GB2312"/>
          <w:color w:val="auto"/>
          <w:sz w:val="28"/>
          <w:szCs w:val="28"/>
          <w:highlight w:val="none"/>
        </w:rPr>
      </w:pPr>
      <w:r>
        <w:rPr>
          <w:rFonts w:hint="eastAsia" w:ascii="Times New Roman" w:hAnsi="Times New Roman" w:eastAsia="黑体"/>
          <w:b/>
          <w:color w:val="auto"/>
          <w:sz w:val="28"/>
          <w:szCs w:val="28"/>
          <w:highlight w:val="none"/>
        </w:rPr>
        <w:t>12.4 分包作业整改</w:t>
      </w:r>
    </w:p>
    <w:p w14:paraId="0697C2D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与建设单位间的隐蔽工程验收、分部分项工程验收以及工程竣工验收表明分包作业质量不合格时，乙方应负责无偿整改，作业期限不予延长，并承担由此导致的甲方的全部损失。若乙方接到甲方整改通知单后【24小时】内未进行整改，甲方有权委托第三方完成，此部分费用由乙方承担并对乙方处以【</w:t>
      </w:r>
      <w:r>
        <w:rPr>
          <w:rFonts w:hint="eastAsia" w:ascii="仿宋_GB2312" w:hAnsi="仿宋_GB2312" w:eastAsia="仿宋_GB2312" w:cs="仿宋_GB2312"/>
          <w:color w:val="auto"/>
          <w:sz w:val="28"/>
          <w:szCs w:val="28"/>
          <w:highlight w:val="none"/>
          <w:lang w:val="en-US" w:eastAsia="zh-CN"/>
        </w:rPr>
        <w:t>1万</w:t>
      </w:r>
      <w:r>
        <w:rPr>
          <w:rFonts w:hint="eastAsia" w:ascii="仿宋_GB2312" w:hAnsi="仿宋_GB2312" w:eastAsia="仿宋_GB2312" w:cs="仿宋_GB2312"/>
          <w:color w:val="auto"/>
          <w:sz w:val="28"/>
          <w:szCs w:val="28"/>
          <w:highlight w:val="none"/>
        </w:rPr>
        <w:t>】元惩罚性违约金。</w:t>
      </w:r>
    </w:p>
    <w:p w14:paraId="071B4D43">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12.5 分包作业交付</w:t>
      </w:r>
    </w:p>
    <w:p w14:paraId="3D6FC6E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分包作业经验收合格后，乙方应当按照甲方指示及时将该分包作业交付甲方，不得以双方存在争议为由拒绝将该分包作业交付甲方。</w:t>
      </w:r>
    </w:p>
    <w:p w14:paraId="042F45CC">
      <w:pPr>
        <w:pStyle w:val="5"/>
        <w:pageBreakBefore w:val="0"/>
        <w:shd w:val="clear"/>
        <w:kinsoku/>
        <w:wordWrap/>
        <w:overflowPunct/>
        <w:topLinePunct w:val="0"/>
        <w:bidi w:val="0"/>
        <w:snapToGrid/>
        <w:spacing w:before="0" w:after="0" w:line="440" w:lineRule="exact"/>
        <w:ind w:left="0" w:leftChars="0" w:firstLine="562" w:firstLineChars="200"/>
        <w:jc w:val="both"/>
        <w:textAlignment w:val="auto"/>
        <w:rPr>
          <w:color w:val="auto"/>
          <w:highlight w:val="none"/>
        </w:rPr>
      </w:pPr>
      <w:bookmarkStart w:id="844" w:name="_Toc28697"/>
      <w:r>
        <w:rPr>
          <w:rFonts w:hint="eastAsia"/>
          <w:bCs w:val="0"/>
          <w:color w:val="auto"/>
          <w:highlight w:val="none"/>
        </w:rPr>
        <w:t>13. 分包作业结算与支付</w:t>
      </w:r>
      <w:bookmarkEnd w:id="844"/>
    </w:p>
    <w:p w14:paraId="24955277">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13.1</w:t>
      </w:r>
      <w:r>
        <w:rPr>
          <w:rFonts w:ascii="Times New Roman" w:hAnsi="Times New Roman" w:eastAsia="黑体"/>
          <w:b/>
          <w:color w:val="auto"/>
          <w:sz w:val="28"/>
          <w:szCs w:val="28"/>
          <w:highlight w:val="none"/>
        </w:rPr>
        <w:t xml:space="preserve"> </w:t>
      </w:r>
      <w:r>
        <w:rPr>
          <w:rFonts w:hint="eastAsia" w:ascii="Times New Roman" w:hAnsi="Times New Roman" w:eastAsia="黑体"/>
          <w:b/>
          <w:color w:val="auto"/>
          <w:sz w:val="28"/>
          <w:szCs w:val="28"/>
          <w:highlight w:val="none"/>
        </w:rPr>
        <w:t>结算的申报</w:t>
      </w:r>
    </w:p>
    <w:p w14:paraId="0F89714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除合同协议书另有约定外，乙方应自分包工程竣工验收合格后【</w:t>
      </w:r>
      <w:r>
        <w:rPr>
          <w:rFonts w:hint="eastAsia" w:ascii="仿宋_GB2312" w:hAnsi="仿宋_GB2312" w:eastAsia="仿宋_GB2312" w:cs="仿宋_GB2312"/>
          <w:color w:val="auto"/>
          <w:sz w:val="28"/>
          <w:szCs w:val="28"/>
          <w:highlight w:val="none"/>
          <w:lang w:val="en-US" w:eastAsia="zh-CN"/>
        </w:rPr>
        <w:t>28</w:t>
      </w:r>
      <w:r>
        <w:rPr>
          <w:rFonts w:hint="eastAsia" w:ascii="仿宋_GB2312" w:hAnsi="仿宋_GB2312" w:eastAsia="仿宋_GB2312" w:cs="仿宋_GB2312"/>
          <w:color w:val="auto"/>
          <w:sz w:val="28"/>
          <w:szCs w:val="28"/>
          <w:highlight w:val="none"/>
        </w:rPr>
        <w:t>】天内，根据要求向甲方申报完工结算资料（包括书面版本和电子版本），同时提供变更通知单、工程签证单、乙方自购主材确认单以及合同约定的其他资料等依据。</w:t>
      </w:r>
    </w:p>
    <w:p w14:paraId="26CB86AA">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w:t>
      </w:r>
      <w:r>
        <w:rPr>
          <w:rFonts w:ascii="Times New Roman" w:hAnsi="Times New Roman" w:eastAsia="黑体"/>
          <w:b/>
          <w:color w:val="auto"/>
          <w:sz w:val="28"/>
          <w:szCs w:val="28"/>
          <w:highlight w:val="none"/>
        </w:rPr>
        <w:t>3</w:t>
      </w:r>
      <w:r>
        <w:rPr>
          <w:rFonts w:hint="eastAsia" w:ascii="Times New Roman" w:hAnsi="Times New Roman" w:eastAsia="黑体"/>
          <w:b/>
          <w:color w:val="auto"/>
          <w:sz w:val="28"/>
          <w:szCs w:val="28"/>
          <w:highlight w:val="none"/>
        </w:rPr>
        <w:t>.2</w:t>
      </w:r>
      <w:r>
        <w:rPr>
          <w:rFonts w:ascii="Times New Roman" w:hAnsi="Times New Roman" w:eastAsia="黑体"/>
          <w:b/>
          <w:color w:val="auto"/>
          <w:sz w:val="28"/>
          <w:szCs w:val="28"/>
          <w:highlight w:val="none"/>
        </w:rPr>
        <w:t xml:space="preserve"> </w:t>
      </w:r>
      <w:r>
        <w:rPr>
          <w:rFonts w:hint="eastAsia" w:ascii="Times New Roman" w:hAnsi="Times New Roman" w:eastAsia="黑体"/>
          <w:b/>
          <w:color w:val="auto"/>
          <w:sz w:val="28"/>
          <w:szCs w:val="28"/>
          <w:highlight w:val="none"/>
        </w:rPr>
        <w:t>结算的审核</w:t>
      </w:r>
    </w:p>
    <w:p w14:paraId="68F9E16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3</w:t>
      </w:r>
      <w:r>
        <w:rPr>
          <w:rFonts w:hint="eastAsia" w:ascii="仿宋_GB2312" w:hAnsi="仿宋_GB2312" w:eastAsia="仿宋_GB2312" w:cs="仿宋_GB2312"/>
          <w:color w:val="auto"/>
          <w:sz w:val="28"/>
          <w:szCs w:val="28"/>
          <w:highlight w:val="none"/>
        </w:rPr>
        <w:t>.2.1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除合同协议书另有约定外，甲方应在以下期限内（以后到者为准）完成对乙方结算资料的审核，并由双方签署《完工结算审核报告》（结算书）：</w:t>
      </w:r>
    </w:p>
    <w:p w14:paraId="554813D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（1）甲方收到乙方的结算资料后【</w:t>
      </w:r>
      <w:r>
        <w:rPr>
          <w:rFonts w:hint="eastAsia" w:ascii="仿宋_GB2312" w:hAnsi="仿宋_GB2312" w:eastAsia="仿宋_GB2312" w:cs="仿宋_GB2312"/>
          <w:color w:val="auto"/>
          <w:sz w:val="28"/>
          <w:szCs w:val="28"/>
          <w:highlight w:val="none"/>
          <w:lang w:val="en-US" w:eastAsia="zh-CN"/>
        </w:rPr>
        <w:t>30</w:t>
      </w:r>
      <w:r>
        <w:rPr>
          <w:rFonts w:hint="eastAsia" w:ascii="仿宋_GB2312" w:hAnsi="仿宋_GB2312" w:eastAsia="仿宋_GB2312" w:cs="仿宋_GB2312"/>
          <w:color w:val="auto"/>
          <w:sz w:val="28"/>
          <w:szCs w:val="28"/>
          <w:highlight w:val="none"/>
        </w:rPr>
        <w:t>】天内，或者</w:t>
      </w:r>
    </w:p>
    <w:p w14:paraId="492EE60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（2）在建设单位对甲方的结算资料审核之后的【</w:t>
      </w:r>
      <w:r>
        <w:rPr>
          <w:rFonts w:hint="eastAsia" w:ascii="仿宋_GB2312" w:hAnsi="仿宋_GB2312" w:eastAsia="仿宋_GB2312" w:cs="仿宋_GB2312"/>
          <w:color w:val="auto"/>
          <w:sz w:val="28"/>
          <w:szCs w:val="28"/>
          <w:highlight w:val="none"/>
          <w:lang w:val="en-US" w:eastAsia="zh-CN"/>
        </w:rPr>
        <w:t>15</w:t>
      </w:r>
      <w:r>
        <w:rPr>
          <w:rFonts w:hint="eastAsia" w:ascii="仿宋_GB2312" w:hAnsi="仿宋_GB2312" w:eastAsia="仿宋_GB2312" w:cs="仿宋_GB2312"/>
          <w:color w:val="auto"/>
          <w:sz w:val="28"/>
          <w:szCs w:val="28"/>
          <w:highlight w:val="none"/>
        </w:rPr>
        <w:t>】天内。</w:t>
      </w:r>
    </w:p>
    <w:p w14:paraId="273B146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双方特别约定：双方工作人员的过程中核对的数据不视为甲方对乙方结算金额的确认，最终需以甲方盖章确认的《完工结算审核报告》为准。</w:t>
      </w:r>
    </w:p>
    <w:p w14:paraId="208A6AF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3</w:t>
      </w:r>
      <w:r>
        <w:rPr>
          <w:rFonts w:hint="eastAsia" w:ascii="仿宋_GB2312" w:hAnsi="仿宋_GB2312" w:eastAsia="仿宋_GB2312" w:cs="仿宋_GB2312"/>
          <w:color w:val="auto"/>
          <w:sz w:val="28"/>
          <w:szCs w:val="28"/>
          <w:highlight w:val="none"/>
        </w:rPr>
        <w:t>.2.2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结算审核报告应当扣减以下金额：</w:t>
      </w:r>
    </w:p>
    <w:p w14:paraId="793569E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①施工所需水、电费用。</w:t>
      </w:r>
    </w:p>
    <w:p w14:paraId="112BBDC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②地方各种政策性收费：按甲方实际代扣代缴为准。</w:t>
      </w:r>
    </w:p>
    <w:p w14:paraId="561C111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③乙方承担的各项罚款及违约金。</w:t>
      </w:r>
    </w:p>
    <w:p w14:paraId="0DC8C07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④乙方施工的安防用品、工作服等，以实际领取数量及甲方采购价为准（如有）。</w:t>
      </w:r>
    </w:p>
    <w:p w14:paraId="698BE9D8">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⑤甲方根据合同应当扣除的其他款项。</w:t>
      </w:r>
    </w:p>
    <w:p w14:paraId="3796FD2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根据本条应扣减的项目，如双方无法达成一致的，根据争议解决办法解决。</w:t>
      </w:r>
    </w:p>
    <w:p w14:paraId="367A9A6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13.2.3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甲方项目部收到结算资料后进行初审，项目部审核完毕后报甲方总部（或总部授权的结算部门）审计。若乙方所报结算价的审减率在5%-10%（含5%）的，乙方承担被审减额的【5】%的违约金，若审减率超过10%（含10%）的，乙方承担被审减额的【10】</w:t>
      </w:r>
      <w:r>
        <w:rPr>
          <w:rFonts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的违约金，审减率在20%以上（含20%）的，乙方承担被审减额的【20】%的违约金。</w:t>
      </w:r>
    </w:p>
    <w:p w14:paraId="18826E70">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w:t>
      </w:r>
      <w:r>
        <w:rPr>
          <w:rFonts w:ascii="Times New Roman" w:hAnsi="Times New Roman" w:eastAsia="黑体"/>
          <w:b/>
          <w:color w:val="auto"/>
          <w:sz w:val="28"/>
          <w:szCs w:val="28"/>
          <w:highlight w:val="none"/>
        </w:rPr>
        <w:t>3</w:t>
      </w:r>
      <w:r>
        <w:rPr>
          <w:rFonts w:hint="eastAsia" w:ascii="Times New Roman" w:hAnsi="Times New Roman" w:eastAsia="黑体"/>
          <w:b/>
          <w:color w:val="auto"/>
          <w:sz w:val="28"/>
          <w:szCs w:val="28"/>
          <w:highlight w:val="none"/>
        </w:rPr>
        <w:t>.3</w:t>
      </w:r>
      <w:r>
        <w:rPr>
          <w:rFonts w:ascii="Times New Roman" w:hAnsi="Times New Roman" w:eastAsia="黑体"/>
          <w:b/>
          <w:color w:val="auto"/>
          <w:sz w:val="28"/>
          <w:szCs w:val="28"/>
          <w:highlight w:val="none"/>
        </w:rPr>
        <w:t xml:space="preserve"> </w:t>
      </w:r>
      <w:r>
        <w:rPr>
          <w:rFonts w:hint="eastAsia" w:ascii="Times New Roman" w:hAnsi="Times New Roman" w:eastAsia="黑体"/>
          <w:b/>
          <w:color w:val="auto"/>
          <w:sz w:val="28"/>
          <w:szCs w:val="28"/>
          <w:highlight w:val="none"/>
        </w:rPr>
        <w:t>结算的异议</w:t>
      </w:r>
    </w:p>
    <w:p w14:paraId="5ED36C5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3</w:t>
      </w:r>
      <w:r>
        <w:rPr>
          <w:rFonts w:hint="eastAsia" w:ascii="仿宋_GB2312" w:hAnsi="仿宋_GB2312" w:eastAsia="仿宋_GB2312" w:cs="仿宋_GB2312"/>
          <w:color w:val="auto"/>
          <w:sz w:val="28"/>
          <w:szCs w:val="28"/>
          <w:highlight w:val="none"/>
        </w:rPr>
        <w:t>.3.1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甲方对乙方提交的完工结算资料有异议的，有权要求乙方在规定的时间内进行修正和提供补充资料，乙方应提交修正后的结算资料。</w:t>
      </w:r>
    </w:p>
    <w:p w14:paraId="6FEF510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3</w:t>
      </w:r>
      <w:r>
        <w:rPr>
          <w:rFonts w:hint="eastAsia" w:ascii="仿宋_GB2312" w:hAnsi="仿宋_GB2312" w:eastAsia="仿宋_GB2312" w:cs="仿宋_GB2312"/>
          <w:color w:val="auto"/>
          <w:sz w:val="28"/>
          <w:szCs w:val="28"/>
          <w:highlight w:val="none"/>
        </w:rPr>
        <w:t>.3.2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乙方对甲方的审核结果有异议的，应在接到审核结果后的【</w:t>
      </w:r>
      <w:r>
        <w:rPr>
          <w:rFonts w:hint="eastAsia" w:ascii="仿宋_GB2312" w:hAnsi="仿宋_GB2312" w:eastAsia="仿宋_GB2312" w:cs="仿宋_GB2312"/>
          <w:color w:val="auto"/>
          <w:sz w:val="28"/>
          <w:szCs w:val="28"/>
          <w:highlight w:val="none"/>
          <w:lang w:val="en-US" w:eastAsia="zh-CN"/>
        </w:rPr>
        <w:t>14</w:t>
      </w:r>
      <w:r>
        <w:rPr>
          <w:rFonts w:hint="eastAsia" w:ascii="仿宋_GB2312" w:hAnsi="仿宋_GB2312" w:eastAsia="仿宋_GB2312" w:cs="仿宋_GB2312"/>
          <w:color w:val="auto"/>
          <w:sz w:val="28"/>
          <w:szCs w:val="28"/>
          <w:highlight w:val="none"/>
        </w:rPr>
        <w:t>】天内向甲方提出书面意见，甲方据此进行核实，经甲方核定后的计量结果为最终结果。若乙方不认可甲方核定的最终结果的，有异议部分按约定的争议解决方式处理；若乙方未在接到审核结果后的【1</w:t>
      </w:r>
      <w:r>
        <w:rPr>
          <w:rFonts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rPr>
        <w:t>】天内提出异议的，即视为确认甲方的审核结果，并作为双方的最终结算金额。</w:t>
      </w:r>
    </w:p>
    <w:p w14:paraId="4B03EE6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3</w:t>
      </w:r>
      <w:r>
        <w:rPr>
          <w:rFonts w:hint="eastAsia" w:ascii="仿宋_GB2312" w:hAnsi="仿宋_GB2312" w:eastAsia="仿宋_GB2312" w:cs="仿宋_GB2312"/>
          <w:color w:val="auto"/>
          <w:sz w:val="28"/>
          <w:szCs w:val="28"/>
          <w:highlight w:val="none"/>
        </w:rPr>
        <w:t>.3.3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如未在规定时间内提供完整的工程竣工结算资料，经甲方催促后【14】天内仍未提供或没有明确答复，甲方有权根据已有资料进行审查并确定双方的最终结算金额，该结算金额对乙方具有约束力，乙方无权再提出异议，由此带来的全部责任和后果由乙方自负。</w:t>
      </w:r>
    </w:p>
    <w:p w14:paraId="70DCD6AD">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Cs/>
          <w:color w:val="auto"/>
          <w:sz w:val="28"/>
          <w:szCs w:val="28"/>
          <w:highlight w:val="none"/>
        </w:rPr>
      </w:pPr>
      <w:r>
        <w:rPr>
          <w:rFonts w:hint="eastAsia" w:ascii="Times New Roman" w:hAnsi="Times New Roman" w:eastAsia="黑体"/>
          <w:b/>
          <w:color w:val="auto"/>
          <w:sz w:val="28"/>
          <w:szCs w:val="28"/>
          <w:highlight w:val="none"/>
        </w:rPr>
        <w:t>1</w:t>
      </w:r>
      <w:r>
        <w:rPr>
          <w:rFonts w:ascii="Times New Roman" w:hAnsi="Times New Roman" w:eastAsia="黑体"/>
          <w:b/>
          <w:color w:val="auto"/>
          <w:sz w:val="28"/>
          <w:szCs w:val="28"/>
          <w:highlight w:val="none"/>
        </w:rPr>
        <w:t>3</w:t>
      </w:r>
      <w:r>
        <w:rPr>
          <w:rFonts w:hint="eastAsia" w:ascii="Times New Roman" w:hAnsi="Times New Roman" w:eastAsia="黑体"/>
          <w:b/>
          <w:color w:val="auto"/>
          <w:sz w:val="28"/>
          <w:szCs w:val="28"/>
          <w:highlight w:val="none"/>
        </w:rPr>
        <w:t>.4</w:t>
      </w:r>
      <w:r>
        <w:rPr>
          <w:rFonts w:ascii="Times New Roman" w:hAnsi="Times New Roman" w:eastAsia="黑体"/>
          <w:b/>
          <w:color w:val="auto"/>
          <w:sz w:val="28"/>
          <w:szCs w:val="28"/>
          <w:highlight w:val="none"/>
        </w:rPr>
        <w:t xml:space="preserve"> </w:t>
      </w:r>
      <w:r>
        <w:rPr>
          <w:rFonts w:hint="eastAsia" w:ascii="Times New Roman" w:hAnsi="Times New Roman" w:eastAsia="黑体"/>
          <w:b/>
          <w:color w:val="auto"/>
          <w:sz w:val="28"/>
          <w:szCs w:val="28"/>
          <w:highlight w:val="none"/>
        </w:rPr>
        <w:t>结算款的支付</w:t>
      </w:r>
    </w:p>
    <w:p w14:paraId="6324AA1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除在协议书中另有约定外，在满足以下全部条件后的【</w:t>
      </w:r>
      <w:r>
        <w:rPr>
          <w:rFonts w:hint="eastAsia" w:ascii="仿宋_GB2312" w:hAnsi="仿宋_GB2312" w:eastAsia="仿宋_GB2312" w:cs="仿宋_GB2312"/>
          <w:color w:val="auto"/>
          <w:sz w:val="28"/>
          <w:szCs w:val="28"/>
          <w:highlight w:val="none"/>
          <w:lang w:val="en-US" w:eastAsia="zh-CN"/>
        </w:rPr>
        <w:t>30</w:t>
      </w:r>
      <w:r>
        <w:rPr>
          <w:rFonts w:hint="eastAsia" w:ascii="仿宋_GB2312" w:hAnsi="仿宋_GB2312" w:eastAsia="仿宋_GB2312" w:cs="仿宋_GB2312"/>
          <w:color w:val="auto"/>
          <w:sz w:val="28"/>
          <w:szCs w:val="28"/>
          <w:highlight w:val="none"/>
        </w:rPr>
        <w:t>】天内，以后到者为准，甲方向乙方支付合同结算价的【</w:t>
      </w:r>
      <w:r>
        <w:rPr>
          <w:rFonts w:hint="eastAsia" w:ascii="仿宋_GB2312" w:hAnsi="仿宋_GB2312" w:eastAsia="仿宋_GB2312" w:cs="仿宋_GB2312"/>
          <w:color w:val="auto"/>
          <w:sz w:val="28"/>
          <w:szCs w:val="28"/>
          <w:highlight w:val="none"/>
          <w:lang w:val="en-US" w:eastAsia="zh-CN"/>
        </w:rPr>
        <w:t>97</w:t>
      </w:r>
      <w:r>
        <w:rPr>
          <w:rFonts w:hint="eastAsia" w:ascii="仿宋_GB2312" w:hAnsi="仿宋_GB2312" w:eastAsia="仿宋_GB2312" w:cs="仿宋_GB2312"/>
          <w:color w:val="auto"/>
          <w:sz w:val="28"/>
          <w:szCs w:val="28"/>
          <w:highlight w:val="none"/>
        </w:rPr>
        <w:t>】%，同时扣除乙方应付的其他款项以及质保金：</w:t>
      </w:r>
    </w:p>
    <w:p w14:paraId="109D853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（1）工程经建设单位整体竣工验收合格出具工程竣工验收报告或者办理竣工备案；</w:t>
      </w:r>
    </w:p>
    <w:p w14:paraId="060CD23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（2）双方完成确认《完工结算审核报告》；</w:t>
      </w:r>
    </w:p>
    <w:p w14:paraId="34EA7C0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（3）甲方收到乙方开具的有效的增值税发票。</w:t>
      </w:r>
    </w:p>
    <w:p w14:paraId="22A3DFEC">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ascii="Times New Roman" w:hAnsi="Times New Roman" w:eastAsia="黑体"/>
          <w:b/>
          <w:color w:val="auto"/>
          <w:sz w:val="28"/>
          <w:szCs w:val="28"/>
          <w:highlight w:val="none"/>
        </w:rPr>
        <w:t xml:space="preserve">13.5 </w:t>
      </w:r>
      <w:r>
        <w:rPr>
          <w:rFonts w:hint="eastAsia" w:ascii="Times New Roman" w:hAnsi="Times New Roman" w:eastAsia="黑体"/>
          <w:b/>
          <w:color w:val="auto"/>
          <w:sz w:val="28"/>
          <w:szCs w:val="28"/>
          <w:highlight w:val="none"/>
        </w:rPr>
        <w:t>其他</w:t>
      </w:r>
    </w:p>
    <w:p w14:paraId="03D2250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w:t>
      </w:r>
      <w:r>
        <w:rPr>
          <w:rFonts w:ascii="仿宋_GB2312" w:hAnsi="仿宋_GB2312" w:eastAsia="仿宋_GB2312" w:cs="仿宋_GB2312"/>
          <w:color w:val="auto"/>
          <w:sz w:val="28"/>
          <w:szCs w:val="28"/>
          <w:highlight w:val="none"/>
        </w:rPr>
        <w:t xml:space="preserve">5.1 </w:t>
      </w:r>
      <w:r>
        <w:rPr>
          <w:rFonts w:hint="eastAsia" w:ascii="仿宋_GB2312" w:hAnsi="仿宋_GB2312" w:eastAsia="仿宋_GB2312" w:cs="仿宋_GB2312"/>
          <w:color w:val="auto"/>
          <w:sz w:val="28"/>
          <w:szCs w:val="28"/>
          <w:highlight w:val="none"/>
        </w:rPr>
        <w:t>乙方施工过程中，由于自行施工部分安全、质量或其他问题达不到甲方要求，甲方在过程中签发的涉及经济问题的罚款单或联系单，甲方有权在进度款中扣除该费用。</w:t>
      </w:r>
    </w:p>
    <w:p w14:paraId="2FE2105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w:t>
      </w:r>
      <w:r>
        <w:rPr>
          <w:rFonts w:ascii="仿宋_GB2312" w:hAnsi="仿宋_GB2312" w:eastAsia="仿宋_GB2312" w:cs="仿宋_GB2312"/>
          <w:color w:val="auto"/>
          <w:sz w:val="28"/>
          <w:szCs w:val="28"/>
          <w:highlight w:val="none"/>
        </w:rPr>
        <w:t xml:space="preserve">5.2 </w:t>
      </w:r>
      <w:r>
        <w:rPr>
          <w:rFonts w:hint="eastAsia" w:ascii="仿宋_GB2312" w:hAnsi="仿宋_GB2312" w:eastAsia="仿宋_GB2312" w:cs="仿宋_GB2312"/>
          <w:color w:val="auto"/>
          <w:sz w:val="28"/>
          <w:szCs w:val="28"/>
          <w:highlight w:val="none"/>
        </w:rPr>
        <w:t>乙方提交甲方的月进度报量结算书及最终结算书须资料详实、数据准确。乙方提交最终结算书时，应当提供所有工人工资付清证明资料及承诺书作为附件，否则甲方不予认可。</w:t>
      </w:r>
    </w:p>
    <w:p w14:paraId="0E98F0C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13.5</w:t>
      </w:r>
      <w:r>
        <w:rPr>
          <w:rFonts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rPr>
        <w:t>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若乙方拒绝甲方的工作安排，只选择部分施工的分项进行施工，则视为乙方违约，甲方可单方面解除合同，并对已施工部分按照【70】%与乙方进行结算。</w:t>
      </w:r>
    </w:p>
    <w:p w14:paraId="1C59FE14">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45" w:name="_Toc20304"/>
      <w:r>
        <w:rPr>
          <w:rFonts w:hint="eastAsia"/>
          <w:bCs w:val="0"/>
          <w:color w:val="auto"/>
          <w:highlight w:val="none"/>
        </w:rPr>
        <w:t>14. 违约</w:t>
      </w:r>
      <w:bookmarkEnd w:id="845"/>
    </w:p>
    <w:p w14:paraId="4374FB7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甲乙双方均应按照本合同的约定全面履行相应的义务，给对方造成损失的，应赔偿相应损失，并按照本合同约定支付违约金。</w:t>
      </w:r>
    </w:p>
    <w:p w14:paraId="79DEDE0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因乙方原因导致工程质量达不到约定的标准，乙方应向甲方支付签约合同价【</w:t>
      </w: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rPr>
        <w:t>】%的违约金，并承担因此给甲方造成的全部损失。</w:t>
      </w:r>
    </w:p>
    <w:p w14:paraId="75F9041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乙方在施工过程中，若达不到甲方要求（包括履约能力、工期等任何约定），或甲方单方解除合同的通知送达之日，乙方必须无条件退场，如拒不退场，按照【</w:t>
      </w:r>
      <w:r>
        <w:rPr>
          <w:rFonts w:hint="eastAsia" w:ascii="仿宋_GB2312" w:hAnsi="仿宋_GB2312" w:eastAsia="仿宋_GB2312" w:cs="仿宋_GB2312"/>
          <w:color w:val="auto"/>
          <w:sz w:val="28"/>
          <w:szCs w:val="28"/>
          <w:highlight w:val="none"/>
          <w:lang w:val="en-US" w:eastAsia="zh-CN"/>
        </w:rPr>
        <w:t>1万</w:t>
      </w:r>
      <w:r>
        <w:rPr>
          <w:rFonts w:hint="eastAsia" w:ascii="仿宋_GB2312" w:hAnsi="仿宋_GB2312" w:eastAsia="仿宋_GB2312" w:cs="仿宋_GB2312"/>
          <w:color w:val="auto"/>
          <w:sz w:val="28"/>
          <w:szCs w:val="28"/>
          <w:highlight w:val="none"/>
        </w:rPr>
        <w:t>】元/天承担违约金并赔偿甲方的全部损失。如果发生甲方有权单方解除合同情形，则自甲方向乙方约定的通信地址或电子邮箱发出通知之日，双方合同解除。</w:t>
      </w:r>
    </w:p>
    <w:p w14:paraId="6D1FCEA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14.4</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因乙方原因未达到甲方要求的【市级/省级安全文明施工标准】，乙方向甲方支付签约合同价【</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】%的违约金，并承担因此给甲方造成的全部损失。安全文明工地建设参照当地主管部门的有关标准验收，用工等费用已包含在乙方报价中。</w:t>
      </w:r>
    </w:p>
    <w:p w14:paraId="7848FD0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14.5</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除非双方协议将合同终止或解除，另一方要求违约方继续履行合同时，违约方在承担有关责任后仍应继续履行合同。</w:t>
      </w:r>
    </w:p>
    <w:p w14:paraId="2320776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14.6</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乙方在合同履行期间，应该按照甲方要求，【在甲方招标平台云筑网（https：//www.yzw.cn/）中】完成工程量的填报，否则，甲方有权在乙方的工程款中每次扣除【</w:t>
      </w:r>
      <w:r>
        <w:rPr>
          <w:rFonts w:hint="eastAsia" w:ascii="仿宋_GB2312" w:hAnsi="仿宋_GB2312" w:eastAsia="仿宋_GB2312" w:cs="仿宋_GB2312"/>
          <w:color w:val="auto"/>
          <w:sz w:val="28"/>
          <w:szCs w:val="28"/>
          <w:highlight w:val="none"/>
          <w:lang w:val="en-US" w:eastAsia="zh-CN"/>
        </w:rPr>
        <w:t>1000.00</w:t>
      </w:r>
      <w:r>
        <w:rPr>
          <w:rFonts w:hint="eastAsia" w:ascii="仿宋_GB2312" w:hAnsi="仿宋_GB2312" w:eastAsia="仿宋_GB2312" w:cs="仿宋_GB2312"/>
          <w:color w:val="auto"/>
          <w:sz w:val="28"/>
          <w:szCs w:val="28"/>
          <w:highlight w:val="none"/>
        </w:rPr>
        <w:t>】元作为违约金。</w:t>
      </w:r>
    </w:p>
    <w:p w14:paraId="2F905267">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14.7</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如乙方放弃工程，或明确表示不愿继续按照合同履行其义务的意向；或不能有效管理，难以保证工程质量和进度，并有确切证据证明将导致合同目的不能实现，甲方均可以单方解除合同。</w:t>
      </w:r>
    </w:p>
    <w:p w14:paraId="4EB5F98E">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14.8</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若乙方的供货商、员工、民工向法院提起诉讼、劳动仲裁、向相关部门投诉举报，给甲方造成媒体曝光、工人上访、聚众闹事、被政府相关部门通报等负面影响，乙方应承担签约合同价【</w:t>
      </w: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rPr>
        <w:t>】%的违约金，且甲方有权选择解除合同。</w:t>
      </w:r>
    </w:p>
    <w:p w14:paraId="3633A90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w:t>
      </w:r>
      <w:r>
        <w:rPr>
          <w:rFonts w:ascii="仿宋_GB2312" w:hAnsi="仿宋_GB2312" w:eastAsia="仿宋_GB2312" w:cs="仿宋_GB2312"/>
          <w:color w:val="auto"/>
          <w:sz w:val="28"/>
          <w:szCs w:val="28"/>
          <w:highlight w:val="none"/>
        </w:rPr>
        <w:t xml:space="preserve">9 </w:t>
      </w:r>
      <w:r>
        <w:rPr>
          <w:rFonts w:hint="eastAsia" w:ascii="仿宋_GB2312" w:hAnsi="仿宋_GB2312" w:eastAsia="仿宋_GB2312" w:cs="仿宋_GB2312"/>
          <w:color w:val="auto"/>
          <w:sz w:val="28"/>
          <w:szCs w:val="28"/>
          <w:highlight w:val="none"/>
        </w:rPr>
        <w:t>本合同所确定的承包范围的工作内容，乙方应无条件完成。如因乙方原因某部分施工不能满足合同要求，甲方有权另作发包，并且乙方需向甲方支付未完成部分合同造价的【</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】%作为违约金。</w:t>
      </w:r>
    </w:p>
    <w:p w14:paraId="76E7853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w:t>
      </w:r>
      <w:r>
        <w:rPr>
          <w:rFonts w:ascii="仿宋_GB2312" w:hAnsi="仿宋_GB2312" w:eastAsia="仿宋_GB2312" w:cs="仿宋_GB2312"/>
          <w:color w:val="auto"/>
          <w:sz w:val="28"/>
          <w:szCs w:val="28"/>
          <w:highlight w:val="none"/>
        </w:rPr>
        <w:t xml:space="preserve">10 </w:t>
      </w:r>
      <w:r>
        <w:rPr>
          <w:rFonts w:hint="eastAsia" w:ascii="仿宋_GB2312" w:hAnsi="仿宋_GB2312" w:eastAsia="仿宋_GB2312" w:cs="仿宋_GB2312"/>
          <w:color w:val="auto"/>
          <w:sz w:val="28"/>
          <w:szCs w:val="28"/>
          <w:highlight w:val="none"/>
        </w:rPr>
        <w:t>本分包工程实施过程中出现交叉施工时应注意现场的文明施工及成品保护，上道工序应为下道工序创造良好的施工条件，下道工序要注意保护上道工序的成品和半成品。任何交叉作业中因乙方管理不善或出于恶意行为而导致的返工、返修、工期延误等损害或损失均由乙方承担。</w:t>
      </w:r>
    </w:p>
    <w:p w14:paraId="2AEDB658">
      <w:pPr>
        <w:pStyle w:val="5"/>
        <w:pageBreakBefore w:val="0"/>
        <w:shd w:val="clear"/>
        <w:kinsoku/>
        <w:wordWrap/>
        <w:overflowPunct/>
        <w:topLinePunct w:val="0"/>
        <w:bidi w:val="0"/>
        <w:snapToGrid/>
        <w:spacing w:before="0" w:after="0" w:line="440" w:lineRule="exact"/>
        <w:ind w:left="0" w:leftChars="0" w:firstLine="562" w:firstLineChars="200"/>
        <w:jc w:val="both"/>
        <w:textAlignment w:val="auto"/>
        <w:rPr>
          <w:color w:val="auto"/>
          <w:highlight w:val="none"/>
        </w:rPr>
      </w:pPr>
      <w:bookmarkStart w:id="846" w:name="_Toc4834"/>
      <w:r>
        <w:rPr>
          <w:rFonts w:hint="eastAsia"/>
          <w:bCs w:val="0"/>
          <w:color w:val="auto"/>
          <w:highlight w:val="none"/>
        </w:rPr>
        <w:t>1</w:t>
      </w:r>
      <w:r>
        <w:rPr>
          <w:bCs w:val="0"/>
          <w:color w:val="auto"/>
          <w:highlight w:val="none"/>
        </w:rPr>
        <w:t xml:space="preserve">5. </w:t>
      </w:r>
      <w:r>
        <w:rPr>
          <w:rFonts w:hint="eastAsia"/>
          <w:bCs w:val="0"/>
          <w:color w:val="auto"/>
          <w:highlight w:val="none"/>
        </w:rPr>
        <w:t>不可抗力</w:t>
      </w:r>
      <w:bookmarkEnd w:id="846"/>
    </w:p>
    <w:p w14:paraId="7C79061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本合同所定不可抗力是指合同当事人在签订合同时不可预见，在合同履行过程中不可避免且不能克服的自然灾害和社会性突发事件，包括但不限于地震、海啸、瘟疫、骚乱、戒严、暴动、战争等。</w:t>
      </w:r>
    </w:p>
    <w:p w14:paraId="49EB7C1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乙方认为某一事件已构成不可抗力并影响其正常履行义务，则此事件发生时，应立即通知甲方，并立即采取必要的措施，防止损失的进一步扩大。不可抗力事件发生后【</w:t>
      </w:r>
      <w:r>
        <w:rPr>
          <w:rFonts w:ascii="仿宋_GB2312" w:hAnsi="仿宋_GB2312" w:eastAsia="仿宋_GB2312" w:cs="仿宋_GB2312"/>
          <w:color w:val="auto"/>
          <w:sz w:val="28"/>
          <w:szCs w:val="28"/>
          <w:highlight w:val="none"/>
        </w:rPr>
        <w:t>48</w:t>
      </w:r>
      <w:r>
        <w:rPr>
          <w:rFonts w:hint="eastAsia" w:ascii="仿宋_GB2312" w:hAnsi="仿宋_GB2312" w:eastAsia="仿宋_GB2312" w:cs="仿宋_GB2312"/>
          <w:color w:val="auto"/>
          <w:sz w:val="28"/>
          <w:szCs w:val="28"/>
          <w:highlight w:val="none"/>
        </w:rPr>
        <w:t>小时】内乙方向甲方通报受害情况和损失情况，及预计清理和修复的费用，逾期提出的甲方不予认可。不可抗力持续发生，乙方应每日报告一次受害情况，直到不可抗力结束。甲方应对受害处理提供必要的条件，并负责处理工作的组织、指挥。不可抗力发生后，乙方未采取有效措施控制灾害而发生的损失由乙方承担。</w:t>
      </w:r>
    </w:p>
    <w:p w14:paraId="6A037E9A">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15.2.1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因不可抗力，由甲方、乙方各自承担自身的人员伤亡、机械设备和材料的损坏、停工等造成的损失；</w:t>
      </w:r>
    </w:p>
    <w:p w14:paraId="231CBF6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15.2.2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工程自身的损害、因工程损害导致第三人伤亡、工程清理维修费由乙方配合甲方与建设单位协商处理；</w:t>
      </w:r>
    </w:p>
    <w:p w14:paraId="20E783A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15.2.3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在得到建设单位/监理对整体/分包工程的工期顺延许可后，分包工程延误的工期相应顺延；</w:t>
      </w:r>
    </w:p>
    <w:p w14:paraId="6CB237BE">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5.2.4</w:t>
      </w:r>
      <w:r>
        <w:rPr>
          <w:rFonts w:hint="eastAsia" w:ascii="仿宋_GB2312" w:hAnsi="仿宋_GB2312" w:eastAsia="仿宋_GB2312" w:cs="仿宋_GB2312"/>
          <w:color w:val="auto"/>
          <w:sz w:val="28"/>
          <w:szCs w:val="28"/>
          <w:highlight w:val="none"/>
        </w:rPr>
        <w:t>停工期间，乙方应甲方要求留在施工场地的必要的管理人员及保卫人员的费用由甲方承担；</w:t>
      </w:r>
    </w:p>
    <w:p w14:paraId="0C1155F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 xml:space="preserve">5.3 </w:t>
      </w:r>
      <w:r>
        <w:rPr>
          <w:rFonts w:hint="eastAsia" w:ascii="仿宋_GB2312" w:hAnsi="仿宋_GB2312" w:eastAsia="仿宋_GB2312" w:cs="仿宋_GB2312"/>
          <w:color w:val="auto"/>
          <w:sz w:val="28"/>
          <w:szCs w:val="28"/>
          <w:highlight w:val="none"/>
        </w:rPr>
        <w:t>因单次不可抗力导致合同无法履行连续超过【</w:t>
      </w:r>
      <w:r>
        <w:rPr>
          <w:rFonts w:hint="eastAsia" w:ascii="仿宋_GB2312" w:hAnsi="仿宋_GB2312" w:eastAsia="仿宋_GB2312" w:cs="仿宋_GB2312"/>
          <w:color w:val="auto"/>
          <w:sz w:val="28"/>
          <w:szCs w:val="28"/>
          <w:highlight w:val="none"/>
          <w:lang w:val="en-US" w:eastAsia="zh-CN"/>
        </w:rPr>
        <w:t>90</w:t>
      </w:r>
      <w:r>
        <w:rPr>
          <w:rFonts w:hint="eastAsia" w:ascii="仿宋_GB2312" w:hAnsi="仿宋_GB2312" w:eastAsia="仿宋_GB2312" w:cs="仿宋_GB2312"/>
          <w:color w:val="auto"/>
          <w:sz w:val="28"/>
          <w:szCs w:val="28"/>
          <w:highlight w:val="none"/>
        </w:rPr>
        <w:t>】天或累计超过【</w:t>
      </w:r>
      <w:r>
        <w:rPr>
          <w:rFonts w:hint="eastAsia" w:ascii="仿宋_GB2312" w:hAnsi="仿宋_GB2312" w:eastAsia="仿宋_GB2312" w:cs="仿宋_GB2312"/>
          <w:color w:val="auto"/>
          <w:sz w:val="28"/>
          <w:szCs w:val="28"/>
          <w:highlight w:val="none"/>
          <w:lang w:val="en-US" w:eastAsia="zh-CN"/>
        </w:rPr>
        <w:t>120</w:t>
      </w:r>
      <w:r>
        <w:rPr>
          <w:rFonts w:hint="eastAsia" w:ascii="仿宋_GB2312" w:hAnsi="仿宋_GB2312" w:eastAsia="仿宋_GB2312" w:cs="仿宋_GB2312"/>
          <w:color w:val="auto"/>
          <w:sz w:val="28"/>
          <w:szCs w:val="28"/>
          <w:highlight w:val="none"/>
        </w:rPr>
        <w:t>】天的，甲乙双方均有权解除合同。合同解除后，双方应就已完工程的计量、验收、估价、以及结算与付款等善后事宜达成补充协议。</w:t>
      </w:r>
    </w:p>
    <w:p w14:paraId="101B5B11">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47" w:name="_Toc3129"/>
      <w:r>
        <w:rPr>
          <w:rFonts w:hint="eastAsia"/>
          <w:bCs w:val="0"/>
          <w:color w:val="auto"/>
          <w:highlight w:val="none"/>
        </w:rPr>
        <w:t>1</w:t>
      </w:r>
      <w:r>
        <w:rPr>
          <w:bCs w:val="0"/>
          <w:color w:val="auto"/>
          <w:highlight w:val="none"/>
        </w:rPr>
        <w:t xml:space="preserve">6. </w:t>
      </w:r>
      <w:r>
        <w:rPr>
          <w:rFonts w:hint="eastAsia"/>
          <w:bCs w:val="0"/>
          <w:color w:val="auto"/>
          <w:highlight w:val="none"/>
        </w:rPr>
        <w:t>保险</w:t>
      </w:r>
      <w:bookmarkEnd w:id="847"/>
    </w:p>
    <w:p w14:paraId="04816476">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w:t>
      </w:r>
      <w:r>
        <w:rPr>
          <w:rFonts w:ascii="Times New Roman" w:hAnsi="Times New Roman" w:eastAsia="黑体"/>
          <w:b/>
          <w:color w:val="auto"/>
          <w:sz w:val="28"/>
          <w:szCs w:val="28"/>
          <w:highlight w:val="none"/>
        </w:rPr>
        <w:t xml:space="preserve">6.1 </w:t>
      </w:r>
      <w:r>
        <w:rPr>
          <w:rFonts w:hint="eastAsia" w:ascii="Times New Roman" w:hAnsi="Times New Roman" w:eastAsia="黑体"/>
          <w:b/>
          <w:color w:val="auto"/>
          <w:sz w:val="28"/>
          <w:szCs w:val="28"/>
          <w:highlight w:val="none"/>
        </w:rPr>
        <w:t>乙方应办理的保险</w:t>
      </w:r>
    </w:p>
    <w:p w14:paraId="72F7A8B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 xml:space="preserve">6.1.1 </w:t>
      </w:r>
      <w:r>
        <w:rPr>
          <w:rFonts w:hint="eastAsia" w:ascii="仿宋_GB2312" w:hAnsi="仿宋_GB2312" w:eastAsia="仿宋_GB2312" w:cs="仿宋_GB2312"/>
          <w:color w:val="auto"/>
          <w:sz w:val="28"/>
          <w:szCs w:val="28"/>
          <w:highlight w:val="none"/>
        </w:rPr>
        <w:t>乙方应当在合同签订进场施工前为其履行合同雇用的全部人员办理工伤保险，缴纳工伤保险费，并为其在施工现场的全部施工人员办理意外伤害保险，属于国家规定的高危行业、领域的生产经营单位，应当投保安全生产责任保险，并为施工场地内自有人员生命财产、运至施工场内用于分包工程的材料和待安装设备以及施工机械设备办理保险，支付保险费用。包括但不限于：</w:t>
      </w:r>
    </w:p>
    <w:p w14:paraId="220FF72E">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（1）应对其自身在分包工程现场的全部雇员的人身安全及自有机械设备等财产办理保险；</w:t>
      </w:r>
    </w:p>
    <w:p w14:paraId="598A67DE">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（2）乙方雇用的任何员工或其他人员的任何意外事故或伤害所引起损失由乙方承担。</w:t>
      </w:r>
    </w:p>
    <w:p w14:paraId="2DBF866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 xml:space="preserve">6.1.2 </w:t>
      </w:r>
      <w:r>
        <w:rPr>
          <w:rFonts w:hint="eastAsia" w:ascii="仿宋_GB2312" w:hAnsi="仿宋_GB2312" w:eastAsia="仿宋_GB2312" w:cs="仿宋_GB2312"/>
          <w:color w:val="auto"/>
          <w:sz w:val="28"/>
          <w:szCs w:val="28"/>
          <w:highlight w:val="none"/>
        </w:rPr>
        <w:t>乙方应保持保单的有效性，并按照甲方的要求，在本分包合同履约期间，妥善保存此保单及保险费付款收据，并在甲方要求的情况下立即向甲方出示投保单和保险单。如果乙方未按约定办理上述保险且在甲方提醒后仍未办理，甲方可代为办理保险，并从应支付乙方工程款中扣除相应金额。</w:t>
      </w:r>
    </w:p>
    <w:p w14:paraId="2794776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16.1.</w:t>
      </w:r>
      <w:r>
        <w:rPr>
          <w:rFonts w:ascii="仿宋_GB2312" w:hAnsi="仿宋_GB2312" w:eastAsia="仿宋_GB2312" w:cs="仿宋_GB2312"/>
          <w:color w:val="auto"/>
          <w:sz w:val="28"/>
          <w:szCs w:val="28"/>
          <w:highlight w:val="none"/>
        </w:rPr>
        <w:t xml:space="preserve">3 </w:t>
      </w:r>
      <w:r>
        <w:rPr>
          <w:rFonts w:hint="eastAsia" w:ascii="仿宋_GB2312" w:hAnsi="仿宋_GB2312" w:eastAsia="仿宋_GB2312" w:cs="仿宋_GB2312"/>
          <w:color w:val="auto"/>
          <w:sz w:val="28"/>
          <w:szCs w:val="28"/>
          <w:highlight w:val="none"/>
        </w:rPr>
        <w:t>保险费用已包含在乙方的合同价款中，乙方自行缴纳。</w:t>
      </w:r>
    </w:p>
    <w:p w14:paraId="05B4D381">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16.2 保险事故的处理</w:t>
      </w:r>
    </w:p>
    <w:p w14:paraId="0522BAB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保险事故发生时，甲方和乙方有责任采取必要的措施，避免损失扩大。</w:t>
      </w:r>
    </w:p>
    <w:p w14:paraId="20625A9F">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48" w:name="_Toc23805"/>
      <w:r>
        <w:rPr>
          <w:rFonts w:hint="eastAsia"/>
          <w:bCs w:val="0"/>
          <w:color w:val="auto"/>
          <w:highlight w:val="none"/>
        </w:rPr>
        <w:t>17. 配合索赔</w:t>
      </w:r>
      <w:bookmarkEnd w:id="848"/>
    </w:p>
    <w:p w14:paraId="783B528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甲方根据总承包合同向建设单位递交索赔意向通知或其他资料时，乙方应予以积极配合，并出示相应资料。</w:t>
      </w:r>
    </w:p>
    <w:p w14:paraId="16DB3F1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17.2</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在分包作业实施过程中甲方认为可以根据总承包合同向建设单位提起索赔的，主张追加付款和（或）延长作业期限，乙方应予以配合，否则将承担甲方的损失。</w:t>
      </w:r>
    </w:p>
    <w:p w14:paraId="741155C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17.3</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乙方根据甲方要求出示的相关索赔资料及建设单位的回复意见等均不作为甲乙双方结算的依据。</w:t>
      </w:r>
    </w:p>
    <w:p w14:paraId="5815E653">
      <w:pPr>
        <w:pStyle w:val="5"/>
        <w:pageBreakBefore w:val="0"/>
        <w:shd w:val="clear"/>
        <w:kinsoku/>
        <w:wordWrap/>
        <w:overflowPunct/>
        <w:topLinePunct w:val="0"/>
        <w:bidi w:val="0"/>
        <w:snapToGrid/>
        <w:spacing w:before="0" w:after="0" w:line="440" w:lineRule="exact"/>
        <w:ind w:left="0" w:leftChars="0" w:firstLine="562" w:firstLineChars="200"/>
        <w:jc w:val="both"/>
        <w:textAlignment w:val="auto"/>
        <w:rPr>
          <w:color w:val="auto"/>
          <w:highlight w:val="none"/>
        </w:rPr>
      </w:pPr>
      <w:bookmarkStart w:id="849" w:name="_Toc22923"/>
      <w:r>
        <w:rPr>
          <w:rFonts w:hint="eastAsia"/>
          <w:bCs w:val="0"/>
          <w:color w:val="auto"/>
          <w:highlight w:val="none"/>
        </w:rPr>
        <w:t>1</w:t>
      </w:r>
      <w:r>
        <w:rPr>
          <w:bCs w:val="0"/>
          <w:color w:val="auto"/>
          <w:highlight w:val="none"/>
        </w:rPr>
        <w:t xml:space="preserve">8. </w:t>
      </w:r>
      <w:r>
        <w:rPr>
          <w:rFonts w:hint="eastAsia"/>
          <w:bCs w:val="0"/>
          <w:color w:val="auto"/>
          <w:highlight w:val="none"/>
        </w:rPr>
        <w:t>合同解除</w:t>
      </w:r>
      <w:bookmarkEnd w:id="849"/>
    </w:p>
    <w:p w14:paraId="5B31EF5E">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ascii="Times New Roman" w:hAnsi="Times New Roman" w:eastAsia="黑体"/>
          <w:b/>
          <w:color w:val="auto"/>
          <w:sz w:val="28"/>
          <w:szCs w:val="28"/>
          <w:highlight w:val="none"/>
        </w:rPr>
        <w:t>18</w:t>
      </w:r>
      <w:r>
        <w:rPr>
          <w:rFonts w:hint="eastAsia" w:ascii="Times New Roman" w:hAnsi="Times New Roman" w:eastAsia="黑体"/>
          <w:b/>
          <w:color w:val="auto"/>
          <w:sz w:val="28"/>
          <w:szCs w:val="28"/>
          <w:highlight w:val="none"/>
        </w:rPr>
        <w:t>.1</w:t>
      </w:r>
      <w:r>
        <w:rPr>
          <w:rFonts w:ascii="Times New Roman" w:hAnsi="Times New Roman" w:eastAsia="黑体"/>
          <w:b/>
          <w:color w:val="auto"/>
          <w:sz w:val="28"/>
          <w:szCs w:val="28"/>
          <w:highlight w:val="none"/>
        </w:rPr>
        <w:t xml:space="preserve"> </w:t>
      </w:r>
      <w:r>
        <w:rPr>
          <w:rFonts w:hint="eastAsia" w:ascii="Times New Roman" w:hAnsi="Times New Roman" w:eastAsia="黑体"/>
          <w:b/>
          <w:color w:val="auto"/>
          <w:sz w:val="28"/>
          <w:szCs w:val="28"/>
          <w:highlight w:val="none"/>
        </w:rPr>
        <w:t>分包合同解除事由</w:t>
      </w:r>
    </w:p>
    <w:p w14:paraId="25B8D49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ascii="仿宋_GB2312" w:hAnsi="仿宋_GB2312" w:eastAsia="仿宋_GB2312" w:cs="仿宋_GB2312"/>
          <w:color w:val="auto"/>
          <w:sz w:val="28"/>
          <w:szCs w:val="28"/>
          <w:highlight w:val="none"/>
        </w:rPr>
        <w:t>18</w:t>
      </w:r>
      <w:r>
        <w:rPr>
          <w:rFonts w:hint="eastAsia" w:ascii="仿宋_GB2312" w:hAnsi="仿宋_GB2312" w:eastAsia="仿宋_GB2312" w:cs="仿宋_GB2312"/>
          <w:color w:val="auto"/>
          <w:sz w:val="28"/>
          <w:szCs w:val="28"/>
          <w:highlight w:val="none"/>
        </w:rPr>
        <w:t>.1.1</w:t>
      </w:r>
      <w:r>
        <w:rPr>
          <w:rFonts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如乙方出现以下违约行为，甲方可发出书面指令要求其立即纠正并承担违约所造成的损失：</w:t>
      </w:r>
    </w:p>
    <w:p w14:paraId="3EC0B731">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（1）在竣工之前，没有合理原因，完全搁置工程停止施工；</w:t>
      </w:r>
    </w:p>
    <w:p w14:paraId="0240A2D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（2）拒绝执行甲方要求其修补缺陷或更换不适用的材料和（或）物品等的书面通知；</w:t>
      </w:r>
    </w:p>
    <w:p w14:paraId="04B3523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（3）未经甲方许可，乙方擅自将其承包的分包工程转包或再分包；</w:t>
      </w:r>
    </w:p>
    <w:p w14:paraId="6E64FDF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（4）因乙方原因拖延工期，未能在约定的工期内或分段工期内完成分包工程或其中任何区段的工作； </w:t>
      </w:r>
    </w:p>
    <w:p w14:paraId="336FC73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（5）因乙方原因工程质量达不到本分包合同约定的质量标准和质量目标；</w:t>
      </w:r>
    </w:p>
    <w:p w14:paraId="623B23A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（6）合同中约定的其他违约行为。</w:t>
      </w:r>
    </w:p>
    <w:p w14:paraId="11D4D714">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 xml:space="preserve">8.1.2 </w:t>
      </w:r>
      <w:r>
        <w:rPr>
          <w:rFonts w:hint="eastAsia" w:ascii="仿宋_GB2312" w:hAnsi="仿宋_GB2312" w:eastAsia="仿宋_GB2312" w:cs="仿宋_GB2312"/>
          <w:color w:val="auto"/>
          <w:sz w:val="28"/>
          <w:szCs w:val="28"/>
          <w:highlight w:val="none"/>
        </w:rPr>
        <w:t>如乙方在接到甲方发出的书面指令后仍继续1</w:t>
      </w:r>
      <w:r>
        <w:rPr>
          <w:rFonts w:ascii="仿宋_GB2312" w:hAnsi="仿宋_GB2312" w:eastAsia="仿宋_GB2312" w:cs="仿宋_GB2312"/>
          <w:color w:val="auto"/>
          <w:sz w:val="28"/>
          <w:szCs w:val="28"/>
          <w:highlight w:val="none"/>
        </w:rPr>
        <w:t>8.1.1</w:t>
      </w:r>
      <w:r>
        <w:rPr>
          <w:rFonts w:hint="eastAsia" w:ascii="仿宋_GB2312" w:hAnsi="仿宋_GB2312" w:eastAsia="仿宋_GB2312" w:cs="仿宋_GB2312"/>
          <w:color w:val="auto"/>
          <w:sz w:val="28"/>
          <w:szCs w:val="28"/>
          <w:highlight w:val="none"/>
        </w:rPr>
        <w:t>中的违约行为，或该违约行为再次发生，甲方可选择行使如下权利：</w:t>
      </w:r>
    </w:p>
    <w:p w14:paraId="2D4BE05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（1）以书面形式通知乙方解除本分包合同；</w:t>
      </w:r>
    </w:p>
    <w:p w14:paraId="52E9A39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（2）将分包工程中的部分内容交由其他单位完成，相关费用由甲方从分包工程价款中扣除，由此给甲方造成的额外成本由乙方承担。</w:t>
      </w:r>
    </w:p>
    <w:p w14:paraId="6836F1F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18.1.</w:t>
      </w:r>
      <w:r>
        <w:rPr>
          <w:rFonts w:ascii="仿宋_GB2312" w:hAnsi="仿宋_GB2312" w:eastAsia="仿宋_GB2312" w:cs="仿宋_GB2312"/>
          <w:color w:val="auto"/>
          <w:sz w:val="28"/>
          <w:szCs w:val="28"/>
          <w:highlight w:val="none"/>
        </w:rPr>
        <w:t>3</w:t>
      </w:r>
      <w:r>
        <w:rPr>
          <w:rFonts w:hint="eastAsia" w:ascii="仿宋_GB2312" w:hAnsi="仿宋_GB2312" w:eastAsia="仿宋_GB2312" w:cs="仿宋_GB2312"/>
          <w:color w:val="auto"/>
          <w:sz w:val="28"/>
          <w:szCs w:val="28"/>
          <w:highlight w:val="none"/>
        </w:rPr>
        <w:t xml:space="preserve"> 不论何种原因导致甲方与建设单位之间的总包合同解除时，甲方与乙方之间的分包合同同时无条件解除。所发生的费用由甲、乙双方另行协商并签订补充协议。</w:t>
      </w:r>
    </w:p>
    <w:p w14:paraId="1EEC629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18.1.</w:t>
      </w:r>
      <w:r>
        <w:rPr>
          <w:rFonts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rPr>
        <w:t xml:space="preserve"> 如果乙方发生破产、解散、关闭等已不能实际履行分包合同义务的情形，甲方可在通知乙方后，解除本分包合同。</w:t>
      </w:r>
    </w:p>
    <w:p w14:paraId="6D8F5C5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18.1.</w:t>
      </w:r>
      <w:r>
        <w:rPr>
          <w:rFonts w:ascii="仿宋_GB2312" w:hAnsi="仿宋_GB2312" w:eastAsia="仿宋_GB2312" w:cs="仿宋_GB2312"/>
          <w:color w:val="auto"/>
          <w:sz w:val="28"/>
          <w:szCs w:val="28"/>
          <w:highlight w:val="none"/>
        </w:rPr>
        <w:t>5</w:t>
      </w:r>
      <w:r>
        <w:rPr>
          <w:rFonts w:hint="eastAsia" w:ascii="仿宋_GB2312" w:hAnsi="仿宋_GB2312" w:eastAsia="仿宋_GB2312" w:cs="仿宋_GB2312"/>
          <w:color w:val="auto"/>
          <w:sz w:val="28"/>
          <w:szCs w:val="28"/>
          <w:highlight w:val="none"/>
        </w:rPr>
        <w:t xml:space="preserve"> 因不可抗力发生导致全部分包合同的履行成为不可能时，甲方、乙方均有权解除合同。</w:t>
      </w:r>
    </w:p>
    <w:p w14:paraId="2FD5C6B4">
      <w:pPr>
        <w:pageBreakBefore w:val="0"/>
        <w:shd w:val="clear"/>
        <w:kinsoku/>
        <w:wordWrap/>
        <w:overflowPunct/>
        <w:topLinePunct w:val="0"/>
        <w:autoSpaceDE w:val="0"/>
        <w:autoSpaceDN w:val="0"/>
        <w:bidi w:val="0"/>
        <w:adjustRightInd w:val="0"/>
        <w:snapToGrid/>
        <w:spacing w:line="440" w:lineRule="exact"/>
        <w:ind w:firstLine="562" w:firstLineChars="200"/>
        <w:textAlignment w:val="auto"/>
        <w:rPr>
          <w:rFonts w:ascii="Times New Roman" w:hAnsi="Times New Roman" w:eastAsia="黑体"/>
          <w:b/>
          <w:color w:val="auto"/>
          <w:sz w:val="28"/>
          <w:szCs w:val="28"/>
          <w:highlight w:val="none"/>
        </w:rPr>
      </w:pPr>
      <w:r>
        <w:rPr>
          <w:rFonts w:hint="eastAsia" w:ascii="Times New Roman" w:hAnsi="Times New Roman" w:eastAsia="黑体"/>
          <w:b/>
          <w:color w:val="auto"/>
          <w:sz w:val="28"/>
          <w:szCs w:val="28"/>
          <w:highlight w:val="none"/>
        </w:rPr>
        <w:t xml:space="preserve">18.2 分包合同解除后各自的权利和责任 </w:t>
      </w:r>
    </w:p>
    <w:p w14:paraId="3734A642">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如因本合同第18.1.1条款约定的解除情形发生，甲方和乙方应具有以下权利和责任： </w:t>
      </w:r>
    </w:p>
    <w:p w14:paraId="79DAF4A9">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（1）甲方可雇佣其他单位进行并完成分包工程；</w:t>
      </w:r>
    </w:p>
    <w:p w14:paraId="5FE8EA8F">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（2）分包合同解除后【</w:t>
      </w: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】天内，经甲方同意，乙方可将用于本分包工程的任何材料、设备和其他物品的采购供货协议和租赁协议等转让给甲方或乙方的继任者；</w:t>
      </w:r>
    </w:p>
    <w:p w14:paraId="057B50D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（3）乙方应妥善做好已完工程和已购材料、设备、建筑施工图纸和全部相关资料的保护和移交工作；</w:t>
      </w:r>
    </w:p>
    <w:p w14:paraId="66D8CFE5">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当甲方以书面形式通知乙方须从现场拆除或撤出属于乙方的或由其租赁的任何临时工程、机具设备、材料和货物时，乙方应按照要求执行。如乙方未在合理的时间内按照要求执行，甲方可自行拆除（但不对任何损失或损坏负责），并有权变卖或处理任何上述属于乙方的财产。甲方在扣除因乙方违约造成的工程损失费用及处理此类财产的费用后，将剩余金额返还乙方。</w:t>
      </w:r>
    </w:p>
    <w:p w14:paraId="26AC8033">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（5）分包合同解除后【</w:t>
      </w: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】日内，乙方自身的劳务人员或其劳务分包的全体人员应退场，未撤场人员发生的费用均由乙方承担。</w:t>
      </w:r>
    </w:p>
    <w:p w14:paraId="42BEEF9B">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（6）乙方应补偿甲方因分包合同解除给甲方带来的任何损失和损害。</w:t>
      </w:r>
    </w:p>
    <w:p w14:paraId="31FAE74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（7）分包合同解除后【</w:t>
      </w:r>
      <w:r>
        <w:rPr>
          <w:rFonts w:hint="eastAsia" w:ascii="仿宋_GB2312" w:hAnsi="仿宋_GB2312" w:eastAsia="仿宋_GB2312" w:cs="仿宋_GB2312"/>
          <w:color w:val="auto"/>
          <w:sz w:val="28"/>
          <w:szCs w:val="28"/>
          <w:highlight w:val="none"/>
          <w:lang w:val="en-US" w:eastAsia="zh-CN"/>
        </w:rPr>
        <w:t>14</w:t>
      </w:r>
      <w:r>
        <w:rPr>
          <w:rFonts w:hint="eastAsia" w:ascii="仿宋_GB2312" w:hAnsi="仿宋_GB2312" w:eastAsia="仿宋_GB2312" w:cs="仿宋_GB2312"/>
          <w:color w:val="auto"/>
          <w:sz w:val="28"/>
          <w:szCs w:val="28"/>
          <w:highlight w:val="none"/>
        </w:rPr>
        <w:t>】日内，乙方应向甲方提交结算报告和结算协议供甲方审核，结算应根据甲方签字确认的已完工程量和工程量清单中确定的单价进行计算，计算时间应截至分包合同解除之日。一旦工程竣工并在甲方对工程结算核准后的合理时间内，甲方应确认因乙方原因导致分包合同解除而给总包工程带来任何直接、间接损失和损害的费用金额。如果此金额加上在分包合同解除前已付给乙方的金额超过在分包合同解除时应付而未付给乙方的工程款额时，其差额作为乙方对甲方的负债，由甲方从乙方提交的履约保函、预付款保函中予以扣回，不足时，仍可索赔；如果此金额未超过甲方应支付给乙方的工程款额时，其差额应由甲方按分包合同付款条件支付给乙方。</w:t>
      </w:r>
    </w:p>
    <w:p w14:paraId="01882E39">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50" w:name="_Toc26565"/>
      <w:r>
        <w:rPr>
          <w:rFonts w:hint="eastAsia"/>
          <w:bCs w:val="0"/>
          <w:color w:val="auto"/>
          <w:highlight w:val="none"/>
        </w:rPr>
        <w:t>1</w:t>
      </w:r>
      <w:r>
        <w:rPr>
          <w:bCs w:val="0"/>
          <w:color w:val="auto"/>
          <w:highlight w:val="none"/>
        </w:rPr>
        <w:t xml:space="preserve">9. </w:t>
      </w:r>
      <w:r>
        <w:rPr>
          <w:rFonts w:hint="eastAsia"/>
          <w:bCs w:val="0"/>
          <w:color w:val="auto"/>
          <w:highlight w:val="none"/>
        </w:rPr>
        <w:t>知识产权</w:t>
      </w:r>
      <w:bookmarkEnd w:id="850"/>
    </w:p>
    <w:p w14:paraId="6061EB7D">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 xml:space="preserve">9.1 </w:t>
      </w:r>
      <w:r>
        <w:rPr>
          <w:rFonts w:hint="eastAsia" w:ascii="仿宋_GB2312" w:hAnsi="仿宋_GB2312" w:eastAsia="仿宋_GB2312" w:cs="仿宋_GB2312"/>
          <w:color w:val="auto"/>
          <w:sz w:val="28"/>
          <w:szCs w:val="28"/>
          <w:highlight w:val="none"/>
        </w:rPr>
        <w:t>除法律规定或合同条款另有约定外，甲方提供给乙方的图纸、甲方为实施工程自行编制或委托编制的技术规范以及反映甲方要求的或其他类似性质的文件的著作权属于甲方，乙方可以为实现合同目的而复制、使用此类文件，但不能用于与合同无关的其他事项。未经甲方事先书面同意，乙方不得为了合同以外的目的而复制、使用上述文件或将之提供给任何第三方。</w:t>
      </w:r>
    </w:p>
    <w:p w14:paraId="27940FC0">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 xml:space="preserve">9.2 </w:t>
      </w:r>
      <w:r>
        <w:rPr>
          <w:rFonts w:hint="eastAsia" w:ascii="仿宋_GB2312" w:hAnsi="仿宋_GB2312" w:eastAsia="仿宋_GB2312" w:cs="仿宋_GB2312"/>
          <w:color w:val="auto"/>
          <w:sz w:val="28"/>
          <w:szCs w:val="28"/>
          <w:highlight w:val="none"/>
        </w:rPr>
        <w:t>除法律规定或合同条款另有约定外，乙方为实施工程所编制的文件，除署名权以外的著作权属于甲方，乙方可因实施工程的运行、调试、维修、改造等目的而复制、使用此类文件，但不能用于与合同无关的其他事项。未经甲方事先书面同意，乙方不得为了合同以外的目的而复制、使用上述文件或将之提供给任何第三方。</w:t>
      </w:r>
    </w:p>
    <w:p w14:paraId="762D08EC">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 xml:space="preserve">9.3 </w:t>
      </w:r>
      <w:r>
        <w:rPr>
          <w:rFonts w:hint="eastAsia" w:ascii="仿宋_GB2312" w:hAnsi="仿宋_GB2312" w:eastAsia="仿宋_GB2312" w:cs="仿宋_GB2312"/>
          <w:color w:val="auto"/>
          <w:sz w:val="28"/>
          <w:szCs w:val="28"/>
          <w:highlight w:val="none"/>
        </w:rPr>
        <w:t>除法律规定或合同条款另有约定外，乙方在合同签订前和签订时已确定采用的专利、专有技术、技术秘密的使用费已包含在签约合同价中。</w:t>
      </w:r>
    </w:p>
    <w:p w14:paraId="38BC2D36">
      <w:pPr>
        <w:pageBreakBefore w:val="0"/>
        <w:shd w:val="clear"/>
        <w:kinsoku/>
        <w:wordWrap/>
        <w:overflowPunct/>
        <w:topLinePunct w:val="0"/>
        <w:autoSpaceDE w:val="0"/>
        <w:autoSpaceDN w:val="0"/>
        <w:bidi w:val="0"/>
        <w:adjustRightInd w:val="0"/>
        <w:snapToGrid/>
        <w:spacing w:line="44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ascii="仿宋_GB2312" w:hAnsi="仿宋_GB2312" w:eastAsia="仿宋_GB2312" w:cs="仿宋_GB2312"/>
          <w:color w:val="auto"/>
          <w:sz w:val="28"/>
          <w:szCs w:val="28"/>
          <w:highlight w:val="none"/>
        </w:rPr>
        <w:t xml:space="preserve">9.4 </w:t>
      </w:r>
      <w:r>
        <w:rPr>
          <w:rFonts w:hint="eastAsia" w:ascii="仿宋_GB2312" w:hAnsi="仿宋_GB2312" w:eastAsia="仿宋_GB2312" w:cs="仿宋_GB2312"/>
          <w:color w:val="auto"/>
          <w:sz w:val="28"/>
          <w:szCs w:val="28"/>
          <w:highlight w:val="none"/>
        </w:rPr>
        <w:t>乙方保证乙方交付的成果不会侵犯甲方及任何第三方的知识产权，并保证甲方及甲方利益相关方免于遭受任何第三方基于本合同交付成果而提起任何诉讼。如果任何第三方基于本合同交付成果而针对甲方或甲方利益相关方提起任何诉讼，乙方应负责应诉，并承担所有费用，包括但不限于：诉讼费、律师费、鉴定费、罚金、赔偿金等，如甲方为自身及甲方利益相关方的利益应诉，并不免除乙方的前述义务，乙方应赔偿甲方因此遭受的前述全部损失，并及时公开澄清相关事实，使甲方声誉免受损害。</w:t>
      </w:r>
    </w:p>
    <w:p w14:paraId="261F449D">
      <w:pPr>
        <w:pStyle w:val="5"/>
        <w:pageBreakBefore w:val="0"/>
        <w:shd w:val="clear"/>
        <w:kinsoku/>
        <w:wordWrap/>
        <w:overflowPunct/>
        <w:topLinePunct w:val="0"/>
        <w:bidi w:val="0"/>
        <w:snapToGrid/>
        <w:spacing w:before="0" w:after="0" w:line="440" w:lineRule="exact"/>
        <w:ind w:left="0" w:leftChars="0" w:firstLine="562" w:firstLineChars="200"/>
        <w:textAlignment w:val="auto"/>
        <w:rPr>
          <w:bCs w:val="0"/>
          <w:color w:val="auto"/>
          <w:highlight w:val="none"/>
        </w:rPr>
      </w:pPr>
      <w:bookmarkStart w:id="851" w:name="_Toc27"/>
      <w:r>
        <w:rPr>
          <w:rFonts w:hint="eastAsia"/>
          <w:bCs w:val="0"/>
          <w:color w:val="auto"/>
          <w:highlight w:val="none"/>
        </w:rPr>
        <w:t>20.</w:t>
      </w:r>
      <w:r>
        <w:rPr>
          <w:bCs w:val="0"/>
          <w:color w:val="auto"/>
          <w:highlight w:val="none"/>
        </w:rPr>
        <w:t xml:space="preserve"> </w:t>
      </w:r>
      <w:r>
        <w:rPr>
          <w:rFonts w:hint="eastAsia"/>
          <w:bCs w:val="0"/>
          <w:color w:val="auto"/>
          <w:highlight w:val="none"/>
        </w:rPr>
        <w:t>其他约定</w:t>
      </w:r>
      <w:bookmarkEnd w:id="851"/>
    </w:p>
    <w:p w14:paraId="18980644">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 xml:space="preserve">                                                  </w:t>
      </w:r>
    </w:p>
    <w:p w14:paraId="52F38C6F">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附件1：工程量清单与计价表</w:t>
      </w:r>
    </w:p>
    <w:p w14:paraId="751A327A">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附件2：授权委托书（甲方）</w:t>
      </w:r>
    </w:p>
    <w:p w14:paraId="3BD6D1A0">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附件3：授权委托书（乙方）</w:t>
      </w:r>
    </w:p>
    <w:p w14:paraId="3B34B401">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rPr>
        <w:t>：乙方现场管理人员名单</w:t>
      </w:r>
    </w:p>
    <w:p w14:paraId="6FEA4BC6">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ascii="仿宋_GB2312" w:hAnsi="仿宋_GB2312" w:eastAsia="仿宋_GB2312" w:cs="仿宋_GB2312"/>
          <w:color w:val="auto"/>
          <w:sz w:val="28"/>
          <w:szCs w:val="28"/>
          <w:highlight w:val="none"/>
        </w:rPr>
        <w:t>5</w:t>
      </w:r>
      <w:r>
        <w:rPr>
          <w:rFonts w:hint="eastAsia" w:ascii="仿宋_GB2312" w:hAnsi="仿宋_GB2312" w:eastAsia="仿宋_GB2312" w:cs="仿宋_GB2312"/>
          <w:color w:val="auto"/>
          <w:sz w:val="28"/>
          <w:szCs w:val="28"/>
          <w:highlight w:val="none"/>
        </w:rPr>
        <w:t>：工程承包人供应材料与设备明细表</w:t>
      </w:r>
    </w:p>
    <w:p w14:paraId="0A69DABA">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ascii="仿宋_GB2312" w:hAnsi="仿宋_GB2312" w:eastAsia="仿宋_GB2312" w:cs="仿宋_GB2312"/>
          <w:color w:val="auto"/>
          <w:sz w:val="28"/>
          <w:szCs w:val="28"/>
          <w:highlight w:val="none"/>
        </w:rPr>
        <w:t>6</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项目</w:t>
      </w:r>
      <w:r>
        <w:rPr>
          <w:rFonts w:hint="eastAsia" w:ascii="仿宋_GB2312" w:hAnsi="仿宋_GB2312" w:eastAsia="仿宋_GB2312" w:cs="仿宋_GB2312"/>
          <w:color w:val="auto"/>
          <w:sz w:val="28"/>
          <w:szCs w:val="28"/>
          <w:highlight w:val="none"/>
        </w:rPr>
        <w:t>廉政合同书</w:t>
      </w:r>
    </w:p>
    <w:p w14:paraId="19F8C559">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ascii="仿宋_GB2312" w:hAnsi="仿宋_GB2312" w:eastAsia="仿宋_GB2312" w:cs="仿宋_GB2312"/>
          <w:color w:val="auto"/>
          <w:sz w:val="28"/>
          <w:szCs w:val="28"/>
          <w:highlight w:val="none"/>
        </w:rPr>
        <w:t>7</w:t>
      </w:r>
      <w:r>
        <w:rPr>
          <w:rFonts w:hint="eastAsia" w:ascii="仿宋_GB2312" w:hAnsi="仿宋_GB2312" w:eastAsia="仿宋_GB2312" w:cs="仿宋_GB2312"/>
          <w:color w:val="auto"/>
          <w:sz w:val="28"/>
          <w:szCs w:val="28"/>
          <w:highlight w:val="none"/>
        </w:rPr>
        <w:t>：工程质量专项管理协议书</w:t>
      </w:r>
    </w:p>
    <w:p w14:paraId="77B7AE83">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ascii="仿宋_GB2312" w:hAnsi="仿宋_GB2312" w:eastAsia="仿宋_GB2312" w:cs="仿宋_GB2312"/>
          <w:color w:val="auto"/>
          <w:sz w:val="28"/>
          <w:szCs w:val="28"/>
          <w:highlight w:val="none"/>
        </w:rPr>
        <w:t>8</w:t>
      </w:r>
      <w:r>
        <w:rPr>
          <w:rFonts w:hint="eastAsia" w:ascii="仿宋_GB2312" w:hAnsi="仿宋_GB2312" w:eastAsia="仿宋_GB2312" w:cs="仿宋_GB2312"/>
          <w:color w:val="auto"/>
          <w:sz w:val="28"/>
          <w:szCs w:val="28"/>
          <w:highlight w:val="none"/>
        </w:rPr>
        <w:t>：施工现场安全生产管理协议</w:t>
      </w:r>
    </w:p>
    <w:p w14:paraId="5CAEC6DB">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ascii="仿宋_GB2312" w:hAnsi="仿宋_GB2312" w:eastAsia="仿宋_GB2312" w:cs="仿宋_GB2312"/>
          <w:color w:val="auto"/>
          <w:sz w:val="28"/>
          <w:szCs w:val="28"/>
          <w:highlight w:val="none"/>
        </w:rPr>
        <w:t>9</w:t>
      </w:r>
      <w:r>
        <w:rPr>
          <w:rFonts w:hint="eastAsia" w:ascii="仿宋_GB2312" w:hAnsi="仿宋_GB2312" w:eastAsia="仿宋_GB2312" w:cs="仿宋_GB2312"/>
          <w:color w:val="auto"/>
          <w:sz w:val="28"/>
          <w:szCs w:val="28"/>
          <w:highlight w:val="none"/>
        </w:rPr>
        <w:t>：项目后勤管理协议</w:t>
      </w:r>
    </w:p>
    <w:p w14:paraId="0BE5B761">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工程</w:t>
      </w:r>
      <w:r>
        <w:rPr>
          <w:rFonts w:hint="eastAsia" w:ascii="仿宋_GB2312" w:hAnsi="仿宋_GB2312" w:eastAsia="仿宋_GB2312" w:cs="仿宋_GB2312"/>
          <w:color w:val="auto"/>
          <w:sz w:val="28"/>
          <w:szCs w:val="28"/>
          <w:highlight w:val="none"/>
        </w:rPr>
        <w:t>质量保证书</w:t>
      </w:r>
    </w:p>
    <w:p w14:paraId="55BE3E1E">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w:t>
      </w:r>
      <w:r>
        <w:rPr>
          <w:rFonts w:hint="eastAsia" w:ascii="仿宋_GB2312" w:hAnsi="仿宋_GB2312" w:eastAsia="仿宋_GB2312" w:cs="仿宋_GB2312"/>
          <w:color w:val="auto"/>
          <w:sz w:val="28"/>
          <w:szCs w:val="28"/>
          <w:highlight w:val="none"/>
          <w:lang w:val="en-US" w:eastAsia="zh-CN"/>
        </w:rPr>
        <w:t>件10</w:t>
      </w:r>
      <w:r>
        <w:rPr>
          <w:rFonts w:hint="eastAsia" w:ascii="仿宋_GB2312" w:hAnsi="仿宋_GB2312" w:eastAsia="仿宋_GB2312" w:cs="仿宋_GB2312"/>
          <w:color w:val="auto"/>
          <w:sz w:val="28"/>
          <w:szCs w:val="28"/>
          <w:highlight w:val="none"/>
        </w:rPr>
        <w:t>：工期履约管理协议书</w:t>
      </w:r>
    </w:p>
    <w:p w14:paraId="06B8AA15">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：劳务实名制管理协议</w:t>
      </w:r>
    </w:p>
    <w:p w14:paraId="756190B0">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：施工现场消防安全管理协议</w:t>
      </w:r>
    </w:p>
    <w:p w14:paraId="3AF89E75">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：施工现场临时用电安全管理协议</w:t>
      </w:r>
    </w:p>
    <w:p w14:paraId="6EE3C558">
      <w:pPr>
        <w:pageBreakBefore w:val="0"/>
        <w:shd w:val="clear"/>
        <w:kinsoku/>
        <w:wordWrap/>
        <w:overflowPunct/>
        <w:topLinePunct w:val="0"/>
        <w:autoSpaceDE w:val="0"/>
        <w:autoSpaceDN w:val="0"/>
        <w:bidi w:val="0"/>
        <w:adjustRightInd w:val="0"/>
        <w:snapToGrid/>
        <w:spacing w:line="440" w:lineRule="exact"/>
        <w:ind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：月结月清承诺书</w:t>
      </w:r>
    </w:p>
    <w:p w14:paraId="79B39879">
      <w:pPr>
        <w:pageBreakBefore w:val="0"/>
        <w:widowControl/>
        <w:shd w:val="clear"/>
        <w:kinsoku/>
        <w:wordWrap/>
        <w:overflowPunct/>
        <w:topLinePunct w:val="0"/>
        <w:bidi w:val="0"/>
        <w:snapToGrid/>
        <w:spacing w:line="440" w:lineRule="exact"/>
        <w:ind w:firstLine="560" w:firstLineChars="200"/>
        <w:jc w:val="left"/>
        <w:textAlignment w:val="auto"/>
        <w:rPr>
          <w:rFonts w:hint="default" w:ascii="仿宋_GB2312" w:hAnsi="仿宋_GB2312" w:eastAsia="仿宋_GB2312" w:cs="仿宋_GB2312"/>
          <w:color w:val="auto"/>
          <w:sz w:val="28"/>
          <w:szCs w:val="28"/>
          <w:highlight w:val="none"/>
          <w:lang w:val="en-US" w:eastAsia="zh-CN"/>
        </w:rPr>
        <w:sectPr>
          <w:headerReference r:id="rId9" w:type="default"/>
          <w:footerReference r:id="rId10" w:type="default"/>
          <w:pgSz w:w="11906" w:h="16838"/>
          <w:pgMar w:top="1134" w:right="1134" w:bottom="1134" w:left="1134" w:header="851" w:footer="992" w:gutter="0"/>
          <w:pgNumType w:fmt="decimal"/>
          <w:cols w:space="720" w:num="1"/>
          <w:formProt w:val="0"/>
          <w:docGrid w:type="lines" w:linePitch="332" w:charSpace="0"/>
        </w:sect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15</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工作联系函</w:t>
      </w:r>
    </w:p>
    <w:p w14:paraId="089D9D98">
      <w:pPr>
        <w:pageBreakBefore w:val="0"/>
        <w:widowControl/>
        <w:shd w:val="clear"/>
        <w:kinsoku/>
        <w:wordWrap/>
        <w:overflowPunct/>
        <w:topLinePunct w:val="0"/>
        <w:bidi w:val="0"/>
        <w:snapToGrid/>
        <w:spacing w:line="440" w:lineRule="exact"/>
        <w:jc w:val="left"/>
        <w:textAlignment w:val="auto"/>
        <w:rPr>
          <w:color w:val="auto"/>
          <w:highlight w:val="none"/>
        </w:rPr>
      </w:pPr>
      <w:bookmarkStart w:id="852" w:name="_Toc16892"/>
      <w:bookmarkStart w:id="853" w:name="_Toc132053711"/>
      <w:r>
        <w:rPr>
          <w:rFonts w:hint="eastAsia"/>
          <w:color w:val="auto"/>
          <w:highlight w:val="none"/>
        </w:rPr>
        <w:t xml:space="preserve">附件1  </w:t>
      </w:r>
    </w:p>
    <w:p w14:paraId="21B391B5">
      <w:pPr>
        <w:pStyle w:val="5"/>
        <w:shd w:val="clear"/>
        <w:spacing w:beforeLines="50" w:afterLines="50"/>
        <w:ind w:left="0" w:leftChars="0"/>
        <w:jc w:val="center"/>
        <w:rPr>
          <w:rFonts w:hint="eastAsia"/>
          <w:bCs w:val="0"/>
          <w:color w:val="auto"/>
          <w:sz w:val="32"/>
          <w:szCs w:val="32"/>
          <w:highlight w:val="none"/>
        </w:rPr>
      </w:pPr>
      <w:r>
        <w:rPr>
          <w:rFonts w:hint="eastAsia"/>
          <w:bCs w:val="0"/>
          <w:color w:val="auto"/>
          <w:sz w:val="32"/>
          <w:szCs w:val="32"/>
          <w:highlight w:val="none"/>
        </w:rPr>
        <w:t>广西大学机械教学实验中心大楼项目精装修工程工程量清单与计价表</w:t>
      </w:r>
      <w:bookmarkEnd w:id="852"/>
      <w:bookmarkEnd w:id="853"/>
    </w:p>
    <w:tbl>
      <w:tblPr>
        <w:tblStyle w:val="25"/>
        <w:tblW w:w="15732" w:type="dxa"/>
        <w:tblInd w:w="-43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6"/>
        <w:gridCol w:w="1032"/>
        <w:gridCol w:w="3552"/>
        <w:gridCol w:w="816"/>
        <w:gridCol w:w="360"/>
        <w:gridCol w:w="468"/>
        <w:gridCol w:w="828"/>
        <w:gridCol w:w="708"/>
        <w:gridCol w:w="744"/>
        <w:gridCol w:w="636"/>
        <w:gridCol w:w="588"/>
        <w:gridCol w:w="732"/>
        <w:gridCol w:w="768"/>
        <w:gridCol w:w="996"/>
        <w:gridCol w:w="564"/>
        <w:gridCol w:w="912"/>
        <w:gridCol w:w="1008"/>
        <w:gridCol w:w="624"/>
      </w:tblGrid>
      <w:tr w14:paraId="5DEA6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9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F56E8E">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3A938FE">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55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33E10CE">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项目特征及工作内容</w:t>
            </w: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FD5F60F">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计算规则</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5AF1DD6">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甲供材</w:t>
            </w:r>
          </w:p>
        </w:tc>
        <w:tc>
          <w:tcPr>
            <w:tcW w:w="46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6E76629">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单位</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E9EA692">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暂定工程量</w:t>
            </w:r>
          </w:p>
        </w:tc>
        <w:tc>
          <w:tcPr>
            <w:tcW w:w="417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0C093C30">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不含增值税综合单价（元）</w:t>
            </w: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ABD2DC5">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不含增值税合价（元）</w:t>
            </w:r>
          </w:p>
        </w:tc>
        <w:tc>
          <w:tcPr>
            <w:tcW w:w="5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996A8F5">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增值税税率</w:t>
            </w:r>
          </w:p>
        </w:tc>
        <w:tc>
          <w:tcPr>
            <w:tcW w:w="9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B919581">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含增值税综合单价（元）</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06530A1">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含增值税合价（元）</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20AA97A">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1CF4D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A03EE4">
            <w:pPr>
              <w:shd w:val="clear"/>
              <w:jc w:val="center"/>
              <w:rPr>
                <w:rFonts w:hint="eastAsia" w:ascii="宋体" w:hAnsi="宋体" w:eastAsia="宋体" w:cs="宋体"/>
                <w:b/>
                <w:bCs/>
                <w:i w:val="0"/>
                <w:iCs w:val="0"/>
                <w:color w:val="auto"/>
                <w:sz w:val="18"/>
                <w:szCs w:val="18"/>
                <w:highlight w:val="none"/>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08CE51">
            <w:pPr>
              <w:shd w:val="clear"/>
              <w:jc w:val="center"/>
              <w:rPr>
                <w:rFonts w:hint="eastAsia" w:ascii="宋体" w:hAnsi="宋体" w:eastAsia="宋体" w:cs="宋体"/>
                <w:b/>
                <w:bCs/>
                <w:i w:val="0"/>
                <w:iCs w:val="0"/>
                <w:color w:val="auto"/>
                <w:sz w:val="18"/>
                <w:szCs w:val="18"/>
                <w:highlight w:val="none"/>
                <w:u w:val="none"/>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EE3E8F">
            <w:pPr>
              <w:shd w:val="clear"/>
              <w:jc w:val="center"/>
              <w:rPr>
                <w:rFonts w:hint="eastAsia" w:ascii="宋体" w:hAnsi="宋体" w:eastAsia="宋体" w:cs="宋体"/>
                <w:b/>
                <w:bCs/>
                <w:i w:val="0"/>
                <w:iCs w:val="0"/>
                <w:color w:val="auto"/>
                <w:sz w:val="18"/>
                <w:szCs w:val="18"/>
                <w:highlight w:val="none"/>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128F58">
            <w:pPr>
              <w:shd w:val="clear"/>
              <w:jc w:val="center"/>
              <w:rPr>
                <w:rFonts w:hint="eastAsia" w:ascii="宋体" w:hAnsi="宋体" w:eastAsia="宋体" w:cs="宋体"/>
                <w:b/>
                <w:bCs/>
                <w:i w:val="0"/>
                <w:iCs w:val="0"/>
                <w:color w:val="auto"/>
                <w:sz w:val="18"/>
                <w:szCs w:val="18"/>
                <w:highlight w:val="none"/>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35FECA">
            <w:pPr>
              <w:shd w:val="clear"/>
              <w:jc w:val="center"/>
              <w:rPr>
                <w:rFonts w:hint="eastAsia" w:ascii="宋体" w:hAnsi="宋体" w:eastAsia="宋体" w:cs="宋体"/>
                <w:b/>
                <w:bCs/>
                <w:i w:val="0"/>
                <w:iCs w:val="0"/>
                <w:color w:val="auto"/>
                <w:sz w:val="18"/>
                <w:szCs w:val="18"/>
                <w:highlight w:val="none"/>
                <w:u w:val="none"/>
              </w:rPr>
            </w:pPr>
          </w:p>
        </w:tc>
        <w:tc>
          <w:tcPr>
            <w:tcW w:w="46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EC7134">
            <w:pPr>
              <w:shd w:val="clear"/>
              <w:jc w:val="center"/>
              <w:rPr>
                <w:rFonts w:hint="eastAsia" w:ascii="宋体" w:hAnsi="宋体" w:eastAsia="宋体" w:cs="宋体"/>
                <w:b/>
                <w:bCs/>
                <w:i w:val="0"/>
                <w:iCs w:val="0"/>
                <w:color w:val="auto"/>
                <w:sz w:val="18"/>
                <w:szCs w:val="18"/>
                <w:highlight w:val="none"/>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7AD6B4">
            <w:pPr>
              <w:shd w:val="clear"/>
              <w:jc w:val="center"/>
              <w:rPr>
                <w:rFonts w:hint="eastAsia" w:ascii="宋体" w:hAnsi="宋体" w:eastAsia="宋体" w:cs="宋体"/>
                <w:b/>
                <w:bCs/>
                <w:i w:val="0"/>
                <w:iCs w:val="0"/>
                <w:color w:val="auto"/>
                <w:sz w:val="18"/>
                <w:szCs w:val="18"/>
                <w:highlight w:val="none"/>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6FD2C">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人工费</w:t>
            </w:r>
          </w:p>
        </w:tc>
        <w:tc>
          <w:tcPr>
            <w:tcW w:w="7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89700">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主材费</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8D1D34">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辅材费</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D6EB3D">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施工机具使用费</w:t>
            </w:r>
          </w:p>
        </w:tc>
        <w:tc>
          <w:tcPr>
            <w:tcW w:w="7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DB3055">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管理费、利润及其他</w:t>
            </w: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7EEC46">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不含增值税综合单价（元）</w:t>
            </w: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01391B">
            <w:pPr>
              <w:shd w:val="clear"/>
              <w:jc w:val="center"/>
              <w:rPr>
                <w:rFonts w:hint="eastAsia" w:ascii="宋体" w:hAnsi="宋体" w:eastAsia="宋体" w:cs="宋体"/>
                <w:b/>
                <w:bCs/>
                <w:i w:val="0"/>
                <w:iCs w:val="0"/>
                <w:color w:val="auto"/>
                <w:sz w:val="18"/>
                <w:szCs w:val="18"/>
                <w:highlight w:val="none"/>
                <w:u w:val="none"/>
              </w:rPr>
            </w:pPr>
          </w:p>
        </w:tc>
        <w:tc>
          <w:tcPr>
            <w:tcW w:w="5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8559E5">
            <w:pPr>
              <w:shd w:val="clear"/>
              <w:jc w:val="center"/>
              <w:rPr>
                <w:rFonts w:hint="eastAsia" w:ascii="宋体" w:hAnsi="宋体" w:eastAsia="宋体" w:cs="宋体"/>
                <w:b/>
                <w:bCs/>
                <w:i w:val="0"/>
                <w:iCs w:val="0"/>
                <w:color w:val="auto"/>
                <w:sz w:val="18"/>
                <w:szCs w:val="18"/>
                <w:highlight w:val="none"/>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227C10">
            <w:pPr>
              <w:shd w:val="clear"/>
              <w:jc w:val="center"/>
              <w:rPr>
                <w:rFonts w:hint="eastAsia" w:ascii="宋体" w:hAnsi="宋体" w:eastAsia="宋体" w:cs="宋体"/>
                <w:b/>
                <w:bCs/>
                <w:i w:val="0"/>
                <w:iCs w:val="0"/>
                <w:color w:val="auto"/>
                <w:sz w:val="18"/>
                <w:szCs w:val="18"/>
                <w:highlight w:val="none"/>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3CA8BE">
            <w:pPr>
              <w:shd w:val="clear"/>
              <w:jc w:val="center"/>
              <w:rPr>
                <w:rFonts w:hint="eastAsia" w:ascii="宋体" w:hAnsi="宋体" w:eastAsia="宋体" w:cs="宋体"/>
                <w:b/>
                <w:bCs/>
                <w:i w:val="0"/>
                <w:iCs w:val="0"/>
                <w:color w:val="auto"/>
                <w:sz w:val="18"/>
                <w:szCs w:val="18"/>
                <w:highlight w:val="none"/>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6A9C5C">
            <w:pPr>
              <w:shd w:val="clear"/>
              <w:jc w:val="center"/>
              <w:rPr>
                <w:rFonts w:hint="eastAsia" w:ascii="宋体" w:hAnsi="宋体" w:eastAsia="宋体" w:cs="宋体"/>
                <w:b/>
                <w:bCs/>
                <w:i w:val="0"/>
                <w:iCs w:val="0"/>
                <w:color w:val="auto"/>
                <w:sz w:val="18"/>
                <w:szCs w:val="18"/>
                <w:highlight w:val="none"/>
                <w:u w:val="none"/>
              </w:rPr>
            </w:pPr>
          </w:p>
        </w:tc>
      </w:tr>
      <w:tr w14:paraId="01F83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BE898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A9991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块料楼地面</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5417D08">
            <w:pPr>
              <w:keepNext w:val="0"/>
              <w:keepLines w:val="0"/>
              <w:widowControl/>
              <w:suppressLineNumbers w:val="0"/>
              <w:shd w:val="clear"/>
              <w:jc w:val="left"/>
              <w:textAlignment w:val="bottom"/>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1.600×600玻化耐磨砖，水泥浆擦缝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2.水泥砂浆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3.部位：水泵房、阳台、休息平台、卫生间等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清理基层、调制水泥砂浆、刷素水泥浆、水泥砂浆结合层、放线、试排弹线、锯板修边、试拼瓷砖材、面层铺设及加工、磨边、嵌缝、清理净面、填缝、刷防护材料、养护，材料场内转运、成品保护等。完工后进行酸洗、打蜡</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1811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C4459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0BF9C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1F786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1334.94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42CE9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3FC1C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31B7B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7D9C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EE98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D86C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796D7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8D088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5F84C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B2395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185820">
            <w:pPr>
              <w:shd w:val="clear"/>
              <w:jc w:val="center"/>
              <w:rPr>
                <w:rFonts w:hint="eastAsia" w:ascii="宋体" w:hAnsi="宋体" w:eastAsia="宋体" w:cs="宋体"/>
                <w:i w:val="0"/>
                <w:iCs w:val="0"/>
                <w:color w:val="auto"/>
                <w:sz w:val="18"/>
                <w:szCs w:val="18"/>
                <w:highlight w:val="none"/>
                <w:u w:val="none"/>
              </w:rPr>
            </w:pPr>
          </w:p>
        </w:tc>
      </w:tr>
      <w:tr w14:paraId="1F0EE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6"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EE7DA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D6E9B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块料楼地面</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0A0E3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1.800×800玻化耐磨砖，水泥浆擦缝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2.水泥砂浆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3.2厚素水泥结合层一遍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4.部位：楼梯间、电梯厅、前室、值班室、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门厅、工作室、地上过道、接待厅、茶水间、休息区等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作内容包括但不限于：清理基层、调制水泥砂浆、刷素水泥浆、水泥砂浆结合层、放线、试排弹线、锯板修边、试拼瓷砖材、面层铺设及加工、磨边、嵌缝、清理净面、填缝、刷防护材料、养护，材料场内转运、成品保护等。完工后进行酸洗、打蜡</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324EB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690CD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0C39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4A6DF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17210.42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A135B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07FE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6DF17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68F5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F7414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2139F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1DFD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1D896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F94CA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E0ABA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9A58D4">
            <w:pPr>
              <w:shd w:val="clear"/>
              <w:jc w:val="center"/>
              <w:rPr>
                <w:rFonts w:hint="eastAsia" w:ascii="宋体" w:hAnsi="宋体" w:eastAsia="宋体" w:cs="宋体"/>
                <w:i w:val="0"/>
                <w:iCs w:val="0"/>
                <w:color w:val="auto"/>
                <w:sz w:val="18"/>
                <w:szCs w:val="18"/>
                <w:highlight w:val="none"/>
                <w:u w:val="none"/>
              </w:rPr>
            </w:pPr>
          </w:p>
        </w:tc>
      </w:tr>
      <w:tr w14:paraId="56561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9186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1014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块料楼梯面层</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3BE0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1.800×800玻化耐磨砖，水泥浆擦缝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2.水泥砂浆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3.2厚素水泥结合层一遍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4.部位：楼梯等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作内容包括但不限于：清理基层、调制水泥砂浆、刷素水泥浆、水泥砂浆结合层、放线、试排弹线、锯板修边、试拼瓷砖材、面层铺设及加工、磨边、嵌缝、清理净面、填缝、刷防护材料、养护、防滑处理，材料场内转运、成品保护等。完工后进行酸洗、打蜡</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A873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A8A3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8ECD9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FCB48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864.80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31A74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D8D6B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DCB5B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9A68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A4F10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77E2A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938FC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1571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997D5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A634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46AEF5">
            <w:pPr>
              <w:shd w:val="clear"/>
              <w:jc w:val="center"/>
              <w:rPr>
                <w:rFonts w:hint="eastAsia" w:ascii="宋体" w:hAnsi="宋体" w:eastAsia="宋体" w:cs="宋体"/>
                <w:i w:val="0"/>
                <w:iCs w:val="0"/>
                <w:color w:val="auto"/>
                <w:sz w:val="18"/>
                <w:szCs w:val="18"/>
                <w:highlight w:val="none"/>
                <w:u w:val="none"/>
              </w:rPr>
            </w:pPr>
          </w:p>
        </w:tc>
      </w:tr>
      <w:tr w14:paraId="75A8D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41DFD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8619D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块料楼地面</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6A25C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1.30厚耐酸瓷砖，砖树脂胶泥铺贴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2.5厚环氧树脂胶泥结合层，1.5厚聚氨酯隔离层，撒适量石英砂，基层处理剂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3.部位：纯水机房等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清理基层、调制水泥砂浆、刷素水泥浆、水泥砂浆结合层、放线、试排弹线、锯板修边、试拼瓷砖材、面层铺设及加工、磨边、嵌缝、清理净面、填缝、刷防护材料、养护，材料场内转运、成品保护等。完工后进行酸洗、打蜡</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D622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2403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01B3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72593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62.15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F6641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D82D4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41AE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CBC8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34C22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AF4E1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FBBE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9A37E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ACFA1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5904E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B0FB15">
            <w:pPr>
              <w:shd w:val="clear"/>
              <w:jc w:val="center"/>
              <w:rPr>
                <w:rFonts w:hint="eastAsia" w:ascii="宋体" w:hAnsi="宋体" w:eastAsia="宋体" w:cs="宋体"/>
                <w:i w:val="0"/>
                <w:iCs w:val="0"/>
                <w:color w:val="auto"/>
                <w:sz w:val="18"/>
                <w:szCs w:val="18"/>
                <w:highlight w:val="none"/>
                <w:u w:val="none"/>
              </w:rPr>
            </w:pPr>
          </w:p>
        </w:tc>
      </w:tr>
      <w:tr w14:paraId="08EEC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F4EE4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3053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现浇水磨石楼地面</w:t>
            </w:r>
          </w:p>
        </w:tc>
        <w:tc>
          <w:tcPr>
            <w:tcW w:w="3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A375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1.15厚1:2水磨石面层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2.水泥砂浆(做法参照图纸)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3.部位：大型器材室、储藏室、工具间（楼5）等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清理基层、调制水泥砂浆、刷素水泥浆、水泥砂浆结合层、放线、试排弹线、锯板修边、试拼瓷砖材、面层铺设及加工、磨边、嵌缝、清理净面、玻璃分隔、填缝、刷防护材料、养护、分格、嵌条，材料场内转运、成品保护等。完工后进行酸洗、打蜡</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28F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873BA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EACA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96C04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2250.45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B0334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21B4C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30AFB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2379C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6FD4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1C7F0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60DC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CF7F1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1F224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732F8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A2363D">
            <w:pPr>
              <w:shd w:val="clear"/>
              <w:jc w:val="center"/>
              <w:rPr>
                <w:rFonts w:hint="eastAsia" w:ascii="宋体" w:hAnsi="宋体" w:eastAsia="宋体" w:cs="宋体"/>
                <w:i w:val="0"/>
                <w:iCs w:val="0"/>
                <w:color w:val="auto"/>
                <w:sz w:val="18"/>
                <w:szCs w:val="18"/>
                <w:highlight w:val="none"/>
                <w:u w:val="none"/>
              </w:rPr>
            </w:pPr>
          </w:p>
        </w:tc>
      </w:tr>
      <w:tr w14:paraId="6DA3E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0D000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516D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现浇水磨石楼地面</w:t>
            </w:r>
          </w:p>
        </w:tc>
        <w:tc>
          <w:tcPr>
            <w:tcW w:w="3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2C15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1.10厚1:2.5水磨石面层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2.水泥砂浆(做法参照图纸)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3.部位：消防控制室、弱电机房（楼4）等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清理基层、调制水泥砂浆、刷素水泥浆、水泥砂浆结合层、放线、试排弹线、锯板修边、试拼瓷砖材、面层铺设及加工、磨边、嵌缝、清理净面、分缝、玻璃分隔、填缝、刷防护材料、养护、分格、嵌条，材料场内转运、成品保护等。完工后进行酸洗、打蜡</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4EAE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BB65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702E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A9F4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100.00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CC05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04E77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70431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A29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F8F55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A217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D310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04159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2F2C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7F52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ACD13F">
            <w:pPr>
              <w:shd w:val="clear"/>
              <w:jc w:val="center"/>
              <w:rPr>
                <w:rFonts w:hint="eastAsia" w:ascii="宋体" w:hAnsi="宋体" w:eastAsia="宋体" w:cs="宋体"/>
                <w:i w:val="0"/>
                <w:iCs w:val="0"/>
                <w:color w:val="auto"/>
                <w:sz w:val="18"/>
                <w:szCs w:val="18"/>
                <w:highlight w:val="none"/>
                <w:u w:val="none"/>
              </w:rPr>
            </w:pPr>
          </w:p>
        </w:tc>
      </w:tr>
      <w:tr w14:paraId="7164D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A8557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1520C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金刚砂地面</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6B734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1、3厚非金属耐磨材料，详图纸及具体施工要求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包括但不限于：清理基层，调运胶泥，刷稀胶泥，酸化清洗；选石、表面洗刷干净、砂浆找平、铺卵石；清洁处理地面、打磨除尘、补腻子、分层涂刷、镘刀刮面、机械振实、抹平机压实抹光；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62A02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F158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33C7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4B22C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2000.00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1D6E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C1B4F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F63EA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04393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F5E99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9A982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82D06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353E5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10087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82934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7EDD4E">
            <w:pPr>
              <w:shd w:val="clear"/>
              <w:jc w:val="center"/>
              <w:rPr>
                <w:rFonts w:hint="eastAsia" w:ascii="宋体" w:hAnsi="宋体" w:eastAsia="宋体" w:cs="宋体"/>
                <w:i w:val="0"/>
                <w:iCs w:val="0"/>
                <w:color w:val="auto"/>
                <w:sz w:val="18"/>
                <w:szCs w:val="18"/>
                <w:highlight w:val="none"/>
                <w:u w:val="none"/>
              </w:rPr>
            </w:pPr>
          </w:p>
        </w:tc>
      </w:tr>
      <w:tr w14:paraId="3B0F6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1C51F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0E65C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细石混凝土找坡</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649B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1、综合考虑各种厚度、各种标号的混凝土面层；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2、工作内容包含但不限于：清理、素土夯实、砼浇筑养护、压光、切缝、分隔缝的处理等全部工作内容。乙方应自行配备上述工程施工所需的全部小型工具和辅材。</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3A5B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0E0A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D99B5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276C0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2000.00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E0DE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E1097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E9D77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BC3B4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9F09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B56CA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C9F32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D7FA3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F0236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F3027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87ADF5">
            <w:pPr>
              <w:shd w:val="clear"/>
              <w:jc w:val="center"/>
              <w:rPr>
                <w:rFonts w:hint="eastAsia" w:ascii="宋体" w:hAnsi="宋体" w:eastAsia="宋体" w:cs="宋体"/>
                <w:i w:val="0"/>
                <w:iCs w:val="0"/>
                <w:color w:val="auto"/>
                <w:sz w:val="18"/>
                <w:szCs w:val="18"/>
                <w:highlight w:val="none"/>
                <w:u w:val="none"/>
              </w:rPr>
            </w:pPr>
          </w:p>
        </w:tc>
      </w:tr>
      <w:tr w14:paraId="74DE5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16BAE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89B92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PVC塑料管排水浅沟</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74D9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1、预埋DN150PVC管，管底沿板面敷设，具体做法详图纸；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2、工作内容包含但不限于：打（留）堵洞孔、切管、预埋、调制、对口、粘接、管道、管件及管卡安装、灌水试验、通球试验等。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00666">
            <w:pPr>
              <w:keepNext w:val="0"/>
              <w:keepLines w:val="0"/>
              <w:widowControl/>
              <w:suppressLineNumbers w:val="0"/>
              <w:shd w:val="clear"/>
              <w:jc w:val="both"/>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按实际施工以排水浅沟中心线长度计</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E4677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77C4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A7DFF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150.00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D0998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82BC5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21BB4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DAA08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65F1F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A15DD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ED8EC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A7CC1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D0C2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D631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A1C67">
            <w:pPr>
              <w:shd w:val="clear"/>
              <w:jc w:val="center"/>
              <w:rPr>
                <w:rFonts w:hint="eastAsia" w:ascii="宋体" w:hAnsi="宋体" w:eastAsia="宋体" w:cs="宋体"/>
                <w:i w:val="0"/>
                <w:iCs w:val="0"/>
                <w:color w:val="auto"/>
                <w:sz w:val="18"/>
                <w:szCs w:val="18"/>
                <w:highlight w:val="none"/>
                <w:u w:val="none"/>
              </w:rPr>
            </w:pPr>
          </w:p>
        </w:tc>
      </w:tr>
      <w:tr w14:paraId="2FE4A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28F4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0BFED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水泥砂浆找平层(厚度综合考虑)</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A0657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1、包工包料包机械，水泥、砂子、砂浆等；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2、地面做砂浆前对混凝土楼板面清理、抓毛；</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3、水泥砂浆地面找平，素水泥浆，厚度综合考虑，包括R角施工，不另计算；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4、具体详见施工图建筑构造做法及施工要求。</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84499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9DCC5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0E1A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3344E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15000.00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438E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7A690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6D4F5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D3953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29026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664FA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D97F4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1D6DF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ECCCC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871A4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3A2185">
            <w:pPr>
              <w:shd w:val="clear"/>
              <w:jc w:val="center"/>
              <w:rPr>
                <w:rFonts w:hint="eastAsia" w:ascii="宋体" w:hAnsi="宋体" w:eastAsia="宋体" w:cs="宋体"/>
                <w:i w:val="0"/>
                <w:iCs w:val="0"/>
                <w:color w:val="auto"/>
                <w:sz w:val="18"/>
                <w:szCs w:val="18"/>
                <w:highlight w:val="none"/>
                <w:u w:val="none"/>
              </w:rPr>
            </w:pPr>
          </w:p>
        </w:tc>
      </w:tr>
      <w:tr w14:paraId="2FC21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622D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9C1B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块料踢脚线</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438D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1.玻化耐磨砖，干水泥擦缝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2.5厚水泥砂浆加水重20%的801胶镶贴、水泥砂浆打底、界面剂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3.部位：楼梯间及楼梯踏步、工作室、研讨室、走道、楼</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梯间、茶水间、休息区等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4.工作内容包括但不限于：清理基层、调制水泥砂浆、刷素水泥浆、水泥砂浆结合层、放线、试排弹线、锯板修边、面层铺设及磨边、嵌缝、清理净面、填缝、刷防护材料、养护，材料场内转运、成品保护等。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3DE72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8927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2381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AC7BE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1393.33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31E61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9FB8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A2B25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FF1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0BB16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87E2B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B0E3A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18A5F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187BB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BEFE4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4EA0BE">
            <w:pPr>
              <w:shd w:val="clear"/>
              <w:jc w:val="center"/>
              <w:rPr>
                <w:rFonts w:hint="eastAsia" w:ascii="宋体" w:hAnsi="宋体" w:eastAsia="宋体" w:cs="宋体"/>
                <w:i w:val="0"/>
                <w:iCs w:val="0"/>
                <w:color w:val="auto"/>
                <w:sz w:val="18"/>
                <w:szCs w:val="18"/>
                <w:highlight w:val="none"/>
                <w:u w:val="none"/>
              </w:rPr>
            </w:pPr>
          </w:p>
        </w:tc>
      </w:tr>
      <w:tr w14:paraId="7E77C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41D0B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EFE4B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块料柱面、墙面</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454D7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1.8～10厚300×600墙砖，白水泥浆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擦缝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2.4～5厚M20水泥砂浆加水重20%的</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801胶镶贴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3.2厚素水泥浆一遍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4.工作内容包括但不限于：清理基层、调制水泥砂浆、刷素水泥浆、水泥砂浆结合层、放线、试排弹线、锯板修边、面层铺设及磨边、嵌缝、清理净面、填缝、刷防护材料、养护，材料场内转运、成品保护等。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DA807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1B2D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D3E6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B59A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2982.35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3811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AF4F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0430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3A884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AC6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F327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4D8E0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3332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7A6A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BB732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29462E">
            <w:pPr>
              <w:shd w:val="clear"/>
              <w:jc w:val="center"/>
              <w:rPr>
                <w:rFonts w:hint="eastAsia" w:ascii="宋体" w:hAnsi="宋体" w:eastAsia="宋体" w:cs="宋体"/>
                <w:i w:val="0"/>
                <w:iCs w:val="0"/>
                <w:color w:val="auto"/>
                <w:sz w:val="18"/>
                <w:szCs w:val="18"/>
                <w:highlight w:val="none"/>
                <w:u w:val="none"/>
              </w:rPr>
            </w:pPr>
          </w:p>
        </w:tc>
      </w:tr>
      <w:tr w14:paraId="68D65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4FE7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AD09D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块料柱面、墙面</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0007F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1.玻化耐磨砖300×600，白水泥浆擦缝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2.5厚M20水泥砂浆加水重20%的801胶镶贴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3.砂浆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4.工作内容包括但不限于：清理基层、调制水泥砂浆、刷素水泥浆、水泥砂浆结合层、放线、试排弹线、锯板修边、面层铺设及磨边、嵌缝、清理净面、填缝、刷防护材料、养护，材料场内转运、成品保护等。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B1DE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DDAE9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8A837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43C5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589.85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4E9DB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2777F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9002C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42C59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7B09A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7B3CE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526B4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AD40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6D87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1FCAA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DEC697">
            <w:pPr>
              <w:shd w:val="clear"/>
              <w:jc w:val="center"/>
              <w:rPr>
                <w:rFonts w:hint="eastAsia" w:ascii="宋体" w:hAnsi="宋体" w:eastAsia="宋体" w:cs="宋体"/>
                <w:i w:val="0"/>
                <w:iCs w:val="0"/>
                <w:color w:val="auto"/>
                <w:sz w:val="18"/>
                <w:szCs w:val="18"/>
                <w:highlight w:val="none"/>
                <w:u w:val="none"/>
              </w:rPr>
            </w:pPr>
          </w:p>
        </w:tc>
      </w:tr>
      <w:tr w14:paraId="18705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DFF82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A0F9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块料墙面</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957DD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1.300×600釉面砖，白水泥擦缝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2.4~5厚M20水泥砂浆加水重20%的801胶镶贴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3.砂浆掺入防水剂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4.工作内容包括但不限于：清理基层、调制水泥砂浆、刷素水泥浆、水泥砂浆结合层、放线、试排弹线、锯板修边、面层铺设及磨边、嵌缝、清理净面、填缝、刷防护材料、养护，材料场内转运、成品保护等。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5821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50A7C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944E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1D2F6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2110.66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5B6E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E8C28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547A1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DA9F5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64C54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DE43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02024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751BE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F40D0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C9057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A86825">
            <w:pPr>
              <w:shd w:val="clear"/>
              <w:jc w:val="center"/>
              <w:rPr>
                <w:rFonts w:hint="eastAsia" w:ascii="宋体" w:hAnsi="宋体" w:eastAsia="宋体" w:cs="宋体"/>
                <w:i w:val="0"/>
                <w:iCs w:val="0"/>
                <w:color w:val="auto"/>
                <w:sz w:val="18"/>
                <w:szCs w:val="18"/>
                <w:highlight w:val="none"/>
                <w:u w:val="none"/>
              </w:rPr>
            </w:pPr>
          </w:p>
        </w:tc>
      </w:tr>
      <w:tr w14:paraId="594E4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C5C1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1AD3D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花池贴砖</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D6E0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1.10厚瓷砖</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2.20厚水泥砂浆镶贴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3.工作内容包括但不限于：清理基层、调制水泥砂浆、刷素水泥浆、水泥砂浆结合层、放线、试排弹线、锯板修边、面层铺设及磨边、嵌缝、清理净面、填缝、刷防护材料、养护，材料场内转运、成品保护等。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4DA95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6831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26130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D9A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59.40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5E67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8592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DB576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EBCD3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55FED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3160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68ED0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A50B6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510E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3E44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2CC58B">
            <w:pPr>
              <w:shd w:val="clear"/>
              <w:jc w:val="center"/>
              <w:rPr>
                <w:rFonts w:hint="eastAsia" w:ascii="宋体" w:hAnsi="宋体" w:eastAsia="宋体" w:cs="宋体"/>
                <w:i w:val="0"/>
                <w:iCs w:val="0"/>
                <w:color w:val="auto"/>
                <w:sz w:val="18"/>
                <w:szCs w:val="18"/>
                <w:highlight w:val="none"/>
                <w:u w:val="none"/>
              </w:rPr>
            </w:pPr>
          </w:p>
        </w:tc>
      </w:tr>
      <w:tr w14:paraId="78AA8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AAB91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3ACDF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电梯不锈钢门套</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F637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1、门材质、规格、厚度：以深化图为准；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2、工作内容包括但不限于：复核现场门洞口尺寸、校正门框扇、凿洞、安装门、塞缝、周边塞口及封堵处理、放样、划线、裁料、平直、钻孔、拼装、焊接、成品校正、成品堆放及成品保护等。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03C42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A8477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CA68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FAA8D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101.00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67C7D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25BA4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84F8E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B2FB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C8126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FE517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4190D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EB3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61BA7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7135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CCDB29">
            <w:pPr>
              <w:shd w:val="clear"/>
              <w:jc w:val="center"/>
              <w:rPr>
                <w:rFonts w:hint="eastAsia" w:ascii="宋体" w:hAnsi="宋体" w:eastAsia="宋体" w:cs="宋体"/>
                <w:i w:val="0"/>
                <w:iCs w:val="0"/>
                <w:color w:val="auto"/>
                <w:sz w:val="18"/>
                <w:szCs w:val="18"/>
                <w:highlight w:val="none"/>
                <w:u w:val="none"/>
              </w:rPr>
            </w:pPr>
          </w:p>
        </w:tc>
      </w:tr>
      <w:tr w14:paraId="4327D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7277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17</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CEA9E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防静电活动地板</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top"/>
          </w:tcPr>
          <w:p w14:paraId="5B786557">
            <w:pPr>
              <w:keepNext w:val="0"/>
              <w:keepLines w:val="0"/>
              <w:widowControl/>
              <w:suppressLineNumbers w:val="0"/>
              <w:shd w:val="clear"/>
              <w:jc w:val="left"/>
              <w:textAlignment w:val="top"/>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1.250高防静电活动地板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2.5mm防火保温棉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3.部位：消防控制室、弱电机房等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4.工作内容包含但不限于：基层清理、龙骨铺设、基层铺设、面层铺贴，材料供应、运输、装卸、场内转运、成品保护等。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07C22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A0FC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928B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CAD5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86.37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DE3E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065E0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8629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E8296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2637A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ABF25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2E6C0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113D8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AFFA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09ADA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EE4F24">
            <w:pPr>
              <w:shd w:val="clear"/>
              <w:jc w:val="center"/>
              <w:rPr>
                <w:rFonts w:hint="eastAsia" w:ascii="宋体" w:hAnsi="宋体" w:eastAsia="宋体" w:cs="宋体"/>
                <w:i w:val="0"/>
                <w:iCs w:val="0"/>
                <w:color w:val="auto"/>
                <w:sz w:val="18"/>
                <w:szCs w:val="18"/>
                <w:highlight w:val="none"/>
                <w:u w:val="none"/>
              </w:rPr>
            </w:pPr>
          </w:p>
        </w:tc>
      </w:tr>
      <w:tr w14:paraId="0088E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AAAA2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A4A6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吸音板墙面</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1A89B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1.4×20铝压条，详图纸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2.钉铝板网一层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3.玻璃布一层绷紧固定于龙骨表面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4.40厚岩棉毡，用建筑胶沾剂粘贴于</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龙骨档内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5.50×50×0.7轻钢龙骨，用膨胀螺栓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 xml:space="preserve">与墙面固定，中距600 </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工作内容包括但不限于：清理基层、定位、弹线、骨架制作及安装、清洗面板、钻孔成槽、安装墙体固定连接件（螺栓）、挂板，材料场内转运、成品保护等。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9BB33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6A366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7CCF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8F071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2307.49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6F520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E6826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5B9A2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A0790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81A3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CA422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AF272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EB289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90AB4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4059B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7C7C53">
            <w:pPr>
              <w:shd w:val="clear"/>
              <w:jc w:val="center"/>
              <w:rPr>
                <w:rFonts w:hint="eastAsia" w:ascii="宋体" w:hAnsi="宋体" w:eastAsia="宋体" w:cs="宋体"/>
                <w:i w:val="0"/>
                <w:iCs w:val="0"/>
                <w:color w:val="auto"/>
                <w:sz w:val="18"/>
                <w:szCs w:val="18"/>
                <w:highlight w:val="none"/>
                <w:u w:val="none"/>
              </w:rPr>
            </w:pPr>
          </w:p>
        </w:tc>
      </w:tr>
      <w:tr w14:paraId="47DD3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7FC4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19</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84DCC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吊顶天棚</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BD88F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1、龙骨材料种类、规格、中距：配套金属龙骨；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2、面层材料品种、规格：600×600铝板面层；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1）基层清理；（2）定位、弹线、膨胀螺栓及吊件安装；（3）选料、下料组装、吊装；（4）安装龙骨及横撑、临时固定支撑；（5）预留空洞、安、封边龙骨、压条；（6）调整、校正；（7）安装吊顶面层；（8）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A6201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5811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7C72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0A149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16834.37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418A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8E579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277C1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6263B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0AA2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04EA5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4CD5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1B112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D8837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5B5A5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FF740C">
            <w:pPr>
              <w:shd w:val="clear"/>
              <w:jc w:val="center"/>
              <w:rPr>
                <w:rFonts w:hint="eastAsia" w:ascii="宋体" w:hAnsi="宋体" w:eastAsia="宋体" w:cs="宋体"/>
                <w:i w:val="0"/>
                <w:iCs w:val="0"/>
                <w:color w:val="auto"/>
                <w:sz w:val="18"/>
                <w:szCs w:val="18"/>
                <w:highlight w:val="none"/>
                <w:u w:val="none"/>
              </w:rPr>
            </w:pPr>
          </w:p>
        </w:tc>
      </w:tr>
      <w:tr w14:paraId="04FA4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6"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B904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F929E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吊顶天棚</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F1B1C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1、龙骨材料种类、规格、中距：铝合金配套T型龙骨，双向中距600；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2、面层材料品种、规格：15厚600×600玻璃棉装饰吸音板搁置于龙骨翼缘上；</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1）基层清理；（2）定位、弹线、膨胀螺栓及吊件安装；（3）选料、下料组装、吊装；（4）安装龙骨及横撑、临时固定支撑；（5）预留空洞、安、封边龙骨、压条；（6）调整、校正；（7）安装吊顶面层；（8）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29D37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B37A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1077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C4D28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1123.31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32BE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04703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4F83F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A376A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6E7AB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99AF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E8AC2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2B23A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C581A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817D0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2B1E3">
            <w:pPr>
              <w:shd w:val="clear"/>
              <w:jc w:val="center"/>
              <w:rPr>
                <w:rFonts w:hint="eastAsia" w:ascii="宋体" w:hAnsi="宋体" w:eastAsia="宋体" w:cs="宋体"/>
                <w:i w:val="0"/>
                <w:iCs w:val="0"/>
                <w:color w:val="auto"/>
                <w:sz w:val="18"/>
                <w:szCs w:val="18"/>
                <w:highlight w:val="none"/>
                <w:u w:val="none"/>
              </w:rPr>
            </w:pPr>
          </w:p>
        </w:tc>
      </w:tr>
      <w:tr w14:paraId="436A1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992A1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0099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墙面喷（刷）涂料</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F5CA3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1.抹涂0.5厚石粉类无机涂料面层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2.抹涂0.8厚石粉类涂料二遍找平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3.涂刷封底漆封底，素水泥浆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4.工作内容包括但不限于：清扫、配浆、找补腻子、照灯打磨、刷涂料，材料供应、运输、装卸、场内转运、成品保护等。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C7B9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853DA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1E85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333C1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29847.04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3536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EF2C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AD095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C05E0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2468A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33DE6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2CF9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64B9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75DD3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45B85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13DF08">
            <w:pPr>
              <w:shd w:val="clear"/>
              <w:jc w:val="center"/>
              <w:rPr>
                <w:rFonts w:hint="eastAsia" w:ascii="宋体" w:hAnsi="宋体" w:eastAsia="宋体" w:cs="宋体"/>
                <w:i w:val="0"/>
                <w:iCs w:val="0"/>
                <w:color w:val="auto"/>
                <w:sz w:val="18"/>
                <w:szCs w:val="18"/>
                <w:highlight w:val="none"/>
                <w:u w:val="none"/>
              </w:rPr>
            </w:pPr>
          </w:p>
        </w:tc>
      </w:tr>
      <w:tr w14:paraId="289A0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4399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22</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AC5A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墙面喷（刷）涂料</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8005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1.涂刷封底漆封底、面漆，素水泥浆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2.工作内容包括但不限于：清扫、配浆、找补腻子、照灯打磨、刷涂料，材料供应、运输、装卸、场内转运、成品保护等。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BB224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77C9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A1B9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97E16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29847.04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84841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EF124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36ADC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5B6C2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3E6D6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685F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46F67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0F4E3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F4C7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AD275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747B37">
            <w:pPr>
              <w:shd w:val="clear"/>
              <w:jc w:val="center"/>
              <w:rPr>
                <w:rFonts w:hint="eastAsia" w:ascii="宋体" w:hAnsi="宋体" w:eastAsia="宋体" w:cs="宋体"/>
                <w:i w:val="0"/>
                <w:iCs w:val="0"/>
                <w:color w:val="auto"/>
                <w:sz w:val="18"/>
                <w:szCs w:val="18"/>
                <w:highlight w:val="none"/>
                <w:u w:val="none"/>
              </w:rPr>
            </w:pPr>
          </w:p>
        </w:tc>
      </w:tr>
      <w:tr w14:paraId="0FA5C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03457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23</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DC8E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墙面满刮腻子</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21127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1、腻子种类：面刮3厚白色钢化腻子；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2、刮腻子遍数：一底二面；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3、工作内容包括但不限于：清理、修补基层、满刮腻子、罩面、抛光，材料供应、运输、装卸、场内转运、成品保护等。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B4ADF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A163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23FFA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AD234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19496.48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C3A47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26CE7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0BDC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BF371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1DE4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E73DD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7132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17D81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EAB4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DEB95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F42F26">
            <w:pPr>
              <w:shd w:val="clear"/>
              <w:jc w:val="center"/>
              <w:rPr>
                <w:rFonts w:hint="eastAsia" w:ascii="宋体" w:hAnsi="宋体" w:eastAsia="宋体" w:cs="宋体"/>
                <w:i w:val="0"/>
                <w:iCs w:val="0"/>
                <w:color w:val="auto"/>
                <w:sz w:val="18"/>
                <w:szCs w:val="18"/>
                <w:highlight w:val="none"/>
                <w:u w:val="none"/>
              </w:rPr>
            </w:pPr>
          </w:p>
        </w:tc>
      </w:tr>
      <w:tr w14:paraId="55068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D3D62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1DFCE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墙面满刮腻子</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E563A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1、腻子种类：面刮2厚耐水腻子；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2、刮腻子遍数：详图纸及具体要求；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3、工作内容包括但不限于：清理、修补基层、满刮腻子、罩面、抛光，材料供应、运输、装卸、场内转运、成品保护等。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35417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8563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09E0C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F0FD5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668.32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8260D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074A2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397A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4029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653E9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7368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60E4D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964B8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6F572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9B127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C9EDDB">
            <w:pPr>
              <w:shd w:val="clear"/>
              <w:jc w:val="center"/>
              <w:rPr>
                <w:rFonts w:hint="eastAsia" w:ascii="宋体" w:hAnsi="宋体" w:eastAsia="宋体" w:cs="宋体"/>
                <w:i w:val="0"/>
                <w:iCs w:val="0"/>
                <w:color w:val="auto"/>
                <w:sz w:val="18"/>
                <w:szCs w:val="18"/>
                <w:highlight w:val="none"/>
                <w:u w:val="none"/>
              </w:rPr>
            </w:pPr>
          </w:p>
        </w:tc>
      </w:tr>
      <w:tr w14:paraId="3107B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DE88A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C082D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天棚满刮腻子</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D0340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1、腻子种类：面刮2厚水泥腻子掺建筑胶水5%；</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2、刮腻子遍数：二遍成活并刮平；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3、工作内容包括但不限于：清理、修补基层、满刮腻子、罩面、抛光，材料供应、运输、装卸、场内转运、成品保护等。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B7E1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AD02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451D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D1D1E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1800.38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2D477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EDE28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D25B5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B5C1D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3F61E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764B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13547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0A9BA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9F680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F1449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D4AFB0">
            <w:pPr>
              <w:shd w:val="clear"/>
              <w:jc w:val="center"/>
              <w:rPr>
                <w:rFonts w:hint="eastAsia" w:ascii="宋体" w:hAnsi="宋体" w:eastAsia="宋体" w:cs="宋体"/>
                <w:i w:val="0"/>
                <w:iCs w:val="0"/>
                <w:color w:val="auto"/>
                <w:sz w:val="18"/>
                <w:szCs w:val="18"/>
                <w:highlight w:val="none"/>
                <w:u w:val="none"/>
              </w:rPr>
            </w:pPr>
          </w:p>
        </w:tc>
      </w:tr>
      <w:tr w14:paraId="14862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EFB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26</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CE24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天棚涂料</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69CB5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1.石粉类无机涂料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2.一底二面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3.含涂刷封底漆封底，素水泥浆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4.工作内容包括但不限于：清扫、配浆、找补腻子、照灯打磨、刷涂料，材料供应、运输、装卸、场内转运、成品保护等。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5036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90E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0D030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AB814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5628.06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F1DA3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88B6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A7C7B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43D21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BBBFD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A1D6A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DF96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B7067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007EB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3FCDA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423866">
            <w:pPr>
              <w:shd w:val="clear"/>
              <w:jc w:val="center"/>
              <w:rPr>
                <w:rFonts w:hint="eastAsia" w:ascii="宋体" w:hAnsi="宋体" w:eastAsia="宋体" w:cs="宋体"/>
                <w:i w:val="0"/>
                <w:iCs w:val="0"/>
                <w:color w:val="auto"/>
                <w:sz w:val="18"/>
                <w:szCs w:val="18"/>
                <w:highlight w:val="none"/>
                <w:u w:val="none"/>
              </w:rPr>
            </w:pPr>
          </w:p>
        </w:tc>
      </w:tr>
      <w:tr w14:paraId="6FF19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9F80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27</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3C0D2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天棚涂料</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169FF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1.含涂刷封底漆封底、面漆，素水泥浆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2.工作内容包括但不限于：清扫、配浆、找补腻子、照灯打磨、刷涂料，材料供应、运输、装卸、场内转运、成品保护等。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4612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5CFE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3CAB3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08E2B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5628.06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A4A85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BD34D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D0AA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405E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5787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34BC4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EC5D9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2052A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1A22F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A843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ED51E1">
            <w:pPr>
              <w:shd w:val="clear"/>
              <w:jc w:val="center"/>
              <w:rPr>
                <w:rFonts w:hint="eastAsia" w:ascii="宋体" w:hAnsi="宋体" w:eastAsia="宋体" w:cs="宋体"/>
                <w:i w:val="0"/>
                <w:iCs w:val="0"/>
                <w:color w:val="auto"/>
                <w:sz w:val="18"/>
                <w:szCs w:val="18"/>
                <w:highlight w:val="none"/>
                <w:u w:val="none"/>
              </w:rPr>
            </w:pPr>
          </w:p>
        </w:tc>
      </w:tr>
      <w:tr w14:paraId="584E6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475F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28</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514E9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天棚腻子</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8E116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1、腻子种类：3厚柔韧型腻子分遍刮平；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2、刮腻子遍数：详图纸及具体要求；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3、工作内容包括但不限于：清理、修补基层、满刮腻子、罩面、抛光，材料供应、运输、装卸、场内转运、成品保护等。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F5C8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5E514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C37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11C96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5628.06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A252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37B36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C93E0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2B765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50DA2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F8F3B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7BFA0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2082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FE44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B06D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E766C">
            <w:pPr>
              <w:shd w:val="clear"/>
              <w:jc w:val="center"/>
              <w:rPr>
                <w:rFonts w:hint="eastAsia" w:ascii="宋体" w:hAnsi="宋体" w:eastAsia="宋体" w:cs="宋体"/>
                <w:i w:val="0"/>
                <w:iCs w:val="0"/>
                <w:color w:val="auto"/>
                <w:sz w:val="18"/>
                <w:szCs w:val="18"/>
                <w:highlight w:val="none"/>
                <w:u w:val="none"/>
              </w:rPr>
            </w:pPr>
          </w:p>
        </w:tc>
      </w:tr>
      <w:tr w14:paraId="0EB3F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1BD21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29</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2D3B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天棚石灰大白浆</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CFA3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1、腻子种类：面层清理干净,找补平整，喷石灰大白浆（白灰水）；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2、工作内容包括但不限于：清理、修补基层、满刮腻子、罩面、抛光，材料供应、运输、装卸、场内转运、成品保护等。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D9481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323FF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62A76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F641B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3475.23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DBC55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74B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89493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9EE8F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222D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37A2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45E7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3CE42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1B4C3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78835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99E630">
            <w:pPr>
              <w:shd w:val="clear"/>
              <w:jc w:val="center"/>
              <w:rPr>
                <w:rFonts w:hint="eastAsia" w:ascii="宋体" w:hAnsi="宋体" w:eastAsia="宋体" w:cs="宋体"/>
                <w:i w:val="0"/>
                <w:iCs w:val="0"/>
                <w:color w:val="auto"/>
                <w:sz w:val="18"/>
                <w:szCs w:val="18"/>
                <w:highlight w:val="none"/>
                <w:u w:val="none"/>
              </w:rPr>
            </w:pPr>
          </w:p>
        </w:tc>
      </w:tr>
      <w:tr w14:paraId="6301D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6"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4D498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B3585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屋面变形缝</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08994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1.缝宽:详图纸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2.嵌缝材料种类:详图纸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3.做法详见：建施7/28</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4.工作内容包括但不限于：钢筋、模板、聚乙烯泡沫塑料棒、密封膏密封；制作、安装、运输等。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6C75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按设计图示尺寸以长度计算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56B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CF89A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3C60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17.30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D7FD5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1DB05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E8D3B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A0D79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62E33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1D59C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92897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BE9F4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5B497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7B1E6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D8BD04">
            <w:pPr>
              <w:shd w:val="clear"/>
              <w:jc w:val="center"/>
              <w:rPr>
                <w:rFonts w:hint="eastAsia" w:ascii="宋体" w:hAnsi="宋体" w:eastAsia="宋体" w:cs="宋体"/>
                <w:i w:val="0"/>
                <w:iCs w:val="0"/>
                <w:color w:val="auto"/>
                <w:sz w:val="18"/>
                <w:szCs w:val="18"/>
                <w:highlight w:val="none"/>
                <w:u w:val="none"/>
              </w:rPr>
            </w:pPr>
          </w:p>
        </w:tc>
      </w:tr>
      <w:tr w14:paraId="1D80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F3E84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31</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489C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顶棚变形缝</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40817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1.缝宽:详图纸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2.嵌缝材料种类:详图纸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3.防护材料种类:1.5厚铝合金盖封板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4.做法详见：建施9/28、8/28</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5.工作内容包括但不限于：钢筋、模板、聚乙烯泡沫塑料棒、密封膏密封；制作、安装、运输等。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9AFB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按设计图示尺寸以长度计算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399F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DD4FE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33A52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216.80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8A0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7E01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4D8E7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632B0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07D03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6662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DAA2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77111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A9BEC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25CC7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EDDBDC">
            <w:pPr>
              <w:shd w:val="clear"/>
              <w:jc w:val="center"/>
              <w:rPr>
                <w:rFonts w:hint="eastAsia" w:ascii="宋体" w:hAnsi="宋体" w:eastAsia="宋体" w:cs="宋体"/>
                <w:i w:val="0"/>
                <w:iCs w:val="0"/>
                <w:color w:val="auto"/>
                <w:sz w:val="18"/>
                <w:szCs w:val="18"/>
                <w:highlight w:val="none"/>
                <w:u w:val="none"/>
              </w:rPr>
            </w:pPr>
          </w:p>
        </w:tc>
      </w:tr>
      <w:tr w14:paraId="3C92F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84FD0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D73E8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女儿墙变形缝</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D816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1.缝宽:详图纸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2.嵌缝材料种类:详图纸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3.做法详见：21ZJ111 7/A2</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4.工作内容包括但不限于：钢筋、模板、聚乙烯泡沫塑料棒、密封膏密封；制作、安装、运输等。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C422B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按设计图示尺寸以长度计算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E3D5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E4CED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D6AAB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F650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1CF4F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9F789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94B2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69D2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10E4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18E39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EC179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D7AA4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A1CD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3FC75C">
            <w:pPr>
              <w:shd w:val="clear"/>
              <w:jc w:val="center"/>
              <w:rPr>
                <w:rFonts w:hint="eastAsia" w:ascii="宋体" w:hAnsi="宋体" w:eastAsia="宋体" w:cs="宋体"/>
                <w:i w:val="0"/>
                <w:iCs w:val="0"/>
                <w:color w:val="auto"/>
                <w:sz w:val="18"/>
                <w:szCs w:val="18"/>
                <w:highlight w:val="none"/>
                <w:u w:val="none"/>
              </w:rPr>
            </w:pPr>
          </w:p>
        </w:tc>
      </w:tr>
      <w:tr w14:paraId="33BAF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4EF60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33</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1A1DC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外墙面变形缝</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D9A6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1.缝宽:详图纸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2.嵌缝材料种类:详图纸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3.防护材料种类:1.5厚铝合金盖封板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4.做法详见：21ZJ111 7/A2</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5.工作内容包括但不限于：钢筋、模板、聚乙烯泡沫塑料棒、密封膏密封；制作、安装、运输等。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313A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按设计图示尺寸以长度计算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0377D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1F6D6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02BB3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108.90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F408B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9DE42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AA0DF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6C7A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2F6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437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1821F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EA1A6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50ECA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0FBB6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33653">
            <w:pPr>
              <w:shd w:val="clear"/>
              <w:jc w:val="center"/>
              <w:rPr>
                <w:rFonts w:hint="eastAsia" w:ascii="宋体" w:hAnsi="宋体" w:eastAsia="宋体" w:cs="宋体"/>
                <w:i w:val="0"/>
                <w:iCs w:val="0"/>
                <w:color w:val="auto"/>
                <w:sz w:val="18"/>
                <w:szCs w:val="18"/>
                <w:highlight w:val="none"/>
                <w:u w:val="none"/>
              </w:rPr>
            </w:pPr>
          </w:p>
        </w:tc>
      </w:tr>
      <w:tr w14:paraId="56339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6758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BB22F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楼层变形缝</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BD758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1.缝宽:详图纸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2.嵌缝材料种类:详图纸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3.防护材料种类:1.5厚铝合金盖封板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4.做法详见：参21ZJ111 2/A6</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5.工作内容包括但不限于：钢筋、模板、聚乙烯泡沫塑料棒、密封膏密封；制作、安装、运输等。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A3B3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按设计图示尺寸以长度计算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8DA24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31F37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71E0C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216.80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C92B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FE944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600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AE92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EF32D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3C86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7CB55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BAF9D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2AEE8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6FFB6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DC950F">
            <w:pPr>
              <w:shd w:val="clear"/>
              <w:jc w:val="center"/>
              <w:rPr>
                <w:rFonts w:hint="eastAsia" w:ascii="宋体" w:hAnsi="宋体" w:eastAsia="宋体" w:cs="宋体"/>
                <w:i w:val="0"/>
                <w:iCs w:val="0"/>
                <w:color w:val="auto"/>
                <w:sz w:val="18"/>
                <w:szCs w:val="18"/>
                <w:highlight w:val="none"/>
                <w:u w:val="none"/>
              </w:rPr>
            </w:pPr>
          </w:p>
        </w:tc>
      </w:tr>
      <w:tr w14:paraId="19E9D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0738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1BB0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内墙变形缝</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E0802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1.缝宽:详图纸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2.嵌缝材料种类:详图纸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3.防护材料种类:1.5厚铝合金盖封板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4.做法详见：参21ZJ111 5/A3</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5.工作内容包括但不限于：钢筋、模板、聚乙烯泡沫塑料棒、密封膏密封；制作、安装、运输等。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509A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按设计图示尺寸以长度计算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CD3BB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1FC2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B6968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100.00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AA2E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912CB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03768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A1A0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68FCC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F8E9B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173A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D3A58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245CA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75E7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BCA9A2">
            <w:pPr>
              <w:shd w:val="clear"/>
              <w:jc w:val="center"/>
              <w:rPr>
                <w:rFonts w:hint="eastAsia" w:ascii="宋体" w:hAnsi="宋体" w:eastAsia="宋体" w:cs="宋体"/>
                <w:i w:val="0"/>
                <w:iCs w:val="0"/>
                <w:color w:val="auto"/>
                <w:sz w:val="18"/>
                <w:szCs w:val="18"/>
                <w:highlight w:val="none"/>
                <w:u w:val="none"/>
              </w:rPr>
            </w:pPr>
          </w:p>
        </w:tc>
      </w:tr>
      <w:tr w14:paraId="2D8CA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4C99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36</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CF84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橡胶减速带</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407C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1.作法参考图集05J907-1 2/40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2.测量、放线、定位、钻孔、安装、固定、成品保护、工完场清等；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3.工完场清和完工后的维护；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4.其他按施工方案完成本项所需的一切工作。</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F6535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按设计图示尺寸以长度计算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6DB3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29FAA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A2668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27.80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CA764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D515F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E81CA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8B9AE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5FF84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6E769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6423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E1AF1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F8E33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02077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65E36">
            <w:pPr>
              <w:shd w:val="clear"/>
              <w:jc w:val="center"/>
              <w:rPr>
                <w:rFonts w:hint="eastAsia" w:ascii="宋体" w:hAnsi="宋体" w:eastAsia="宋体" w:cs="宋体"/>
                <w:i w:val="0"/>
                <w:iCs w:val="0"/>
                <w:color w:val="auto"/>
                <w:sz w:val="18"/>
                <w:szCs w:val="18"/>
                <w:highlight w:val="none"/>
                <w:u w:val="none"/>
              </w:rPr>
            </w:pPr>
          </w:p>
        </w:tc>
      </w:tr>
      <w:tr w14:paraId="39A8D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6E5E5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37</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2DBE7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橡胶车轮档</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E435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1.作法详图纸及施工要求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2.测量、放线、定位、钻孔、安装、固定、成品保护、工完场清等；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3.工完场清和完工后的维护；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4.其他按施工方案完成本项所需的一切工作。</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FCAAB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按实际施工数量以个计算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33C9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EFBE0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8C2EA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102.00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CC69F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14106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77D3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52D8A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9C6D5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B8BE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4264D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CBD10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694C3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4B65F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279A43">
            <w:pPr>
              <w:shd w:val="clear"/>
              <w:jc w:val="center"/>
              <w:rPr>
                <w:rFonts w:hint="eastAsia" w:ascii="宋体" w:hAnsi="宋体" w:eastAsia="宋体" w:cs="宋体"/>
                <w:i w:val="0"/>
                <w:iCs w:val="0"/>
                <w:color w:val="auto"/>
                <w:sz w:val="18"/>
                <w:szCs w:val="18"/>
                <w:highlight w:val="none"/>
                <w:u w:val="none"/>
              </w:rPr>
            </w:pPr>
          </w:p>
        </w:tc>
      </w:tr>
      <w:tr w14:paraId="016B2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3A27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38</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E7656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车位标线</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3B58C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1.作法详图纸及施工要求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2.测量、放线、定位、钻孔、安装、固定、成品保护、工完场清等；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3.工完场清和完工后的维护；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4.其他按施工方案完成本项所需的一切工作。</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576A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按设计图示尺寸以平方米计算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E7D38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3284F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A83E4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120.00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6335D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8DA3C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E7FA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130B5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ABFA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41C31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C2801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4E691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17B87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EC808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5A2BD0">
            <w:pPr>
              <w:shd w:val="clear"/>
              <w:jc w:val="center"/>
              <w:rPr>
                <w:rFonts w:hint="eastAsia" w:ascii="宋体" w:hAnsi="宋体" w:eastAsia="宋体" w:cs="宋体"/>
                <w:i w:val="0"/>
                <w:iCs w:val="0"/>
                <w:color w:val="auto"/>
                <w:sz w:val="18"/>
                <w:szCs w:val="18"/>
                <w:highlight w:val="none"/>
                <w:u w:val="none"/>
              </w:rPr>
            </w:pPr>
          </w:p>
        </w:tc>
      </w:tr>
      <w:tr w14:paraId="73948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D115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39</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78A3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橡胶防撞护角</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F0FA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1.作法详图纸及施工要求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2.测量、放线、定位、钻孔、安装、固定、成品保护、工完场清等；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3.工完场清和完工后的维护；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4.其他按施工方案完成本项所需的一切工作。</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A064C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按实际施工数量以个计算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DA00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0C60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2E803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123.00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A01F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3BA6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855F5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9A82A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F7F9C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0BFDF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21E20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A192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A8BCA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BBD65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3AE78">
            <w:pPr>
              <w:shd w:val="clear"/>
              <w:jc w:val="center"/>
              <w:rPr>
                <w:rFonts w:hint="eastAsia" w:ascii="宋体" w:hAnsi="宋体" w:eastAsia="宋体" w:cs="宋体"/>
                <w:i w:val="0"/>
                <w:iCs w:val="0"/>
                <w:color w:val="auto"/>
                <w:sz w:val="18"/>
                <w:szCs w:val="18"/>
                <w:highlight w:val="none"/>
                <w:u w:val="none"/>
              </w:rPr>
            </w:pPr>
          </w:p>
        </w:tc>
      </w:tr>
      <w:tr w14:paraId="21812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4D4FD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ECB7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石板材洗漱台</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36D7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1、20mm厚国产米黄玉大理石；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2、水泥砂浆；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3、钢板网；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4、角钢、刷漆；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5、其他未尽事宜详见图纸及图集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6、工作内容包括但不限于：铁件制作及安装安装、钻孔、镶贴台面、固定台下洗脸盆、打胶固定、清理等全部操作过程。</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D1D96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按设计图示尺寸以台面水平投影面积计算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949B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34301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25F88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36.96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CA01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8E991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189B5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95D89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02AD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1C705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C0D7F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25499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8DAD2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11685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18AF23">
            <w:pPr>
              <w:shd w:val="clear"/>
              <w:jc w:val="center"/>
              <w:rPr>
                <w:rFonts w:hint="eastAsia" w:ascii="宋体" w:hAnsi="宋体" w:eastAsia="宋体" w:cs="宋体"/>
                <w:i w:val="0"/>
                <w:iCs w:val="0"/>
                <w:color w:val="auto"/>
                <w:sz w:val="18"/>
                <w:szCs w:val="18"/>
                <w:highlight w:val="none"/>
                <w:u w:val="none"/>
              </w:rPr>
            </w:pPr>
          </w:p>
        </w:tc>
      </w:tr>
      <w:tr w14:paraId="68155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36C2B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41</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E430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卫生间扶手</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956F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1、详图纸及施工要求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2、工作内容包括但不限于：制作、安装、支托煨弯、打洞堵混凝土等全部操作过程。</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2A508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按设计图示尺寸以长度计算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1EA9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373C1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A7578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30.00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941B2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1EDEB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A7A32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7764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391F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36680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86D81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C4ED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2C38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55959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B0FE51">
            <w:pPr>
              <w:shd w:val="clear"/>
              <w:jc w:val="center"/>
              <w:rPr>
                <w:rFonts w:hint="eastAsia" w:ascii="宋体" w:hAnsi="宋体" w:eastAsia="宋体" w:cs="宋体"/>
                <w:i w:val="0"/>
                <w:iCs w:val="0"/>
                <w:color w:val="auto"/>
                <w:sz w:val="18"/>
                <w:szCs w:val="18"/>
                <w:highlight w:val="none"/>
                <w:u w:val="none"/>
              </w:rPr>
            </w:pPr>
          </w:p>
        </w:tc>
      </w:tr>
      <w:tr w14:paraId="764BA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2797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42</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BE9AF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卫生间镜子</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8101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1、镜面玻璃品种、规格：详图纸及施工要求；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2、工作内容包括但不限于：钻孔、固定铝合金挂镜线、基层安装、钉夹板、安装固定角铝、玻璃及框制作、运输、安装、清理等全部操作过程。</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207F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按设计图示尺寸以台面水平投影面积计算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168A2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24870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67D83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100.00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F262A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8BC8C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C280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E90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C9869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C35A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590FE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9BFCE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AE28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F060A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326FB1">
            <w:pPr>
              <w:shd w:val="clear"/>
              <w:jc w:val="center"/>
              <w:rPr>
                <w:rFonts w:hint="eastAsia" w:ascii="宋体" w:hAnsi="宋体" w:eastAsia="宋体" w:cs="宋体"/>
                <w:i w:val="0"/>
                <w:iCs w:val="0"/>
                <w:color w:val="auto"/>
                <w:sz w:val="18"/>
                <w:szCs w:val="18"/>
                <w:highlight w:val="none"/>
                <w:u w:val="none"/>
              </w:rPr>
            </w:pPr>
          </w:p>
        </w:tc>
      </w:tr>
      <w:tr w14:paraId="3A783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FACB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43</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430C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无障碍多功能台 1200×500mm</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A36B9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1、做法详见：13ZJ301 60/5；</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2、水泥砂浆；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3、钢板网；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4、角钢、刷漆；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5、其他未尽事宜详见图纸及图集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6、工作内容包括但不限于：铁件制作及安装安装、钻孔、镶贴台面、打胶固定、清理等全部操作过程。</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D490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按设计图示尺寸以台面水平投影面积计算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F9DB8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4BC3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5D453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6.60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AE7DE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B0BED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BC017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25417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407B6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F95CD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A601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49410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CAF0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9CB0A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3637E6">
            <w:pPr>
              <w:shd w:val="clear"/>
              <w:jc w:val="center"/>
              <w:rPr>
                <w:rFonts w:hint="eastAsia" w:ascii="宋体" w:hAnsi="宋体" w:eastAsia="宋体" w:cs="宋体"/>
                <w:i w:val="0"/>
                <w:iCs w:val="0"/>
                <w:color w:val="auto"/>
                <w:sz w:val="18"/>
                <w:szCs w:val="18"/>
                <w:highlight w:val="none"/>
                <w:u w:val="none"/>
              </w:rPr>
            </w:pPr>
          </w:p>
        </w:tc>
      </w:tr>
      <w:tr w14:paraId="74C6E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C1B9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44</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731C4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成品隔断</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19A6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1、隔断材料品种、规格：12厚抗倍特板；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2、图集：参照图集15ZJ512 31/1；</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3、含五金配件、挂钩等安装及运输；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4、工作内容包括但不限于：下料、安装成品隔断：定位划线、安装固定卡件、擦净表面等全部操作过程。</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5BF45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按设计图示尺寸以平方米计算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0B32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42248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C88CB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831.82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3A47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FFE4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5106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45710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1E7D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1725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DE836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4E338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627F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1478D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04B057">
            <w:pPr>
              <w:shd w:val="clear"/>
              <w:jc w:val="center"/>
              <w:rPr>
                <w:rFonts w:hint="eastAsia" w:ascii="宋体" w:hAnsi="宋体" w:eastAsia="宋体" w:cs="宋体"/>
                <w:i w:val="0"/>
                <w:iCs w:val="0"/>
                <w:color w:val="auto"/>
                <w:sz w:val="18"/>
                <w:szCs w:val="18"/>
                <w:highlight w:val="none"/>
                <w:u w:val="none"/>
              </w:rPr>
            </w:pPr>
          </w:p>
        </w:tc>
      </w:tr>
      <w:tr w14:paraId="37ACA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CF64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45</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F1C08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面砖外墙面</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2ED5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1.小青砖贴面（120×240），水泥浆勾缝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2.4～5厚水泥砂浆加水重20%的801胶镶贴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3.部位：贴砖外墙（外墙1）</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但不限于：清理基层、调制水泥砂浆、刷素水泥浆、水泥砂浆结合层、放线、试排弹线、锯板修边、面层铺设及磨边、嵌缝、清理净面、填缝、刷防护材料、养护，材料场内转运、成品保护、吊篮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694A4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按设计图示尺寸以平方米计算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7866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2826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30E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7128.14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470E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C065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0CE00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7F58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8C851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1A01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451ED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F6DE3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933DD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28634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16BF61">
            <w:pPr>
              <w:shd w:val="clear"/>
              <w:jc w:val="center"/>
              <w:rPr>
                <w:rFonts w:hint="eastAsia" w:ascii="宋体" w:hAnsi="宋体" w:eastAsia="宋体" w:cs="宋体"/>
                <w:i w:val="0"/>
                <w:iCs w:val="0"/>
                <w:color w:val="auto"/>
                <w:sz w:val="18"/>
                <w:szCs w:val="18"/>
                <w:highlight w:val="none"/>
                <w:u w:val="none"/>
              </w:rPr>
            </w:pPr>
          </w:p>
        </w:tc>
      </w:tr>
      <w:tr w14:paraId="264C7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31B0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46</w:t>
            </w:r>
          </w:p>
        </w:tc>
        <w:tc>
          <w:tcPr>
            <w:tcW w:w="1032" w:type="dxa"/>
            <w:tcBorders>
              <w:top w:val="single" w:color="000000" w:sz="4" w:space="0"/>
              <w:left w:val="single" w:color="000000" w:sz="4" w:space="0"/>
              <w:bottom w:val="single" w:color="000000" w:sz="4" w:space="0"/>
              <w:right w:val="nil"/>
            </w:tcBorders>
            <w:shd w:val="clear" w:color="auto" w:fill="FFFFFF"/>
            <w:vAlign w:val="center"/>
          </w:tcPr>
          <w:p w14:paraId="45EF4B5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仿面砖真石漆外墙</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95FBA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1、施工部位：真石漆外墙位置及颜色详立面图标注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2、墙体类型：综合考虑各类墙体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3、腻子做法、品牌：外墙专用腻子打底打磨成活；</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4、真石漆做法、品牌：涂料一底两面，厚度2厚；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5、在每楼层面处涂料层采用硅酮胶做平缝，缝宽15mm；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6、工作内容包含但不限于：（1）基层清理；（2）材料供应、运输、装卸、场内转运；（3）刮腻子；（4）刷真石漆；（5）养护；（6）成品保护、吊篮等；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7A86A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按设计图示尺寸以平方米计算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2BDB6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64C6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554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7128.14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E3F49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94617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E9044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30C4C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60948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F5C4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C6D22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6C3EA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F9666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F7469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083FEA">
            <w:pPr>
              <w:shd w:val="clear"/>
              <w:jc w:val="center"/>
              <w:rPr>
                <w:rFonts w:hint="eastAsia" w:ascii="宋体" w:hAnsi="宋体" w:eastAsia="宋体" w:cs="宋体"/>
                <w:i w:val="0"/>
                <w:iCs w:val="0"/>
                <w:color w:val="auto"/>
                <w:sz w:val="18"/>
                <w:szCs w:val="18"/>
                <w:highlight w:val="none"/>
                <w:u w:val="none"/>
              </w:rPr>
            </w:pPr>
          </w:p>
        </w:tc>
      </w:tr>
      <w:tr w14:paraId="12E91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6F1F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47</w:t>
            </w:r>
          </w:p>
        </w:tc>
        <w:tc>
          <w:tcPr>
            <w:tcW w:w="1032" w:type="dxa"/>
            <w:tcBorders>
              <w:top w:val="single" w:color="000000" w:sz="4" w:space="0"/>
              <w:left w:val="single" w:color="000000" w:sz="4" w:space="0"/>
              <w:bottom w:val="single" w:color="000000" w:sz="4" w:space="0"/>
              <w:right w:val="nil"/>
            </w:tcBorders>
            <w:shd w:val="clear" w:color="auto" w:fill="FFFFFF"/>
            <w:vAlign w:val="center"/>
          </w:tcPr>
          <w:p w14:paraId="573338F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弹性真石漆外墙</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95E5F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1、施工部位：真石漆外墙位置及颜色详立面图标注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2、墙体类型：综合考虑各类墙体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3、腻子做法、品牌：外墙专用腻子打底打磨成活；</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4、真石漆做法、品牌：涂料一底两面，厚度2厚；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5、在每楼层面处涂料层采用硅酮胶做平缝，缝宽15mm；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6、工作内容包含但不限于：（1）基层清理；（2）材料供应、运输、装卸、场内转运；（3）刮腻子；（4）刷真石漆；（5）养护；（6）成品保护、吊篮等；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61175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按设计图示尺寸以平方米计算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906C6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B612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684B8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10234.98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66B16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7D13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2DA7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8B79D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C79E8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8818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9E192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AFE7E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EDA4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F943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6A123F">
            <w:pPr>
              <w:shd w:val="clear"/>
              <w:jc w:val="center"/>
              <w:rPr>
                <w:rFonts w:hint="eastAsia" w:ascii="宋体" w:hAnsi="宋体" w:eastAsia="宋体" w:cs="宋体"/>
                <w:i w:val="0"/>
                <w:iCs w:val="0"/>
                <w:color w:val="auto"/>
                <w:sz w:val="18"/>
                <w:szCs w:val="18"/>
                <w:highlight w:val="none"/>
                <w:u w:val="none"/>
              </w:rPr>
            </w:pPr>
          </w:p>
        </w:tc>
      </w:tr>
      <w:tr w14:paraId="13A24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1A77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1032" w:type="dxa"/>
            <w:tcBorders>
              <w:top w:val="single" w:color="000000" w:sz="4" w:space="0"/>
              <w:left w:val="single" w:color="000000" w:sz="4" w:space="0"/>
              <w:bottom w:val="single" w:color="000000" w:sz="4" w:space="0"/>
              <w:right w:val="nil"/>
            </w:tcBorders>
            <w:shd w:val="clear" w:color="auto" w:fill="FFFFFF"/>
            <w:vAlign w:val="center"/>
          </w:tcPr>
          <w:p w14:paraId="3601348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预制C30水簸箕</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72A7E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1、规格材质：预制混凝土水簸箕，详图纸；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2、工作内容包含但不限于：制作、运输及安装等。</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F463B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按实际施工数量以个计算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AC148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5895C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BFF21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50.00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0B61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BD977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5B4D2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4A42C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F8FD6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8F74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406ED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012D7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C3CA3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22A8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8565D4">
            <w:pPr>
              <w:shd w:val="clear"/>
              <w:jc w:val="center"/>
              <w:rPr>
                <w:rFonts w:hint="eastAsia" w:ascii="宋体" w:hAnsi="宋体" w:eastAsia="宋体" w:cs="宋体"/>
                <w:i w:val="0"/>
                <w:iCs w:val="0"/>
                <w:color w:val="auto"/>
                <w:sz w:val="18"/>
                <w:szCs w:val="18"/>
                <w:highlight w:val="none"/>
                <w:u w:val="none"/>
              </w:rPr>
            </w:pPr>
          </w:p>
        </w:tc>
      </w:tr>
      <w:tr w14:paraId="504AA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620E4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49</w:t>
            </w: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D2779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“机械教学实验中心大楼”字体牌匾</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BEEC9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1.字体大小：1.5m2</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2.牌匾规格：1.6×20.2m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3.材质：304不锈钢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4.含所有成品不锈钢字体，颜色由业主</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选定</w:t>
            </w: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56829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按设计图示尺寸以项计算</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75DD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0090A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30CC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1.00 </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ACB8E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E6CD9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181FE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C12C3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34CBD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E49E3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17EFB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444F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D94EA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D06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095E7">
            <w:pPr>
              <w:shd w:val="clear"/>
              <w:jc w:val="center"/>
              <w:rPr>
                <w:rFonts w:hint="eastAsia" w:ascii="宋体" w:hAnsi="宋体" w:eastAsia="宋体" w:cs="宋体"/>
                <w:i w:val="0"/>
                <w:iCs w:val="0"/>
                <w:color w:val="auto"/>
                <w:sz w:val="18"/>
                <w:szCs w:val="18"/>
                <w:highlight w:val="none"/>
                <w:u w:val="none"/>
              </w:rPr>
            </w:pPr>
          </w:p>
        </w:tc>
      </w:tr>
      <w:tr w14:paraId="47674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6" w:hRule="atLeast"/>
        </w:trPr>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D63977">
            <w:pPr>
              <w:shd w:val="clear"/>
              <w:jc w:val="center"/>
              <w:rPr>
                <w:rFonts w:hint="eastAsia" w:ascii="宋体" w:hAnsi="宋体" w:eastAsia="宋体" w:cs="宋体"/>
                <w:b/>
                <w:bCs/>
                <w:i w:val="0"/>
                <w:iCs w:val="0"/>
                <w:color w:val="auto"/>
                <w:sz w:val="18"/>
                <w:szCs w:val="18"/>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102286">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合计</w:t>
            </w:r>
          </w:p>
        </w:tc>
        <w:tc>
          <w:tcPr>
            <w:tcW w:w="3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BDA959">
            <w:pPr>
              <w:shd w:val="clear"/>
              <w:jc w:val="center"/>
              <w:rPr>
                <w:rFonts w:hint="eastAsia" w:ascii="宋体" w:hAnsi="宋体" w:eastAsia="宋体" w:cs="宋体"/>
                <w:b/>
                <w:bCs/>
                <w:i w:val="0"/>
                <w:iCs w:val="0"/>
                <w:color w:val="auto"/>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552B98">
            <w:pPr>
              <w:shd w:val="clear"/>
              <w:jc w:val="center"/>
              <w:rPr>
                <w:rFonts w:hint="eastAsia" w:ascii="宋体" w:hAnsi="宋体" w:eastAsia="宋体" w:cs="宋体"/>
                <w:b/>
                <w:bCs/>
                <w:i w:val="0"/>
                <w:iCs w:val="0"/>
                <w:color w:val="auto"/>
                <w:sz w:val="18"/>
                <w:szCs w:val="18"/>
                <w:highlight w:val="none"/>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13DD05">
            <w:pPr>
              <w:shd w:val="clear"/>
              <w:jc w:val="center"/>
              <w:rPr>
                <w:rFonts w:hint="eastAsia" w:ascii="宋体" w:hAnsi="宋体" w:eastAsia="宋体" w:cs="宋体"/>
                <w:b/>
                <w:bCs/>
                <w:i w:val="0"/>
                <w:iCs w:val="0"/>
                <w:color w:val="auto"/>
                <w:sz w:val="18"/>
                <w:szCs w:val="18"/>
                <w:highlight w:val="none"/>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D6DF6">
            <w:pPr>
              <w:shd w:val="clear"/>
              <w:jc w:val="center"/>
              <w:rPr>
                <w:rFonts w:hint="eastAsia" w:ascii="宋体" w:hAnsi="宋体" w:eastAsia="宋体" w:cs="宋体"/>
                <w:b/>
                <w:bCs/>
                <w:i w:val="0"/>
                <w:iCs w:val="0"/>
                <w:color w:val="auto"/>
                <w:sz w:val="18"/>
                <w:szCs w:val="18"/>
                <w:highlight w:val="none"/>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5E23B3">
            <w:pPr>
              <w:shd w:val="clear"/>
              <w:jc w:val="center"/>
              <w:rPr>
                <w:rFonts w:hint="eastAsia" w:ascii="宋体" w:hAnsi="宋体" w:eastAsia="宋体" w:cs="宋体"/>
                <w:b/>
                <w:bCs/>
                <w:i w:val="0"/>
                <w:iCs w:val="0"/>
                <w:color w:val="auto"/>
                <w:sz w:val="18"/>
                <w:szCs w:val="18"/>
                <w:highlight w:val="none"/>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5FFEC">
            <w:pPr>
              <w:shd w:val="clear"/>
              <w:jc w:val="center"/>
              <w:rPr>
                <w:rFonts w:hint="eastAsia" w:ascii="宋体" w:hAnsi="宋体" w:eastAsia="宋体" w:cs="宋体"/>
                <w:b/>
                <w:bCs/>
                <w:i w:val="0"/>
                <w:iCs w:val="0"/>
                <w:color w:val="auto"/>
                <w:sz w:val="18"/>
                <w:szCs w:val="18"/>
                <w:highlight w:val="none"/>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3AFB9">
            <w:pPr>
              <w:shd w:val="clear"/>
              <w:jc w:val="center"/>
              <w:rPr>
                <w:rFonts w:hint="eastAsia" w:ascii="宋体" w:hAnsi="宋体" w:eastAsia="宋体" w:cs="宋体"/>
                <w:b/>
                <w:bCs/>
                <w:i w:val="0"/>
                <w:iCs w:val="0"/>
                <w:color w:val="auto"/>
                <w:sz w:val="18"/>
                <w:szCs w:val="18"/>
                <w:highlight w:val="none"/>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1C0E6A">
            <w:pPr>
              <w:shd w:val="clear"/>
              <w:jc w:val="center"/>
              <w:rPr>
                <w:rFonts w:hint="eastAsia" w:ascii="宋体" w:hAnsi="宋体" w:eastAsia="宋体" w:cs="宋体"/>
                <w:b/>
                <w:bCs/>
                <w:i w:val="0"/>
                <w:iCs w:val="0"/>
                <w:color w:val="auto"/>
                <w:sz w:val="18"/>
                <w:szCs w:val="18"/>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97014">
            <w:pPr>
              <w:shd w:val="clear"/>
              <w:jc w:val="center"/>
              <w:rPr>
                <w:rFonts w:hint="eastAsia" w:ascii="宋体" w:hAnsi="宋体" w:eastAsia="宋体" w:cs="宋体"/>
                <w:b/>
                <w:bCs/>
                <w:i w:val="0"/>
                <w:iCs w:val="0"/>
                <w:color w:val="auto"/>
                <w:sz w:val="18"/>
                <w:szCs w:val="18"/>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BA563">
            <w:pPr>
              <w:shd w:val="clear"/>
              <w:jc w:val="center"/>
              <w:rPr>
                <w:rFonts w:hint="eastAsia" w:ascii="宋体" w:hAnsi="宋体" w:eastAsia="宋体" w:cs="宋体"/>
                <w:b/>
                <w:bCs/>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A83B2D">
            <w:pPr>
              <w:shd w:val="clear"/>
              <w:jc w:val="center"/>
              <w:rPr>
                <w:rFonts w:hint="eastAsia" w:ascii="宋体" w:hAnsi="宋体" w:eastAsia="宋体" w:cs="宋体"/>
                <w:b/>
                <w:bCs/>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DE5435">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4CB0CC">
            <w:pPr>
              <w:shd w:val="clear"/>
              <w:jc w:val="center"/>
              <w:rPr>
                <w:rFonts w:hint="eastAsia" w:ascii="宋体" w:hAnsi="宋体" w:eastAsia="宋体" w:cs="宋体"/>
                <w:b/>
                <w:bCs/>
                <w:i w:val="0"/>
                <w:iCs w:val="0"/>
                <w:color w:val="auto"/>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4354C7">
            <w:pPr>
              <w:shd w:val="clear"/>
              <w:jc w:val="center"/>
              <w:rPr>
                <w:rFonts w:hint="eastAsia" w:ascii="宋体" w:hAnsi="宋体" w:eastAsia="宋体" w:cs="宋体"/>
                <w:b/>
                <w:bCs/>
                <w:i w:val="0"/>
                <w:iCs w:val="0"/>
                <w:color w:val="auto"/>
                <w:sz w:val="18"/>
                <w:szCs w:val="18"/>
                <w:highlight w:val="none"/>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8FDB8A">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C9FEE">
            <w:pPr>
              <w:shd w:val="clear"/>
              <w:jc w:val="center"/>
              <w:rPr>
                <w:rFonts w:hint="eastAsia" w:ascii="宋体" w:hAnsi="宋体" w:eastAsia="宋体" w:cs="宋体"/>
                <w:b/>
                <w:bCs/>
                <w:i w:val="0"/>
                <w:iCs w:val="0"/>
                <w:color w:val="auto"/>
                <w:sz w:val="18"/>
                <w:szCs w:val="18"/>
                <w:highlight w:val="none"/>
                <w:u w:val="none"/>
              </w:rPr>
            </w:pPr>
          </w:p>
        </w:tc>
      </w:tr>
      <w:tr w14:paraId="59E9D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2" w:hRule="atLeast"/>
        </w:trPr>
        <w:tc>
          <w:tcPr>
            <w:tcW w:w="15732" w:type="dxa"/>
            <w:gridSpan w:val="18"/>
            <w:tcBorders>
              <w:top w:val="single" w:color="000000" w:sz="4" w:space="0"/>
              <w:left w:val="single" w:color="000000" w:sz="4" w:space="0"/>
              <w:bottom w:val="single" w:color="000000" w:sz="4" w:space="0"/>
              <w:right w:val="single" w:color="000000" w:sz="4" w:space="0"/>
            </w:tcBorders>
            <w:shd w:val="clear" w:color="auto" w:fill="FFFFFF"/>
            <w:vAlign w:val="center"/>
          </w:tcPr>
          <w:p w14:paraId="073D396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备注：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1）工程量计算规则：按清单描述计算规则计算，清单未约定的，按《GB50854-2013 房屋建筑与装饰工程工程量计算规范》计算，工程量按实结算；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2）清单特征描述中未尽事宜详见工程量清单单价包干内容说明，合同工程量清单单价包干内容说明作为清单的补充说明，是清单不可分割的组成部分；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3）若部分分项/子项工程由其他队伍施工或无须施工时，该部分分包方不得计价；</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4）分包方的承包范围、清单范围内的内容承包方有权另行分包，分包方不得有任何异议；</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5）若分包方未按要求实施或由承包方完成则结算按本合同文件价格的 1.2 倍扣除；</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6）以上清单单价已综合考虑样板展示、地下室人防、图纸不明确等涉及的施工费用及难度，不再另外计算任何费用；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7）工程量均为暂定工程量，结算时须按最新施工图纸重新计量，分包清单综合单价不得因工程量变化而调整。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8）综合单价包含取样、送检等配合检测的工作。</w:t>
            </w:r>
          </w:p>
        </w:tc>
      </w:tr>
    </w:tbl>
    <w:p w14:paraId="10F90903">
      <w:pPr>
        <w:shd w:val="clear"/>
        <w:rPr>
          <w:color w:val="auto"/>
          <w:highlight w:val="none"/>
        </w:rPr>
      </w:pPr>
    </w:p>
    <w:p w14:paraId="15C8ED7C">
      <w:pPr>
        <w:shd w:val="clear"/>
        <w:rPr>
          <w:color w:val="auto"/>
          <w:highlight w:val="none"/>
        </w:rPr>
      </w:pPr>
    </w:p>
    <w:p w14:paraId="7F0C53AB">
      <w:pPr>
        <w:shd w:val="clear"/>
        <w:rPr>
          <w:color w:val="auto"/>
          <w:highlight w:val="none"/>
        </w:rPr>
      </w:pPr>
    </w:p>
    <w:p w14:paraId="22FBACC2">
      <w:pPr>
        <w:shd w:val="clear"/>
        <w:spacing w:before="91" w:line="219" w:lineRule="auto"/>
        <w:jc w:val="right"/>
        <w:rPr>
          <w:rFonts w:ascii="宋体" w:hAnsi="宋体" w:eastAsia="宋体" w:cs="宋体"/>
          <w:color w:val="auto"/>
          <w:spacing w:val="-9"/>
          <w:sz w:val="28"/>
          <w:szCs w:val="28"/>
          <w:highlight w:val="none"/>
        </w:rPr>
      </w:pPr>
      <w:r>
        <w:rPr>
          <w:rFonts w:ascii="宋体" w:hAnsi="宋体" w:eastAsia="宋体" w:cs="宋体"/>
          <w:color w:val="auto"/>
          <w:spacing w:val="-9"/>
          <w:sz w:val="28"/>
          <w:szCs w:val="28"/>
          <w:highlight w:val="none"/>
        </w:rPr>
        <w:t>乙方(盖章)：【</w:t>
      </w:r>
      <w:r>
        <w:rPr>
          <w:rFonts w:hint="eastAsia" w:ascii="宋体" w:hAnsi="宋体" w:eastAsia="宋体" w:cs="宋体"/>
          <w:color w:val="auto"/>
          <w:spacing w:val="-9"/>
          <w:sz w:val="28"/>
          <w:szCs w:val="28"/>
          <w:highlight w:val="none"/>
          <w:lang w:eastAsia="zh-CN"/>
        </w:rPr>
        <w:t>XXXX</w:t>
      </w:r>
      <w:r>
        <w:rPr>
          <w:rFonts w:ascii="宋体" w:hAnsi="宋体" w:eastAsia="宋体" w:cs="宋体"/>
          <w:color w:val="auto"/>
          <w:spacing w:val="-9"/>
          <w:sz w:val="28"/>
          <w:szCs w:val="28"/>
          <w:highlight w:val="none"/>
        </w:rPr>
        <w:t>】</w:t>
      </w:r>
    </w:p>
    <w:p w14:paraId="5B8944FA">
      <w:pPr>
        <w:shd w:val="clear"/>
        <w:spacing w:line="360" w:lineRule="auto"/>
        <w:rPr>
          <w:color w:val="auto"/>
          <w:highlight w:val="none"/>
        </w:rPr>
        <w:sectPr>
          <w:pgSz w:w="16838" w:h="11906" w:orient="landscape"/>
          <w:pgMar w:top="-1845" w:right="1134" w:bottom="1134" w:left="1134" w:header="851" w:footer="992" w:gutter="0"/>
          <w:pgNumType w:fmt="decimal"/>
          <w:cols w:space="720" w:num="1"/>
          <w:formProt w:val="0"/>
          <w:docGrid w:type="lines" w:linePitch="332" w:charSpace="0"/>
        </w:sectPr>
      </w:pPr>
    </w:p>
    <w:p w14:paraId="5933E9FB">
      <w:pPr>
        <w:pStyle w:val="5"/>
        <w:shd w:val="clear"/>
        <w:spacing w:beforeLines="50" w:afterLines="50"/>
        <w:ind w:left="0" w:leftChars="0" w:firstLine="562" w:firstLineChars="200"/>
        <w:rPr>
          <w:color w:val="auto"/>
          <w:highlight w:val="none"/>
        </w:rPr>
      </w:pPr>
      <w:bookmarkStart w:id="854" w:name="_Toc8158"/>
      <w:r>
        <w:rPr>
          <w:rFonts w:hint="eastAsia"/>
          <w:color w:val="auto"/>
          <w:highlight w:val="none"/>
        </w:rPr>
        <w:t xml:space="preserve">附件2  </w:t>
      </w:r>
    </w:p>
    <w:p w14:paraId="37A42BAF">
      <w:pPr>
        <w:pStyle w:val="5"/>
        <w:shd w:val="clear"/>
        <w:spacing w:beforeLines="50" w:afterLines="50"/>
        <w:ind w:left="0" w:leftChars="0"/>
        <w:jc w:val="center"/>
        <w:rPr>
          <w:color w:val="auto"/>
          <w:sz w:val="32"/>
          <w:szCs w:val="32"/>
          <w:highlight w:val="none"/>
        </w:rPr>
      </w:pPr>
      <w:r>
        <w:rPr>
          <w:rFonts w:hint="eastAsia"/>
          <w:color w:val="auto"/>
          <w:sz w:val="32"/>
          <w:szCs w:val="32"/>
          <w:highlight w:val="none"/>
        </w:rPr>
        <w:t>授 权 委 托 书（甲方）</w:t>
      </w:r>
      <w:bookmarkEnd w:id="854"/>
      <w:bookmarkStart w:id="855" w:name="_Hlk132708398"/>
    </w:p>
    <w:bookmarkEnd w:id="855"/>
    <w:p w14:paraId="3C556EBC">
      <w:pPr>
        <w:shd w:val="clear"/>
        <w:spacing w:before="120" w:beforeLines="50" w:after="120" w:afterLines="50" w:line="480" w:lineRule="exact"/>
        <w:rPr>
          <w:rFonts w:ascii="仿宋_GB2312" w:eastAsia="仿宋_GB2312"/>
          <w:color w:val="auto"/>
          <w:sz w:val="28"/>
          <w:szCs w:val="28"/>
          <w:highlight w:val="none"/>
        </w:rPr>
      </w:pPr>
      <w:r>
        <w:rPr>
          <w:rFonts w:hint="eastAsia" w:ascii="仿宋_GB2312" w:eastAsia="仿宋_GB2312"/>
          <w:color w:val="auto"/>
          <w:sz w:val="28"/>
          <w:szCs w:val="28"/>
          <w:highlight w:val="none"/>
        </w:rPr>
        <w:t>致：【</w:t>
      </w:r>
      <w:r>
        <w:rPr>
          <w:rFonts w:hint="eastAsia" w:ascii="仿宋_GB2312" w:hAnsi="仿宋" w:eastAsia="仿宋_GB2312" w:cs="仿宋"/>
          <w:color w:val="auto"/>
          <w:sz w:val="28"/>
          <w:szCs w:val="28"/>
          <w:highlight w:val="none"/>
          <w:lang w:eastAsia="zh-CN"/>
        </w:rPr>
        <w:t>XXXX</w:t>
      </w:r>
      <w:r>
        <w:rPr>
          <w:rFonts w:hint="eastAsia" w:ascii="仿宋_GB2312" w:eastAsia="仿宋_GB2312"/>
          <w:color w:val="auto"/>
          <w:sz w:val="28"/>
          <w:szCs w:val="28"/>
          <w:highlight w:val="none"/>
        </w:rPr>
        <w:t>】</w:t>
      </w:r>
    </w:p>
    <w:p w14:paraId="3485F219">
      <w:pPr>
        <w:shd w:val="clear"/>
        <w:spacing w:before="120" w:beforeLines="50" w:after="120" w:afterLines="50" w:line="480" w:lineRule="exact"/>
        <w:ind w:firstLine="560" w:firstLineChars="200"/>
        <w:rPr>
          <w:rFonts w:ascii="仿宋_GB2312" w:hAnsi="仿宋" w:eastAsia="仿宋_GB2312" w:cs="仿宋"/>
          <w:color w:val="auto"/>
          <w:sz w:val="28"/>
          <w:szCs w:val="28"/>
          <w:highlight w:val="none"/>
        </w:rPr>
      </w:pPr>
      <w:r>
        <w:rPr>
          <w:rFonts w:hint="eastAsia" w:ascii="仿宋_GB2312" w:eastAsia="仿宋_GB2312"/>
          <w:color w:val="auto"/>
          <w:sz w:val="28"/>
          <w:szCs w:val="28"/>
          <w:highlight w:val="none"/>
        </w:rPr>
        <w:t>【</w:t>
      </w:r>
      <w:r>
        <w:rPr>
          <w:rFonts w:hint="eastAsia" w:ascii="仿宋_GB2312" w:hAnsi="仿宋" w:eastAsia="仿宋_GB2312" w:cs="仿宋"/>
          <w:color w:val="auto"/>
          <w:sz w:val="28"/>
          <w:szCs w:val="28"/>
          <w:highlight w:val="none"/>
          <w:lang w:eastAsia="zh-CN"/>
        </w:rPr>
        <w:t>XXXX</w:t>
      </w:r>
      <w:r>
        <w:rPr>
          <w:rFonts w:hint="eastAsia" w:ascii="仿宋_GB2312" w:eastAsia="仿宋_GB2312"/>
          <w:color w:val="auto"/>
          <w:sz w:val="28"/>
          <w:szCs w:val="28"/>
          <w:highlight w:val="none"/>
        </w:rPr>
        <w:t>】（以下简称本公司）</w:t>
      </w:r>
      <w:r>
        <w:rPr>
          <w:rFonts w:ascii="仿宋_GB2312" w:eastAsia="仿宋_GB2312"/>
          <w:color w:val="auto"/>
          <w:sz w:val="28"/>
          <w:szCs w:val="28"/>
          <w:highlight w:val="none"/>
        </w:rPr>
        <w:t>,</w:t>
      </w:r>
      <w:r>
        <w:rPr>
          <w:rFonts w:hint="eastAsia" w:ascii="仿宋_GB2312" w:hAnsi="仿宋" w:eastAsia="仿宋_GB2312" w:cs="仿宋"/>
          <w:color w:val="auto"/>
          <w:sz w:val="28"/>
          <w:szCs w:val="28"/>
          <w:highlight w:val="none"/>
        </w:rPr>
        <w:t>系依法成立并有效存续的公司。现向本公司【</w:t>
      </w:r>
      <w:r>
        <w:rPr>
          <w:rFonts w:hint="eastAsia" w:ascii="仿宋_GB2312" w:hAnsi="仿宋" w:eastAsia="仿宋_GB2312" w:cs="仿宋"/>
          <w:color w:val="auto"/>
          <w:sz w:val="28"/>
          <w:szCs w:val="28"/>
          <w:highlight w:val="none"/>
          <w:lang w:eastAsia="zh-CN"/>
        </w:rPr>
        <w:t>广西大学机械教学实验中心大楼项目</w:t>
      </w:r>
      <w:r>
        <w:rPr>
          <w:rFonts w:hint="eastAsia" w:ascii="仿宋_GB2312" w:hAnsi="仿宋" w:eastAsia="仿宋_GB2312" w:cs="仿宋"/>
          <w:color w:val="auto"/>
          <w:sz w:val="28"/>
          <w:szCs w:val="28"/>
          <w:highlight w:val="none"/>
        </w:rPr>
        <w:t>】（以下简称该项目）签发授权书，项目部经理【</w:t>
      </w:r>
      <w:r>
        <w:rPr>
          <w:rFonts w:hint="eastAsia" w:ascii="仿宋_GB2312" w:hAnsi="仿宋" w:eastAsia="仿宋_GB2312" w:cs="仿宋"/>
          <w:color w:val="auto"/>
          <w:sz w:val="28"/>
          <w:szCs w:val="28"/>
          <w:highlight w:val="none"/>
          <w:lang w:val="en-US" w:eastAsia="zh-CN"/>
        </w:rPr>
        <w:t xml:space="preserve">  </w:t>
      </w:r>
      <w:r>
        <w:rPr>
          <w:rFonts w:hint="eastAsia" w:ascii="仿宋_GB2312" w:hAnsi="仿宋" w:eastAsia="仿宋_GB2312" w:cs="仿宋"/>
          <w:color w:val="auto"/>
          <w:sz w:val="28"/>
          <w:szCs w:val="28"/>
          <w:highlight w:val="none"/>
          <w:lang w:eastAsia="zh-CN"/>
        </w:rPr>
        <w:t>，</w:t>
      </w:r>
      <w:r>
        <w:rPr>
          <w:rFonts w:hint="eastAsia" w:ascii="仿宋_GB2312" w:hAnsi="仿宋" w:eastAsia="仿宋_GB2312" w:cs="仿宋"/>
          <w:color w:val="auto"/>
          <w:sz w:val="28"/>
          <w:szCs w:val="28"/>
          <w:highlight w:val="none"/>
        </w:rPr>
        <w:t>身份证号：</w:t>
      </w:r>
      <w:r>
        <w:rPr>
          <w:rFonts w:hint="eastAsia" w:ascii="仿宋" w:hAnsi="仿宋" w:eastAsia="仿宋" w:cs="仿宋"/>
          <w:b w:val="0"/>
          <w:bCs w:val="0"/>
          <w:color w:val="auto"/>
          <w:sz w:val="28"/>
          <w:szCs w:val="28"/>
          <w:highlight w:val="none"/>
          <w:u w:val="none"/>
          <w:lang w:val="en-US" w:eastAsia="zh-CN"/>
        </w:rPr>
        <w:t xml:space="preserve">  </w:t>
      </w:r>
      <w:r>
        <w:rPr>
          <w:rFonts w:hint="eastAsia" w:ascii="仿宋_GB2312" w:hAnsi="仿宋" w:eastAsia="仿宋_GB2312" w:cs="仿宋"/>
          <w:color w:val="auto"/>
          <w:sz w:val="28"/>
          <w:szCs w:val="28"/>
          <w:highlight w:val="none"/>
        </w:rPr>
        <w:t>】代表本公司就该项目相关事务行使权限：</w:t>
      </w:r>
    </w:p>
    <w:p w14:paraId="11A56DB8">
      <w:pPr>
        <w:shd w:val="clear"/>
        <w:spacing w:before="120" w:beforeLines="50" w:after="120" w:afterLines="50" w:line="480" w:lineRule="exact"/>
        <w:ind w:firstLine="399" w:firstLineChars="142"/>
        <w:jc w:val="left"/>
        <w:rPr>
          <w:rFonts w:ascii="仿宋_GB2312" w:hAnsi="仿宋" w:eastAsia="仿宋_GB2312" w:cs="仿宋"/>
          <w:b/>
          <w:color w:val="auto"/>
          <w:sz w:val="28"/>
          <w:szCs w:val="28"/>
          <w:highlight w:val="none"/>
        </w:rPr>
      </w:pPr>
      <w:r>
        <w:rPr>
          <w:rFonts w:hint="eastAsia" w:ascii="仿宋_GB2312" w:hAnsi="仿宋" w:eastAsia="仿宋_GB2312" w:cs="仿宋"/>
          <w:b/>
          <w:color w:val="auto"/>
          <w:sz w:val="28"/>
          <w:szCs w:val="28"/>
          <w:highlight w:val="none"/>
        </w:rPr>
        <w:t>一、项目部有权行使以下权限：</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677"/>
        <w:gridCol w:w="1573"/>
        <w:gridCol w:w="6985"/>
      </w:tblGrid>
      <w:tr w14:paraId="1F17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126EEE02">
            <w:pPr>
              <w:widowControl/>
              <w:shd w:val="clear"/>
              <w:spacing w:line="280" w:lineRule="exact"/>
              <w:jc w:val="center"/>
              <w:rPr>
                <w:rFonts w:ascii="仿宋" w:hAnsi="仿宋" w:eastAsia="仿宋" w:cs="仿宋"/>
                <w:b/>
                <w:color w:val="auto"/>
                <w:kern w:val="0"/>
                <w:highlight w:val="none"/>
              </w:rPr>
            </w:pPr>
            <w:r>
              <w:rPr>
                <w:rFonts w:hint="eastAsia" w:ascii="仿宋" w:hAnsi="仿宋" w:eastAsia="仿宋" w:cs="仿宋"/>
                <w:b/>
                <w:color w:val="auto"/>
                <w:kern w:val="0"/>
                <w:highlight w:val="none"/>
              </w:rPr>
              <w:t>序号</w:t>
            </w:r>
          </w:p>
        </w:tc>
        <w:tc>
          <w:tcPr>
            <w:tcW w:w="677" w:type="dxa"/>
            <w:vAlign w:val="center"/>
          </w:tcPr>
          <w:p w14:paraId="44AD851D">
            <w:pPr>
              <w:widowControl/>
              <w:shd w:val="clear"/>
              <w:spacing w:line="280" w:lineRule="exact"/>
              <w:jc w:val="center"/>
              <w:rPr>
                <w:rFonts w:ascii="仿宋" w:hAnsi="仿宋" w:eastAsia="仿宋" w:cs="仿宋"/>
                <w:b/>
                <w:color w:val="auto"/>
                <w:kern w:val="0"/>
                <w:highlight w:val="none"/>
              </w:rPr>
            </w:pPr>
            <w:r>
              <w:rPr>
                <w:rFonts w:hint="eastAsia" w:ascii="仿宋" w:hAnsi="仿宋" w:eastAsia="仿宋" w:cs="仿宋"/>
                <w:b/>
                <w:color w:val="auto"/>
                <w:kern w:val="0"/>
                <w:highlight w:val="none"/>
              </w:rPr>
              <w:t>板块</w:t>
            </w:r>
          </w:p>
        </w:tc>
        <w:tc>
          <w:tcPr>
            <w:tcW w:w="1573" w:type="dxa"/>
            <w:vAlign w:val="center"/>
          </w:tcPr>
          <w:p w14:paraId="4FD880D3">
            <w:pPr>
              <w:widowControl/>
              <w:shd w:val="clear"/>
              <w:spacing w:line="280" w:lineRule="exact"/>
              <w:jc w:val="center"/>
              <w:rPr>
                <w:rFonts w:ascii="仿宋" w:hAnsi="仿宋" w:eastAsia="仿宋" w:cs="仿宋"/>
                <w:b/>
                <w:color w:val="auto"/>
                <w:kern w:val="0"/>
                <w:highlight w:val="none"/>
              </w:rPr>
            </w:pPr>
            <w:r>
              <w:rPr>
                <w:rFonts w:hint="eastAsia" w:ascii="仿宋" w:hAnsi="仿宋" w:eastAsia="仿宋" w:cs="仿宋"/>
                <w:b/>
                <w:color w:val="auto"/>
                <w:kern w:val="0"/>
                <w:highlight w:val="none"/>
              </w:rPr>
              <w:t>授权事项</w:t>
            </w:r>
          </w:p>
        </w:tc>
        <w:tc>
          <w:tcPr>
            <w:tcW w:w="6985" w:type="dxa"/>
            <w:vAlign w:val="center"/>
          </w:tcPr>
          <w:p w14:paraId="3FD30FF2">
            <w:pPr>
              <w:widowControl/>
              <w:shd w:val="clear"/>
              <w:spacing w:line="280" w:lineRule="exact"/>
              <w:jc w:val="center"/>
              <w:rPr>
                <w:rFonts w:ascii="仿宋" w:hAnsi="仿宋" w:eastAsia="仿宋" w:cs="仿宋"/>
                <w:b/>
                <w:color w:val="auto"/>
                <w:kern w:val="0"/>
                <w:highlight w:val="none"/>
              </w:rPr>
            </w:pPr>
            <w:r>
              <w:rPr>
                <w:rFonts w:hint="eastAsia" w:ascii="仿宋" w:hAnsi="仿宋" w:eastAsia="仿宋" w:cs="仿宋"/>
                <w:b/>
                <w:color w:val="auto"/>
                <w:kern w:val="0"/>
                <w:highlight w:val="none"/>
              </w:rPr>
              <w:t>授权权限</w:t>
            </w:r>
          </w:p>
        </w:tc>
      </w:tr>
      <w:tr w14:paraId="4F289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64082594">
            <w:pPr>
              <w:widowControl/>
              <w:shd w:val="clear"/>
              <w:spacing w:line="280" w:lineRule="exact"/>
              <w:jc w:val="center"/>
              <w:rPr>
                <w:rFonts w:ascii="仿宋" w:hAnsi="仿宋" w:eastAsia="仿宋" w:cs="仿宋"/>
                <w:b/>
                <w:color w:val="auto"/>
                <w:kern w:val="0"/>
                <w:highlight w:val="none"/>
              </w:rPr>
            </w:pPr>
            <w:r>
              <w:rPr>
                <w:rFonts w:hint="eastAsia" w:ascii="仿宋" w:hAnsi="仿宋" w:eastAsia="仿宋" w:cs="仿宋"/>
                <w:b/>
                <w:color w:val="auto"/>
                <w:kern w:val="0"/>
                <w:highlight w:val="none"/>
              </w:rPr>
              <w:t>1</w:t>
            </w:r>
          </w:p>
        </w:tc>
        <w:tc>
          <w:tcPr>
            <w:tcW w:w="677" w:type="dxa"/>
            <w:vMerge w:val="restart"/>
            <w:vAlign w:val="center"/>
          </w:tcPr>
          <w:p w14:paraId="27969587">
            <w:pPr>
              <w:shd w:val="clear"/>
              <w:spacing w:line="280" w:lineRule="exact"/>
              <w:jc w:val="center"/>
              <w:rPr>
                <w:rFonts w:ascii="仿宋" w:hAnsi="仿宋" w:eastAsia="仿宋" w:cs="仿宋"/>
                <w:b/>
                <w:color w:val="auto"/>
                <w:kern w:val="0"/>
                <w:highlight w:val="none"/>
              </w:rPr>
            </w:pPr>
            <w:r>
              <w:rPr>
                <w:rFonts w:hint="eastAsia" w:ascii="仿宋" w:hAnsi="仿宋" w:eastAsia="仿宋" w:cs="仿宋"/>
                <w:color w:val="auto"/>
                <w:kern w:val="0"/>
                <w:highlight w:val="none"/>
              </w:rPr>
              <w:t>总包管理</w:t>
            </w:r>
          </w:p>
        </w:tc>
        <w:tc>
          <w:tcPr>
            <w:tcW w:w="1573" w:type="dxa"/>
            <w:vAlign w:val="center"/>
          </w:tcPr>
          <w:p w14:paraId="56F3320F">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申请开工</w:t>
            </w:r>
          </w:p>
        </w:tc>
        <w:tc>
          <w:tcPr>
            <w:tcW w:w="6985" w:type="dxa"/>
            <w:vAlign w:val="center"/>
          </w:tcPr>
          <w:p w14:paraId="4AD4575E">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有权向建设单位申请开工。</w:t>
            </w:r>
          </w:p>
        </w:tc>
      </w:tr>
      <w:tr w14:paraId="3864F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52" w:type="dxa"/>
            <w:vAlign w:val="center"/>
          </w:tcPr>
          <w:p w14:paraId="6417DEAC">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2</w:t>
            </w:r>
          </w:p>
        </w:tc>
        <w:tc>
          <w:tcPr>
            <w:tcW w:w="677" w:type="dxa"/>
            <w:vMerge w:val="continue"/>
            <w:vAlign w:val="center"/>
          </w:tcPr>
          <w:p w14:paraId="02C65264">
            <w:pPr>
              <w:widowControl/>
              <w:shd w:val="clear"/>
              <w:spacing w:line="280" w:lineRule="exact"/>
              <w:jc w:val="center"/>
              <w:rPr>
                <w:rFonts w:ascii="仿宋" w:hAnsi="仿宋" w:eastAsia="仿宋" w:cs="仿宋"/>
                <w:color w:val="auto"/>
                <w:kern w:val="0"/>
                <w:highlight w:val="none"/>
              </w:rPr>
            </w:pPr>
          </w:p>
        </w:tc>
        <w:tc>
          <w:tcPr>
            <w:tcW w:w="1573" w:type="dxa"/>
            <w:vAlign w:val="center"/>
          </w:tcPr>
          <w:p w14:paraId="0D537B02">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施工方案、施工组织设计</w:t>
            </w:r>
          </w:p>
        </w:tc>
        <w:tc>
          <w:tcPr>
            <w:tcW w:w="6985" w:type="dxa"/>
            <w:vAlign w:val="center"/>
          </w:tcPr>
          <w:p w14:paraId="56A2A371">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施工方案、施工组织设计、技术措施的编制、交底、实施和落实。</w:t>
            </w:r>
          </w:p>
        </w:tc>
      </w:tr>
      <w:tr w14:paraId="5173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52" w:type="dxa"/>
            <w:vAlign w:val="center"/>
          </w:tcPr>
          <w:p w14:paraId="14F8AC28">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3</w:t>
            </w:r>
          </w:p>
        </w:tc>
        <w:tc>
          <w:tcPr>
            <w:tcW w:w="677" w:type="dxa"/>
            <w:vMerge w:val="continue"/>
            <w:vAlign w:val="center"/>
          </w:tcPr>
          <w:p w14:paraId="22F13307">
            <w:pPr>
              <w:widowControl/>
              <w:shd w:val="clear"/>
              <w:spacing w:line="280" w:lineRule="exact"/>
              <w:jc w:val="center"/>
              <w:rPr>
                <w:rFonts w:ascii="仿宋" w:hAnsi="仿宋" w:eastAsia="仿宋" w:cs="仿宋"/>
                <w:color w:val="auto"/>
                <w:kern w:val="0"/>
                <w:highlight w:val="none"/>
              </w:rPr>
            </w:pPr>
          </w:p>
        </w:tc>
        <w:tc>
          <w:tcPr>
            <w:tcW w:w="1573" w:type="dxa"/>
            <w:vAlign w:val="center"/>
          </w:tcPr>
          <w:p w14:paraId="1A3F6BBC">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报送工程进度</w:t>
            </w:r>
          </w:p>
        </w:tc>
        <w:tc>
          <w:tcPr>
            <w:tcW w:w="6985" w:type="dxa"/>
            <w:vAlign w:val="center"/>
          </w:tcPr>
          <w:p w14:paraId="0E14DD1F">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对外报送工程进度计划及调整。</w:t>
            </w:r>
          </w:p>
        </w:tc>
      </w:tr>
      <w:tr w14:paraId="038C8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5E160A0D">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4</w:t>
            </w:r>
          </w:p>
        </w:tc>
        <w:tc>
          <w:tcPr>
            <w:tcW w:w="677" w:type="dxa"/>
            <w:vMerge w:val="continue"/>
            <w:vAlign w:val="center"/>
          </w:tcPr>
          <w:p w14:paraId="0E8C8797">
            <w:pPr>
              <w:widowControl/>
              <w:shd w:val="clear"/>
              <w:spacing w:line="280" w:lineRule="exact"/>
              <w:jc w:val="left"/>
              <w:rPr>
                <w:rFonts w:ascii="仿宋" w:hAnsi="仿宋" w:eastAsia="仿宋" w:cs="仿宋"/>
                <w:color w:val="auto"/>
                <w:kern w:val="0"/>
                <w:highlight w:val="none"/>
              </w:rPr>
            </w:pPr>
          </w:p>
        </w:tc>
        <w:tc>
          <w:tcPr>
            <w:tcW w:w="1573" w:type="dxa"/>
            <w:vAlign w:val="center"/>
          </w:tcPr>
          <w:p w14:paraId="403A70CA">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物资需用计划</w:t>
            </w:r>
          </w:p>
        </w:tc>
        <w:tc>
          <w:tcPr>
            <w:tcW w:w="6985" w:type="dxa"/>
            <w:vAlign w:val="center"/>
          </w:tcPr>
          <w:p w14:paraId="1D05D36C">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有权向建设单位报送物资需用计划（适用于工程所需材料由建设单位提供）。</w:t>
            </w:r>
          </w:p>
        </w:tc>
      </w:tr>
      <w:tr w14:paraId="3AE9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414F7F81">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5</w:t>
            </w:r>
          </w:p>
        </w:tc>
        <w:tc>
          <w:tcPr>
            <w:tcW w:w="677" w:type="dxa"/>
            <w:vMerge w:val="continue"/>
            <w:vAlign w:val="center"/>
          </w:tcPr>
          <w:p w14:paraId="21DB5B12">
            <w:pPr>
              <w:widowControl/>
              <w:shd w:val="clear"/>
              <w:spacing w:line="280" w:lineRule="exact"/>
              <w:jc w:val="left"/>
              <w:rPr>
                <w:rFonts w:ascii="仿宋" w:hAnsi="仿宋" w:eastAsia="仿宋" w:cs="仿宋"/>
                <w:color w:val="auto"/>
                <w:kern w:val="0"/>
                <w:highlight w:val="none"/>
              </w:rPr>
            </w:pPr>
          </w:p>
        </w:tc>
        <w:tc>
          <w:tcPr>
            <w:tcW w:w="1573" w:type="dxa"/>
            <w:vAlign w:val="center"/>
          </w:tcPr>
          <w:p w14:paraId="774187E5">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甲供材过程及质量问题反馈</w:t>
            </w:r>
          </w:p>
        </w:tc>
        <w:tc>
          <w:tcPr>
            <w:tcW w:w="6985" w:type="dxa"/>
            <w:vAlign w:val="center"/>
          </w:tcPr>
          <w:p w14:paraId="28074B89">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有权就建设单位方供应（控制）的物质，供货过程及质量问题，向建设单位发联系函。</w:t>
            </w:r>
          </w:p>
        </w:tc>
      </w:tr>
      <w:tr w14:paraId="6FA5C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2F505785">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6</w:t>
            </w:r>
          </w:p>
        </w:tc>
        <w:tc>
          <w:tcPr>
            <w:tcW w:w="677" w:type="dxa"/>
            <w:vMerge w:val="continue"/>
            <w:vAlign w:val="center"/>
          </w:tcPr>
          <w:p w14:paraId="383A47BC">
            <w:pPr>
              <w:widowControl/>
              <w:shd w:val="clear"/>
              <w:spacing w:line="280" w:lineRule="exact"/>
              <w:jc w:val="left"/>
              <w:rPr>
                <w:rFonts w:ascii="仿宋" w:hAnsi="仿宋" w:eastAsia="仿宋" w:cs="仿宋"/>
                <w:color w:val="auto"/>
                <w:kern w:val="0"/>
                <w:highlight w:val="none"/>
              </w:rPr>
            </w:pPr>
          </w:p>
        </w:tc>
        <w:tc>
          <w:tcPr>
            <w:tcW w:w="1573" w:type="dxa"/>
            <w:vAlign w:val="center"/>
          </w:tcPr>
          <w:p w14:paraId="2EDEB68A">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废旧物资处理</w:t>
            </w:r>
          </w:p>
        </w:tc>
        <w:tc>
          <w:tcPr>
            <w:tcW w:w="6985" w:type="dxa"/>
            <w:vAlign w:val="center"/>
          </w:tcPr>
          <w:p w14:paraId="310D8B4C">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有权按公司、分公司确定的方案实施处理废旧物资。</w:t>
            </w:r>
          </w:p>
        </w:tc>
      </w:tr>
      <w:tr w14:paraId="0DD0A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44F0714D">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7</w:t>
            </w:r>
          </w:p>
        </w:tc>
        <w:tc>
          <w:tcPr>
            <w:tcW w:w="677" w:type="dxa"/>
            <w:vMerge w:val="continue"/>
            <w:vAlign w:val="center"/>
          </w:tcPr>
          <w:p w14:paraId="5737795A">
            <w:pPr>
              <w:widowControl/>
              <w:shd w:val="clear"/>
              <w:spacing w:line="280" w:lineRule="exact"/>
              <w:jc w:val="left"/>
              <w:rPr>
                <w:rFonts w:ascii="仿宋" w:hAnsi="仿宋" w:eastAsia="仿宋" w:cs="仿宋"/>
                <w:color w:val="auto"/>
                <w:kern w:val="0"/>
                <w:highlight w:val="none"/>
              </w:rPr>
            </w:pPr>
          </w:p>
        </w:tc>
        <w:tc>
          <w:tcPr>
            <w:tcW w:w="1573" w:type="dxa"/>
            <w:vAlign w:val="center"/>
          </w:tcPr>
          <w:p w14:paraId="06375E7F">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设计变更、签证、索赔</w:t>
            </w:r>
          </w:p>
        </w:tc>
        <w:tc>
          <w:tcPr>
            <w:tcW w:w="6985" w:type="dxa"/>
            <w:vAlign w:val="center"/>
          </w:tcPr>
          <w:p w14:paraId="1530D7BA">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有权向建设单位报送设计变更、签证、索赔报价单（单项索赔金额在100万元以内、索赔工期在30天内的由项目部审批，超过此权限范围外的需将索赔工作方案及相关材料报公司/分公司审批）。</w:t>
            </w:r>
          </w:p>
        </w:tc>
      </w:tr>
      <w:tr w14:paraId="50C68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189B0094">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8</w:t>
            </w:r>
          </w:p>
        </w:tc>
        <w:tc>
          <w:tcPr>
            <w:tcW w:w="677" w:type="dxa"/>
            <w:vMerge w:val="continue"/>
            <w:vAlign w:val="center"/>
          </w:tcPr>
          <w:p w14:paraId="0D71F0E8">
            <w:pPr>
              <w:widowControl/>
              <w:shd w:val="clear"/>
              <w:spacing w:line="280" w:lineRule="exact"/>
              <w:jc w:val="left"/>
              <w:rPr>
                <w:rFonts w:ascii="仿宋" w:hAnsi="仿宋" w:eastAsia="仿宋" w:cs="仿宋"/>
                <w:color w:val="auto"/>
                <w:kern w:val="0"/>
                <w:highlight w:val="none"/>
              </w:rPr>
            </w:pPr>
          </w:p>
        </w:tc>
        <w:tc>
          <w:tcPr>
            <w:tcW w:w="1573" w:type="dxa"/>
            <w:vAlign w:val="center"/>
          </w:tcPr>
          <w:p w14:paraId="67339E2A">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对外报量书</w:t>
            </w:r>
          </w:p>
        </w:tc>
        <w:tc>
          <w:tcPr>
            <w:tcW w:w="6985" w:type="dxa"/>
            <w:vAlign w:val="center"/>
          </w:tcPr>
          <w:p w14:paraId="42479FB4">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有权编制对外报量书并报送甲方审核。</w:t>
            </w:r>
          </w:p>
        </w:tc>
      </w:tr>
      <w:tr w14:paraId="1B61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6BFCF86F">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9</w:t>
            </w:r>
          </w:p>
        </w:tc>
        <w:tc>
          <w:tcPr>
            <w:tcW w:w="677" w:type="dxa"/>
            <w:vMerge w:val="continue"/>
            <w:vAlign w:val="center"/>
          </w:tcPr>
          <w:p w14:paraId="62D3A2D9">
            <w:pPr>
              <w:widowControl/>
              <w:shd w:val="clear"/>
              <w:spacing w:line="280" w:lineRule="exact"/>
              <w:jc w:val="left"/>
              <w:rPr>
                <w:rFonts w:ascii="仿宋" w:hAnsi="仿宋" w:eastAsia="仿宋" w:cs="仿宋"/>
                <w:color w:val="auto"/>
                <w:kern w:val="0"/>
                <w:highlight w:val="none"/>
              </w:rPr>
            </w:pPr>
          </w:p>
        </w:tc>
        <w:tc>
          <w:tcPr>
            <w:tcW w:w="1573" w:type="dxa"/>
            <w:vAlign w:val="center"/>
          </w:tcPr>
          <w:p w14:paraId="6C1B47A8">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付款申请</w:t>
            </w:r>
          </w:p>
        </w:tc>
        <w:tc>
          <w:tcPr>
            <w:tcW w:w="6985" w:type="dxa"/>
            <w:vAlign w:val="center"/>
          </w:tcPr>
          <w:p w14:paraId="6D98D64A">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有权向建设单位提出付款申请。</w:t>
            </w:r>
          </w:p>
        </w:tc>
      </w:tr>
      <w:tr w14:paraId="3C58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10641F55">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10</w:t>
            </w:r>
          </w:p>
        </w:tc>
        <w:tc>
          <w:tcPr>
            <w:tcW w:w="677" w:type="dxa"/>
            <w:vMerge w:val="continue"/>
            <w:vAlign w:val="center"/>
          </w:tcPr>
          <w:p w14:paraId="6C12BC92">
            <w:pPr>
              <w:widowControl/>
              <w:shd w:val="clear"/>
              <w:spacing w:line="280" w:lineRule="exact"/>
              <w:jc w:val="left"/>
              <w:rPr>
                <w:rFonts w:ascii="仿宋" w:hAnsi="仿宋" w:eastAsia="仿宋" w:cs="仿宋"/>
                <w:color w:val="auto"/>
                <w:kern w:val="0"/>
                <w:highlight w:val="none"/>
              </w:rPr>
            </w:pPr>
          </w:p>
        </w:tc>
        <w:tc>
          <w:tcPr>
            <w:tcW w:w="1573" w:type="dxa"/>
            <w:vAlign w:val="center"/>
          </w:tcPr>
          <w:p w14:paraId="25D90BD3">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申请工程竣工验收</w:t>
            </w:r>
          </w:p>
        </w:tc>
        <w:tc>
          <w:tcPr>
            <w:tcW w:w="6985" w:type="dxa"/>
            <w:vAlign w:val="center"/>
          </w:tcPr>
          <w:p w14:paraId="12A76EF4">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有权报监理单位、建设单位组织验收（需经分公司/公司审批通过）。验收合格的，有权向建设单位提出竣工验收申请。</w:t>
            </w:r>
          </w:p>
        </w:tc>
      </w:tr>
      <w:tr w14:paraId="3C7F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20303D45">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11</w:t>
            </w:r>
          </w:p>
        </w:tc>
        <w:tc>
          <w:tcPr>
            <w:tcW w:w="677" w:type="dxa"/>
            <w:vMerge w:val="continue"/>
            <w:vAlign w:val="center"/>
          </w:tcPr>
          <w:p w14:paraId="75AB49F1">
            <w:pPr>
              <w:widowControl/>
              <w:shd w:val="clear"/>
              <w:spacing w:line="280" w:lineRule="exact"/>
              <w:jc w:val="left"/>
              <w:rPr>
                <w:rFonts w:ascii="仿宋" w:hAnsi="仿宋" w:eastAsia="仿宋" w:cs="仿宋"/>
                <w:color w:val="auto"/>
                <w:kern w:val="0"/>
                <w:highlight w:val="none"/>
              </w:rPr>
            </w:pPr>
          </w:p>
        </w:tc>
        <w:tc>
          <w:tcPr>
            <w:tcW w:w="1573" w:type="dxa"/>
            <w:vAlign w:val="center"/>
          </w:tcPr>
          <w:p w14:paraId="4740A680">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工程交付</w:t>
            </w:r>
          </w:p>
        </w:tc>
        <w:tc>
          <w:tcPr>
            <w:tcW w:w="6985" w:type="dxa"/>
            <w:vAlign w:val="center"/>
          </w:tcPr>
          <w:p w14:paraId="16405166">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有权组织向建设单位进行交付（需经分公司/公司审批通过后），办理工程移交单。</w:t>
            </w:r>
          </w:p>
        </w:tc>
      </w:tr>
      <w:tr w14:paraId="6EAB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7DD84565">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12</w:t>
            </w:r>
          </w:p>
        </w:tc>
        <w:tc>
          <w:tcPr>
            <w:tcW w:w="677" w:type="dxa"/>
            <w:vMerge w:val="continue"/>
            <w:vAlign w:val="center"/>
          </w:tcPr>
          <w:p w14:paraId="6CEB35EA">
            <w:pPr>
              <w:widowControl/>
              <w:shd w:val="clear"/>
              <w:spacing w:line="280" w:lineRule="exact"/>
              <w:jc w:val="left"/>
              <w:rPr>
                <w:rFonts w:ascii="仿宋" w:hAnsi="仿宋" w:eastAsia="仿宋" w:cs="仿宋"/>
                <w:color w:val="auto"/>
                <w:kern w:val="0"/>
                <w:highlight w:val="none"/>
              </w:rPr>
            </w:pPr>
          </w:p>
        </w:tc>
        <w:tc>
          <w:tcPr>
            <w:tcW w:w="1573" w:type="dxa"/>
            <w:vAlign w:val="center"/>
          </w:tcPr>
          <w:p w14:paraId="16804686">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撤销保函</w:t>
            </w:r>
          </w:p>
        </w:tc>
        <w:tc>
          <w:tcPr>
            <w:tcW w:w="6985" w:type="dxa"/>
            <w:vAlign w:val="center"/>
          </w:tcPr>
          <w:p w14:paraId="521E478A">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有权办理我公司对外开立的保函撤销相关工作。</w:t>
            </w:r>
          </w:p>
        </w:tc>
      </w:tr>
      <w:tr w14:paraId="4DA9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3D3090EA">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13</w:t>
            </w:r>
          </w:p>
        </w:tc>
        <w:tc>
          <w:tcPr>
            <w:tcW w:w="677" w:type="dxa"/>
            <w:vMerge w:val="continue"/>
            <w:vAlign w:val="center"/>
          </w:tcPr>
          <w:p w14:paraId="0B343980">
            <w:pPr>
              <w:widowControl/>
              <w:shd w:val="clear"/>
              <w:spacing w:line="280" w:lineRule="exact"/>
              <w:jc w:val="left"/>
              <w:rPr>
                <w:rFonts w:ascii="仿宋" w:hAnsi="仿宋" w:eastAsia="仿宋" w:cs="仿宋"/>
                <w:color w:val="auto"/>
                <w:kern w:val="0"/>
                <w:highlight w:val="none"/>
              </w:rPr>
            </w:pPr>
          </w:p>
        </w:tc>
        <w:tc>
          <w:tcPr>
            <w:tcW w:w="1573" w:type="dxa"/>
            <w:vAlign w:val="center"/>
          </w:tcPr>
          <w:p w14:paraId="6D8EAAD4">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递交结算资料</w:t>
            </w:r>
          </w:p>
        </w:tc>
        <w:tc>
          <w:tcPr>
            <w:tcW w:w="6985" w:type="dxa"/>
            <w:vAlign w:val="center"/>
          </w:tcPr>
          <w:p w14:paraId="153C8439">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有权向建设单位递交工程结算书及结算资料（需经分公司/公司审批）。</w:t>
            </w:r>
          </w:p>
        </w:tc>
      </w:tr>
      <w:tr w14:paraId="48206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71F96416">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14</w:t>
            </w:r>
          </w:p>
        </w:tc>
        <w:tc>
          <w:tcPr>
            <w:tcW w:w="677" w:type="dxa"/>
            <w:vMerge w:val="continue"/>
            <w:vAlign w:val="center"/>
          </w:tcPr>
          <w:p w14:paraId="0781817A">
            <w:pPr>
              <w:widowControl/>
              <w:shd w:val="clear"/>
              <w:spacing w:line="280" w:lineRule="exact"/>
              <w:jc w:val="left"/>
              <w:rPr>
                <w:rFonts w:ascii="仿宋" w:hAnsi="仿宋" w:eastAsia="仿宋" w:cs="仿宋"/>
                <w:color w:val="auto"/>
                <w:kern w:val="0"/>
                <w:highlight w:val="none"/>
              </w:rPr>
            </w:pPr>
          </w:p>
        </w:tc>
        <w:tc>
          <w:tcPr>
            <w:tcW w:w="1573" w:type="dxa"/>
            <w:vAlign w:val="center"/>
          </w:tcPr>
          <w:p w14:paraId="0E50E4F0">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应收账款对账</w:t>
            </w:r>
          </w:p>
        </w:tc>
        <w:tc>
          <w:tcPr>
            <w:tcW w:w="6985" w:type="dxa"/>
            <w:vAlign w:val="center"/>
          </w:tcPr>
          <w:p w14:paraId="506B86D4">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有权与建设单位进行对账，将双方应收（付）账款金额核对一致。</w:t>
            </w:r>
          </w:p>
        </w:tc>
      </w:tr>
      <w:tr w14:paraId="0B645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1D8F986F">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15</w:t>
            </w:r>
          </w:p>
        </w:tc>
        <w:tc>
          <w:tcPr>
            <w:tcW w:w="677" w:type="dxa"/>
            <w:vMerge w:val="continue"/>
            <w:vAlign w:val="center"/>
          </w:tcPr>
          <w:p w14:paraId="28D7AB06">
            <w:pPr>
              <w:widowControl/>
              <w:shd w:val="clear"/>
              <w:spacing w:line="280" w:lineRule="exact"/>
              <w:jc w:val="left"/>
              <w:rPr>
                <w:rFonts w:ascii="仿宋" w:hAnsi="仿宋" w:eastAsia="仿宋" w:cs="仿宋"/>
                <w:color w:val="auto"/>
                <w:kern w:val="0"/>
                <w:highlight w:val="none"/>
              </w:rPr>
            </w:pPr>
          </w:p>
        </w:tc>
        <w:tc>
          <w:tcPr>
            <w:tcW w:w="1573" w:type="dxa"/>
            <w:vAlign w:val="center"/>
          </w:tcPr>
          <w:p w14:paraId="74C8D0B4">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催款单</w:t>
            </w:r>
          </w:p>
        </w:tc>
        <w:tc>
          <w:tcPr>
            <w:tcW w:w="6985" w:type="dxa"/>
            <w:vAlign w:val="center"/>
          </w:tcPr>
          <w:p w14:paraId="56FB8D30">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根据《工程施工合同》有关条款，在存在拖欠工程款时，有权向建设单位发函催收。</w:t>
            </w:r>
          </w:p>
        </w:tc>
      </w:tr>
      <w:tr w14:paraId="0271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238787D8">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16</w:t>
            </w:r>
          </w:p>
        </w:tc>
        <w:tc>
          <w:tcPr>
            <w:tcW w:w="677" w:type="dxa"/>
            <w:vMerge w:val="restart"/>
            <w:vAlign w:val="center"/>
          </w:tcPr>
          <w:p w14:paraId="21731F32">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分包（供）管理</w:t>
            </w:r>
          </w:p>
        </w:tc>
        <w:tc>
          <w:tcPr>
            <w:tcW w:w="1573" w:type="dxa"/>
            <w:vAlign w:val="center"/>
          </w:tcPr>
          <w:p w14:paraId="58807DB4">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分包（供）合同管理</w:t>
            </w:r>
          </w:p>
        </w:tc>
        <w:tc>
          <w:tcPr>
            <w:tcW w:w="6985" w:type="dxa"/>
            <w:vAlign w:val="center"/>
          </w:tcPr>
          <w:p w14:paraId="5463599A">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有权根据公司/分公司授权范围进行谈判，均需报分公司/公司审批签约。</w:t>
            </w:r>
          </w:p>
        </w:tc>
      </w:tr>
      <w:tr w14:paraId="0F57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52" w:type="dxa"/>
            <w:vAlign w:val="center"/>
          </w:tcPr>
          <w:p w14:paraId="4E0D8B56">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17</w:t>
            </w:r>
          </w:p>
        </w:tc>
        <w:tc>
          <w:tcPr>
            <w:tcW w:w="677" w:type="dxa"/>
            <w:vMerge w:val="continue"/>
            <w:vAlign w:val="center"/>
          </w:tcPr>
          <w:p w14:paraId="78A7503C">
            <w:pPr>
              <w:widowControl/>
              <w:shd w:val="clear"/>
              <w:spacing w:line="280" w:lineRule="exact"/>
              <w:jc w:val="left"/>
              <w:rPr>
                <w:rFonts w:ascii="仿宋" w:hAnsi="仿宋" w:eastAsia="仿宋" w:cs="仿宋"/>
                <w:color w:val="auto"/>
                <w:kern w:val="0"/>
                <w:highlight w:val="none"/>
              </w:rPr>
            </w:pPr>
          </w:p>
        </w:tc>
        <w:tc>
          <w:tcPr>
            <w:tcW w:w="1573" w:type="dxa"/>
            <w:vAlign w:val="center"/>
          </w:tcPr>
          <w:p w14:paraId="45BE1784">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分包（供）合同签证管理</w:t>
            </w:r>
          </w:p>
        </w:tc>
        <w:tc>
          <w:tcPr>
            <w:tcW w:w="6985" w:type="dxa"/>
            <w:vAlign w:val="center"/>
          </w:tcPr>
          <w:p w14:paraId="2898F766">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分包（供）合同签证接收与初审（单项签证索赔金额在3万元以内，总金额在15万元以内的以项目部为主洽商，结果需报公司/分公司审核，审核后方可作为结算依据；超过需由公司/分公司牵头与项目部共同洽商）。</w:t>
            </w:r>
          </w:p>
        </w:tc>
      </w:tr>
      <w:tr w14:paraId="6BC9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373C1F22">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18</w:t>
            </w:r>
          </w:p>
        </w:tc>
        <w:tc>
          <w:tcPr>
            <w:tcW w:w="677" w:type="dxa"/>
            <w:vMerge w:val="continue"/>
            <w:vAlign w:val="center"/>
          </w:tcPr>
          <w:p w14:paraId="188334F8">
            <w:pPr>
              <w:widowControl/>
              <w:shd w:val="clear"/>
              <w:spacing w:line="280" w:lineRule="exact"/>
              <w:jc w:val="left"/>
              <w:rPr>
                <w:rFonts w:ascii="仿宋" w:hAnsi="仿宋" w:eastAsia="仿宋" w:cs="仿宋"/>
                <w:color w:val="auto"/>
                <w:kern w:val="0"/>
                <w:highlight w:val="none"/>
              </w:rPr>
            </w:pPr>
          </w:p>
        </w:tc>
        <w:tc>
          <w:tcPr>
            <w:tcW w:w="1573" w:type="dxa"/>
            <w:vAlign w:val="center"/>
          </w:tcPr>
          <w:p w14:paraId="7C93CADB">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分包劳务工人进退场</w:t>
            </w:r>
          </w:p>
        </w:tc>
        <w:tc>
          <w:tcPr>
            <w:tcW w:w="6985" w:type="dxa"/>
            <w:vAlign w:val="center"/>
          </w:tcPr>
          <w:p w14:paraId="4CDA3FAD">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有权确认劳务分包工人进退场。</w:t>
            </w:r>
          </w:p>
        </w:tc>
      </w:tr>
      <w:tr w14:paraId="48C8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309CAC56">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19</w:t>
            </w:r>
          </w:p>
        </w:tc>
        <w:tc>
          <w:tcPr>
            <w:tcW w:w="677" w:type="dxa"/>
            <w:vMerge w:val="continue"/>
            <w:vAlign w:val="center"/>
          </w:tcPr>
          <w:p w14:paraId="058C3A95">
            <w:pPr>
              <w:widowControl/>
              <w:shd w:val="clear"/>
              <w:spacing w:line="280" w:lineRule="exact"/>
              <w:jc w:val="left"/>
              <w:rPr>
                <w:rFonts w:ascii="仿宋" w:hAnsi="仿宋" w:eastAsia="仿宋" w:cs="仿宋"/>
                <w:color w:val="auto"/>
                <w:kern w:val="0"/>
                <w:highlight w:val="none"/>
              </w:rPr>
            </w:pPr>
          </w:p>
        </w:tc>
        <w:tc>
          <w:tcPr>
            <w:tcW w:w="1573" w:type="dxa"/>
            <w:vAlign w:val="center"/>
          </w:tcPr>
          <w:p w14:paraId="6FB029B6">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劳动力分配计划</w:t>
            </w:r>
          </w:p>
        </w:tc>
        <w:tc>
          <w:tcPr>
            <w:tcW w:w="6985" w:type="dxa"/>
            <w:vAlign w:val="center"/>
          </w:tcPr>
          <w:p w14:paraId="543D252D">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有权要求分包方按要求配置劳动力。</w:t>
            </w:r>
          </w:p>
        </w:tc>
      </w:tr>
      <w:tr w14:paraId="4E59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3C7A0F18">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20</w:t>
            </w:r>
          </w:p>
        </w:tc>
        <w:tc>
          <w:tcPr>
            <w:tcW w:w="677" w:type="dxa"/>
            <w:vMerge w:val="continue"/>
            <w:vAlign w:val="center"/>
          </w:tcPr>
          <w:p w14:paraId="31A1DD77">
            <w:pPr>
              <w:widowControl/>
              <w:shd w:val="clear"/>
              <w:spacing w:line="280" w:lineRule="exact"/>
              <w:jc w:val="left"/>
              <w:rPr>
                <w:rFonts w:ascii="仿宋" w:hAnsi="仿宋" w:eastAsia="仿宋" w:cs="仿宋"/>
                <w:color w:val="auto"/>
                <w:kern w:val="0"/>
                <w:highlight w:val="none"/>
              </w:rPr>
            </w:pPr>
          </w:p>
        </w:tc>
        <w:tc>
          <w:tcPr>
            <w:tcW w:w="1573" w:type="dxa"/>
            <w:vAlign w:val="center"/>
          </w:tcPr>
          <w:p w14:paraId="29B9FE97">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现场零星工程指令</w:t>
            </w:r>
          </w:p>
        </w:tc>
        <w:tc>
          <w:tcPr>
            <w:tcW w:w="6985" w:type="dxa"/>
            <w:vAlign w:val="center"/>
          </w:tcPr>
          <w:p w14:paraId="5F68B0F5">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有权根据需要向分供方签发现场零星工程指令（金额在5万元以内）。</w:t>
            </w:r>
          </w:p>
        </w:tc>
      </w:tr>
      <w:tr w14:paraId="1715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552" w:type="dxa"/>
            <w:vMerge w:val="restart"/>
            <w:vAlign w:val="center"/>
          </w:tcPr>
          <w:p w14:paraId="5E626597">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21</w:t>
            </w:r>
          </w:p>
        </w:tc>
        <w:tc>
          <w:tcPr>
            <w:tcW w:w="677" w:type="dxa"/>
            <w:vMerge w:val="continue"/>
            <w:vAlign w:val="center"/>
          </w:tcPr>
          <w:p w14:paraId="7FE0447E">
            <w:pPr>
              <w:widowControl/>
              <w:shd w:val="clear"/>
              <w:spacing w:line="280" w:lineRule="exact"/>
              <w:jc w:val="left"/>
              <w:rPr>
                <w:rFonts w:ascii="仿宋" w:hAnsi="仿宋" w:eastAsia="仿宋" w:cs="仿宋"/>
                <w:color w:val="auto"/>
                <w:kern w:val="0"/>
                <w:highlight w:val="none"/>
              </w:rPr>
            </w:pPr>
          </w:p>
        </w:tc>
        <w:tc>
          <w:tcPr>
            <w:tcW w:w="1573" w:type="dxa"/>
            <w:vMerge w:val="restart"/>
            <w:vAlign w:val="center"/>
          </w:tcPr>
          <w:p w14:paraId="59B09287">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紧急采购、零星物资采购</w:t>
            </w:r>
          </w:p>
        </w:tc>
        <w:tc>
          <w:tcPr>
            <w:tcW w:w="6985" w:type="dxa"/>
            <w:vAlign w:val="center"/>
          </w:tcPr>
          <w:p w14:paraId="65F22F84">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零星采购：公司权限内，材料类单项采购金额低于10万元，周转料具类单项租赁金额低于5万元，设备类单项采购金额低于5万元。</w:t>
            </w:r>
          </w:p>
        </w:tc>
      </w:tr>
      <w:tr w14:paraId="38F84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52" w:type="dxa"/>
            <w:vMerge w:val="continue"/>
            <w:vAlign w:val="center"/>
          </w:tcPr>
          <w:p w14:paraId="37697A0C">
            <w:pPr>
              <w:widowControl/>
              <w:shd w:val="clear"/>
              <w:spacing w:line="280" w:lineRule="exact"/>
              <w:jc w:val="center"/>
              <w:rPr>
                <w:rFonts w:ascii="仿宋" w:hAnsi="仿宋" w:eastAsia="仿宋" w:cs="仿宋"/>
                <w:color w:val="auto"/>
                <w:kern w:val="0"/>
                <w:highlight w:val="none"/>
              </w:rPr>
            </w:pPr>
          </w:p>
        </w:tc>
        <w:tc>
          <w:tcPr>
            <w:tcW w:w="677" w:type="dxa"/>
            <w:vMerge w:val="continue"/>
            <w:vAlign w:val="center"/>
          </w:tcPr>
          <w:p w14:paraId="647BF307">
            <w:pPr>
              <w:widowControl/>
              <w:shd w:val="clear"/>
              <w:spacing w:line="280" w:lineRule="exact"/>
              <w:jc w:val="left"/>
              <w:rPr>
                <w:rFonts w:ascii="仿宋" w:hAnsi="仿宋" w:eastAsia="仿宋" w:cs="仿宋"/>
                <w:color w:val="auto"/>
                <w:kern w:val="0"/>
                <w:highlight w:val="none"/>
              </w:rPr>
            </w:pPr>
          </w:p>
        </w:tc>
        <w:tc>
          <w:tcPr>
            <w:tcW w:w="1573" w:type="dxa"/>
            <w:vMerge w:val="continue"/>
            <w:vAlign w:val="center"/>
          </w:tcPr>
          <w:p w14:paraId="02273720">
            <w:pPr>
              <w:widowControl/>
              <w:shd w:val="clear"/>
              <w:spacing w:line="280" w:lineRule="exact"/>
              <w:jc w:val="left"/>
              <w:rPr>
                <w:rFonts w:ascii="仿宋" w:hAnsi="仿宋" w:eastAsia="仿宋" w:cs="仿宋"/>
                <w:color w:val="auto"/>
                <w:kern w:val="0"/>
                <w:highlight w:val="none"/>
              </w:rPr>
            </w:pPr>
          </w:p>
        </w:tc>
        <w:tc>
          <w:tcPr>
            <w:tcW w:w="6985" w:type="dxa"/>
            <w:vAlign w:val="center"/>
          </w:tcPr>
          <w:p w14:paraId="357A8976">
            <w:pPr>
              <w:shd w:val="clear"/>
              <w:spacing w:line="280" w:lineRule="exact"/>
              <w:jc w:val="left"/>
              <w:rPr>
                <w:rFonts w:ascii="仿宋" w:hAnsi="仿宋" w:eastAsia="仿宋" w:cs="仿宋"/>
                <w:color w:val="auto"/>
                <w:highlight w:val="none"/>
              </w:rPr>
            </w:pPr>
            <w:r>
              <w:rPr>
                <w:rFonts w:hint="eastAsia" w:ascii="仿宋" w:hAnsi="仿宋" w:eastAsia="仿宋" w:cs="仿宋"/>
                <w:color w:val="auto"/>
                <w:kern w:val="0"/>
                <w:highlight w:val="none"/>
              </w:rPr>
              <w:t>紧急采购：报公司审核后，项目实施采购。</w:t>
            </w:r>
          </w:p>
        </w:tc>
      </w:tr>
      <w:tr w14:paraId="12003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552" w:type="dxa"/>
            <w:vAlign w:val="center"/>
          </w:tcPr>
          <w:p w14:paraId="28EC7FE1">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22</w:t>
            </w:r>
          </w:p>
        </w:tc>
        <w:tc>
          <w:tcPr>
            <w:tcW w:w="677" w:type="dxa"/>
            <w:vMerge w:val="continue"/>
            <w:vAlign w:val="center"/>
          </w:tcPr>
          <w:p w14:paraId="13F29FFA">
            <w:pPr>
              <w:widowControl/>
              <w:shd w:val="clear"/>
              <w:spacing w:line="280" w:lineRule="exact"/>
              <w:jc w:val="left"/>
              <w:rPr>
                <w:rFonts w:ascii="仿宋" w:hAnsi="仿宋" w:eastAsia="仿宋" w:cs="仿宋"/>
                <w:color w:val="auto"/>
                <w:kern w:val="0"/>
                <w:highlight w:val="none"/>
              </w:rPr>
            </w:pPr>
          </w:p>
        </w:tc>
        <w:tc>
          <w:tcPr>
            <w:tcW w:w="1573" w:type="dxa"/>
            <w:vAlign w:val="center"/>
          </w:tcPr>
          <w:p w14:paraId="5DEFE700">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材料、料具、设备进退场</w:t>
            </w:r>
          </w:p>
        </w:tc>
        <w:tc>
          <w:tcPr>
            <w:tcW w:w="6985" w:type="dxa"/>
            <w:vAlign w:val="center"/>
          </w:tcPr>
          <w:p w14:paraId="577DD925">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有权向分供方发送物资进退场通知单；有权确认材料、料具、设备及退货材料的进退场单据。</w:t>
            </w:r>
          </w:p>
        </w:tc>
      </w:tr>
      <w:tr w14:paraId="49B4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2DD9ED0E">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23</w:t>
            </w:r>
          </w:p>
        </w:tc>
        <w:tc>
          <w:tcPr>
            <w:tcW w:w="677" w:type="dxa"/>
            <w:vMerge w:val="continue"/>
            <w:vAlign w:val="center"/>
          </w:tcPr>
          <w:p w14:paraId="1C67F2C0">
            <w:pPr>
              <w:widowControl/>
              <w:shd w:val="clear"/>
              <w:spacing w:line="280" w:lineRule="exact"/>
              <w:jc w:val="left"/>
              <w:rPr>
                <w:rFonts w:ascii="仿宋" w:hAnsi="仿宋" w:eastAsia="仿宋" w:cs="仿宋"/>
                <w:color w:val="auto"/>
                <w:kern w:val="0"/>
                <w:highlight w:val="none"/>
              </w:rPr>
            </w:pPr>
          </w:p>
        </w:tc>
        <w:tc>
          <w:tcPr>
            <w:tcW w:w="1573" w:type="dxa"/>
            <w:vAlign w:val="center"/>
          </w:tcPr>
          <w:p w14:paraId="5AD88039">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物资发放</w:t>
            </w:r>
          </w:p>
        </w:tc>
        <w:tc>
          <w:tcPr>
            <w:tcW w:w="6985" w:type="dxa"/>
            <w:vAlign w:val="center"/>
          </w:tcPr>
          <w:p w14:paraId="3EBBE7B2">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有权确认有关物资发放的领料单、退货单、混凝土浇灌申请表（不含调拨单）。</w:t>
            </w:r>
          </w:p>
        </w:tc>
      </w:tr>
      <w:tr w14:paraId="7401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552" w:type="dxa"/>
            <w:vAlign w:val="center"/>
          </w:tcPr>
          <w:p w14:paraId="2717BA35">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24</w:t>
            </w:r>
          </w:p>
        </w:tc>
        <w:tc>
          <w:tcPr>
            <w:tcW w:w="677" w:type="dxa"/>
            <w:vMerge w:val="continue"/>
            <w:vAlign w:val="center"/>
          </w:tcPr>
          <w:p w14:paraId="544F3ADA">
            <w:pPr>
              <w:widowControl/>
              <w:shd w:val="clear"/>
              <w:spacing w:line="280" w:lineRule="exact"/>
              <w:jc w:val="left"/>
              <w:rPr>
                <w:rFonts w:ascii="仿宋" w:hAnsi="仿宋" w:eastAsia="仿宋" w:cs="仿宋"/>
                <w:color w:val="auto"/>
                <w:kern w:val="0"/>
                <w:highlight w:val="none"/>
              </w:rPr>
            </w:pPr>
          </w:p>
        </w:tc>
        <w:tc>
          <w:tcPr>
            <w:tcW w:w="1573" w:type="dxa"/>
            <w:vAlign w:val="center"/>
          </w:tcPr>
          <w:p w14:paraId="7E918E7D">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履约整改通知</w:t>
            </w:r>
          </w:p>
        </w:tc>
        <w:tc>
          <w:tcPr>
            <w:tcW w:w="6985" w:type="dxa"/>
            <w:vAlign w:val="center"/>
          </w:tcPr>
          <w:p w14:paraId="311454B0">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对分包分供方工程项目的履约情况进行监控和核查，发现问题后，有权通知要求分包分供方进行整改。</w:t>
            </w:r>
          </w:p>
        </w:tc>
      </w:tr>
      <w:tr w14:paraId="26E1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7D737FA8">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25</w:t>
            </w:r>
          </w:p>
        </w:tc>
        <w:tc>
          <w:tcPr>
            <w:tcW w:w="677" w:type="dxa"/>
            <w:vMerge w:val="continue"/>
            <w:vAlign w:val="center"/>
          </w:tcPr>
          <w:p w14:paraId="52F55421">
            <w:pPr>
              <w:widowControl/>
              <w:shd w:val="clear"/>
              <w:spacing w:line="280" w:lineRule="exact"/>
              <w:jc w:val="left"/>
              <w:rPr>
                <w:rFonts w:ascii="仿宋" w:hAnsi="仿宋" w:eastAsia="仿宋" w:cs="仿宋"/>
                <w:color w:val="auto"/>
                <w:kern w:val="0"/>
                <w:highlight w:val="none"/>
              </w:rPr>
            </w:pPr>
          </w:p>
        </w:tc>
        <w:tc>
          <w:tcPr>
            <w:tcW w:w="1573" w:type="dxa"/>
            <w:vAlign w:val="center"/>
          </w:tcPr>
          <w:p w14:paraId="28A958D2">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分包分供方处罚</w:t>
            </w:r>
          </w:p>
        </w:tc>
        <w:tc>
          <w:tcPr>
            <w:tcW w:w="6985" w:type="dxa"/>
            <w:vAlign w:val="center"/>
          </w:tcPr>
          <w:p w14:paraId="03C13A2C">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有权根据合同约定对不服从管理或违约的分包分供方作出处罚的决定。</w:t>
            </w:r>
          </w:p>
        </w:tc>
      </w:tr>
      <w:tr w14:paraId="7CCF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552" w:type="dxa"/>
            <w:vAlign w:val="center"/>
          </w:tcPr>
          <w:p w14:paraId="2F5B0313">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26</w:t>
            </w:r>
          </w:p>
        </w:tc>
        <w:tc>
          <w:tcPr>
            <w:tcW w:w="677" w:type="dxa"/>
            <w:vMerge w:val="continue"/>
            <w:vAlign w:val="center"/>
          </w:tcPr>
          <w:p w14:paraId="5191BB0E">
            <w:pPr>
              <w:widowControl/>
              <w:shd w:val="clear"/>
              <w:spacing w:line="280" w:lineRule="exact"/>
              <w:jc w:val="left"/>
              <w:rPr>
                <w:rFonts w:ascii="仿宋" w:hAnsi="仿宋" w:eastAsia="仿宋" w:cs="仿宋"/>
                <w:color w:val="auto"/>
                <w:kern w:val="0"/>
                <w:highlight w:val="none"/>
              </w:rPr>
            </w:pPr>
          </w:p>
        </w:tc>
        <w:tc>
          <w:tcPr>
            <w:tcW w:w="1573" w:type="dxa"/>
            <w:vAlign w:val="center"/>
          </w:tcPr>
          <w:p w14:paraId="5EC1E90B">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分包分供方结算扣款</w:t>
            </w:r>
          </w:p>
        </w:tc>
        <w:tc>
          <w:tcPr>
            <w:tcW w:w="6985" w:type="dxa"/>
            <w:vAlign w:val="center"/>
          </w:tcPr>
          <w:p w14:paraId="5016267C">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有权在中间结算和最终结算时扣除分包分供方应扣款项（包括但不限于委托采购材料扣款、料具、机械租赁费扣款、项目现场管理费用扣款、临建费、维修费扣款、规费分摊扣款、水电费、罚款及税金扣款等）。</w:t>
            </w:r>
          </w:p>
        </w:tc>
      </w:tr>
      <w:tr w14:paraId="3E2D5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3420907E">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27</w:t>
            </w:r>
          </w:p>
        </w:tc>
        <w:tc>
          <w:tcPr>
            <w:tcW w:w="677" w:type="dxa"/>
            <w:vMerge w:val="restart"/>
            <w:vAlign w:val="center"/>
          </w:tcPr>
          <w:p w14:paraId="60540850">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安全管理</w:t>
            </w:r>
          </w:p>
        </w:tc>
        <w:tc>
          <w:tcPr>
            <w:tcW w:w="1573" w:type="dxa"/>
            <w:vAlign w:val="center"/>
          </w:tcPr>
          <w:p w14:paraId="12CFDD67">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事故现场秩序维护</w:t>
            </w:r>
          </w:p>
        </w:tc>
        <w:tc>
          <w:tcPr>
            <w:tcW w:w="6985" w:type="dxa"/>
            <w:vAlign w:val="center"/>
          </w:tcPr>
          <w:p w14:paraId="4B6D60F4">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有权维护安全事故现场秩序。涉及赔偿的，赔偿数额确定需经分公司审批（不含安全事故责任认定及赔偿）。</w:t>
            </w:r>
          </w:p>
        </w:tc>
      </w:tr>
      <w:tr w14:paraId="25DCD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6C18F0A3">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28</w:t>
            </w:r>
          </w:p>
        </w:tc>
        <w:tc>
          <w:tcPr>
            <w:tcW w:w="677" w:type="dxa"/>
            <w:vMerge w:val="continue"/>
            <w:vAlign w:val="center"/>
          </w:tcPr>
          <w:p w14:paraId="13D48179">
            <w:pPr>
              <w:widowControl/>
              <w:shd w:val="clear"/>
              <w:spacing w:line="280" w:lineRule="exact"/>
              <w:jc w:val="left"/>
              <w:rPr>
                <w:rFonts w:ascii="仿宋" w:hAnsi="仿宋" w:eastAsia="仿宋" w:cs="仿宋"/>
                <w:color w:val="auto"/>
                <w:kern w:val="0"/>
                <w:highlight w:val="none"/>
              </w:rPr>
            </w:pPr>
          </w:p>
        </w:tc>
        <w:tc>
          <w:tcPr>
            <w:tcW w:w="1573" w:type="dxa"/>
            <w:vAlign w:val="center"/>
          </w:tcPr>
          <w:p w14:paraId="5A77B3EE">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安全事故处理方案</w:t>
            </w:r>
          </w:p>
        </w:tc>
        <w:tc>
          <w:tcPr>
            <w:tcW w:w="6985" w:type="dxa"/>
            <w:vAlign w:val="center"/>
          </w:tcPr>
          <w:p w14:paraId="3D3E9B69">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发生安全事故后，有权启动应急预案。</w:t>
            </w:r>
          </w:p>
        </w:tc>
      </w:tr>
      <w:tr w14:paraId="118B9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52" w:type="dxa"/>
            <w:vAlign w:val="center"/>
          </w:tcPr>
          <w:p w14:paraId="255DB3D3">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29</w:t>
            </w:r>
          </w:p>
        </w:tc>
        <w:tc>
          <w:tcPr>
            <w:tcW w:w="677" w:type="dxa"/>
            <w:vMerge w:val="restart"/>
            <w:vAlign w:val="center"/>
          </w:tcPr>
          <w:p w14:paraId="16C877B4">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质量管理</w:t>
            </w:r>
          </w:p>
        </w:tc>
        <w:tc>
          <w:tcPr>
            <w:tcW w:w="1573" w:type="dxa"/>
            <w:vAlign w:val="center"/>
          </w:tcPr>
          <w:p w14:paraId="23A4E3E6">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质量验收</w:t>
            </w:r>
          </w:p>
        </w:tc>
        <w:tc>
          <w:tcPr>
            <w:tcW w:w="6985" w:type="dxa"/>
            <w:vAlign w:val="center"/>
          </w:tcPr>
          <w:p w14:paraId="07C7A82E">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有权组织实施质量验收工作。</w:t>
            </w:r>
          </w:p>
        </w:tc>
      </w:tr>
      <w:tr w14:paraId="1CC8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32B89831">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30</w:t>
            </w:r>
          </w:p>
        </w:tc>
        <w:tc>
          <w:tcPr>
            <w:tcW w:w="677" w:type="dxa"/>
            <w:vMerge w:val="continue"/>
            <w:vAlign w:val="center"/>
          </w:tcPr>
          <w:p w14:paraId="6EB35661">
            <w:pPr>
              <w:widowControl/>
              <w:shd w:val="clear"/>
              <w:spacing w:line="280" w:lineRule="exact"/>
              <w:jc w:val="left"/>
              <w:rPr>
                <w:rFonts w:ascii="仿宋" w:hAnsi="仿宋" w:eastAsia="仿宋" w:cs="仿宋"/>
                <w:color w:val="auto"/>
                <w:kern w:val="0"/>
                <w:highlight w:val="none"/>
              </w:rPr>
            </w:pPr>
          </w:p>
        </w:tc>
        <w:tc>
          <w:tcPr>
            <w:tcW w:w="1573" w:type="dxa"/>
            <w:vAlign w:val="center"/>
          </w:tcPr>
          <w:p w14:paraId="7105CB7C">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质量事故应急措施</w:t>
            </w:r>
          </w:p>
        </w:tc>
        <w:tc>
          <w:tcPr>
            <w:tcW w:w="6985" w:type="dxa"/>
            <w:vAlign w:val="center"/>
          </w:tcPr>
          <w:p w14:paraId="065C44D1">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质量事故发生后，有权立即采取措施防止事故扩大（1小时内上报分公司）。</w:t>
            </w:r>
          </w:p>
        </w:tc>
      </w:tr>
      <w:tr w14:paraId="523EE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5D9F9D84">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31</w:t>
            </w:r>
          </w:p>
        </w:tc>
        <w:tc>
          <w:tcPr>
            <w:tcW w:w="677" w:type="dxa"/>
            <w:vMerge w:val="continue"/>
            <w:vAlign w:val="center"/>
          </w:tcPr>
          <w:p w14:paraId="4F6AC0F8">
            <w:pPr>
              <w:widowControl/>
              <w:shd w:val="clear"/>
              <w:spacing w:line="280" w:lineRule="exact"/>
              <w:jc w:val="left"/>
              <w:rPr>
                <w:rFonts w:ascii="仿宋" w:hAnsi="仿宋" w:eastAsia="仿宋" w:cs="仿宋"/>
                <w:color w:val="auto"/>
                <w:kern w:val="0"/>
                <w:highlight w:val="none"/>
              </w:rPr>
            </w:pPr>
          </w:p>
        </w:tc>
        <w:tc>
          <w:tcPr>
            <w:tcW w:w="1573" w:type="dxa"/>
            <w:vAlign w:val="center"/>
          </w:tcPr>
          <w:p w14:paraId="4D79D923">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质量事故处理方案</w:t>
            </w:r>
          </w:p>
        </w:tc>
        <w:tc>
          <w:tcPr>
            <w:tcW w:w="6985" w:type="dxa"/>
            <w:vAlign w:val="center"/>
          </w:tcPr>
          <w:p w14:paraId="568BF4E5">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有权按照公司、分公司制定质量事故处理方案处理事故相关事宜。</w:t>
            </w:r>
          </w:p>
        </w:tc>
      </w:tr>
      <w:tr w14:paraId="01382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51FA70A6">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32</w:t>
            </w:r>
          </w:p>
        </w:tc>
        <w:tc>
          <w:tcPr>
            <w:tcW w:w="677" w:type="dxa"/>
            <w:vAlign w:val="center"/>
          </w:tcPr>
          <w:p w14:paraId="0FC0833F">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环境管理</w:t>
            </w:r>
          </w:p>
        </w:tc>
        <w:tc>
          <w:tcPr>
            <w:tcW w:w="1573" w:type="dxa"/>
            <w:vAlign w:val="center"/>
          </w:tcPr>
          <w:p w14:paraId="6777D3C9">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环境污染事故应急措施</w:t>
            </w:r>
          </w:p>
        </w:tc>
        <w:tc>
          <w:tcPr>
            <w:tcW w:w="6985" w:type="dxa"/>
            <w:vAlign w:val="center"/>
          </w:tcPr>
          <w:p w14:paraId="7B04C64B">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环境污染事故发生后，有权立即采取措施防止事故扩大（1小时内上报分公司）。</w:t>
            </w:r>
          </w:p>
        </w:tc>
      </w:tr>
      <w:tr w14:paraId="61C0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62B9AE97">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33</w:t>
            </w:r>
          </w:p>
        </w:tc>
        <w:tc>
          <w:tcPr>
            <w:tcW w:w="677" w:type="dxa"/>
            <w:vMerge w:val="restart"/>
            <w:vAlign w:val="center"/>
          </w:tcPr>
          <w:p w14:paraId="086BD2CB">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维保管理</w:t>
            </w:r>
          </w:p>
        </w:tc>
        <w:tc>
          <w:tcPr>
            <w:tcW w:w="1573" w:type="dxa"/>
            <w:vAlign w:val="center"/>
          </w:tcPr>
          <w:p w14:paraId="2B825EF5">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维修整改通知</w:t>
            </w:r>
          </w:p>
        </w:tc>
        <w:tc>
          <w:tcPr>
            <w:tcW w:w="6985" w:type="dxa"/>
            <w:vAlign w:val="center"/>
          </w:tcPr>
          <w:p w14:paraId="4381B319">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有权向分包分供方发送维修整改通知。</w:t>
            </w:r>
          </w:p>
        </w:tc>
      </w:tr>
      <w:tr w14:paraId="3C37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3411E5EF">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34</w:t>
            </w:r>
          </w:p>
        </w:tc>
        <w:tc>
          <w:tcPr>
            <w:tcW w:w="677" w:type="dxa"/>
            <w:vMerge w:val="continue"/>
            <w:vAlign w:val="center"/>
          </w:tcPr>
          <w:p w14:paraId="2DAEE3AF">
            <w:pPr>
              <w:widowControl/>
              <w:shd w:val="clear"/>
              <w:spacing w:line="280" w:lineRule="exact"/>
              <w:jc w:val="left"/>
              <w:rPr>
                <w:rFonts w:ascii="仿宋" w:hAnsi="仿宋" w:eastAsia="仿宋" w:cs="仿宋"/>
                <w:color w:val="auto"/>
                <w:kern w:val="0"/>
                <w:highlight w:val="none"/>
              </w:rPr>
            </w:pPr>
          </w:p>
        </w:tc>
        <w:tc>
          <w:tcPr>
            <w:tcW w:w="1573" w:type="dxa"/>
            <w:vAlign w:val="center"/>
          </w:tcPr>
          <w:p w14:paraId="29616C98">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协商维修方案</w:t>
            </w:r>
          </w:p>
        </w:tc>
        <w:tc>
          <w:tcPr>
            <w:tcW w:w="6985" w:type="dxa"/>
            <w:vAlign w:val="center"/>
          </w:tcPr>
          <w:p w14:paraId="198FC9A7">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对存在的质量问题有权与建设单位协商维修方案。</w:t>
            </w:r>
          </w:p>
        </w:tc>
      </w:tr>
      <w:tr w14:paraId="55486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45F10EF8">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35</w:t>
            </w:r>
          </w:p>
        </w:tc>
        <w:tc>
          <w:tcPr>
            <w:tcW w:w="677" w:type="dxa"/>
            <w:vMerge w:val="continue"/>
            <w:vAlign w:val="center"/>
          </w:tcPr>
          <w:p w14:paraId="4BD82060">
            <w:pPr>
              <w:widowControl/>
              <w:shd w:val="clear"/>
              <w:spacing w:line="280" w:lineRule="exact"/>
              <w:jc w:val="left"/>
              <w:rPr>
                <w:rFonts w:ascii="仿宋" w:hAnsi="仿宋" w:eastAsia="仿宋" w:cs="仿宋"/>
                <w:color w:val="auto"/>
                <w:kern w:val="0"/>
                <w:highlight w:val="none"/>
              </w:rPr>
            </w:pPr>
          </w:p>
        </w:tc>
        <w:tc>
          <w:tcPr>
            <w:tcW w:w="1573" w:type="dxa"/>
            <w:vAlign w:val="center"/>
          </w:tcPr>
          <w:p w14:paraId="3D5EEC60">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组织维修</w:t>
            </w:r>
          </w:p>
        </w:tc>
        <w:tc>
          <w:tcPr>
            <w:tcW w:w="6985" w:type="dxa"/>
            <w:vAlign w:val="center"/>
          </w:tcPr>
          <w:p w14:paraId="7D9EEF1F">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有权向建设单位报送维修登记单、维修任务书。</w:t>
            </w:r>
          </w:p>
        </w:tc>
      </w:tr>
      <w:tr w14:paraId="28629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5598FDB4">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36</w:t>
            </w:r>
          </w:p>
        </w:tc>
        <w:tc>
          <w:tcPr>
            <w:tcW w:w="677" w:type="dxa"/>
            <w:vMerge w:val="continue"/>
            <w:vAlign w:val="center"/>
          </w:tcPr>
          <w:p w14:paraId="6949B4F6">
            <w:pPr>
              <w:widowControl/>
              <w:shd w:val="clear"/>
              <w:spacing w:line="280" w:lineRule="exact"/>
              <w:jc w:val="left"/>
              <w:rPr>
                <w:rFonts w:ascii="仿宋" w:hAnsi="仿宋" w:eastAsia="仿宋" w:cs="仿宋"/>
                <w:color w:val="auto"/>
                <w:kern w:val="0"/>
                <w:highlight w:val="none"/>
              </w:rPr>
            </w:pPr>
          </w:p>
        </w:tc>
        <w:tc>
          <w:tcPr>
            <w:tcW w:w="1573" w:type="dxa"/>
            <w:vAlign w:val="center"/>
          </w:tcPr>
          <w:p w14:paraId="4BB021A6">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维修验收</w:t>
            </w:r>
          </w:p>
        </w:tc>
        <w:tc>
          <w:tcPr>
            <w:tcW w:w="6985" w:type="dxa"/>
            <w:vAlign w:val="center"/>
          </w:tcPr>
          <w:p w14:paraId="3F07C6CE">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有权组织建设单位对保修工作进行验收、有权组织对分包分供的维修验收。</w:t>
            </w:r>
          </w:p>
        </w:tc>
      </w:tr>
      <w:tr w14:paraId="368BD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552" w:type="dxa"/>
            <w:vMerge w:val="restart"/>
            <w:vAlign w:val="center"/>
          </w:tcPr>
          <w:p w14:paraId="6A311D12">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37</w:t>
            </w:r>
          </w:p>
        </w:tc>
        <w:tc>
          <w:tcPr>
            <w:tcW w:w="677" w:type="dxa"/>
            <w:vMerge w:val="restart"/>
            <w:vAlign w:val="center"/>
          </w:tcPr>
          <w:p w14:paraId="793531B3">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催收清欠</w:t>
            </w:r>
          </w:p>
        </w:tc>
        <w:tc>
          <w:tcPr>
            <w:tcW w:w="1573" w:type="dxa"/>
            <w:vAlign w:val="center"/>
          </w:tcPr>
          <w:p w14:paraId="08C08B07">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质保金到期催付</w:t>
            </w:r>
          </w:p>
        </w:tc>
        <w:tc>
          <w:tcPr>
            <w:tcW w:w="6985" w:type="dxa"/>
            <w:vAlign w:val="center"/>
          </w:tcPr>
          <w:p w14:paraId="5DA24DB4">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有权向建设单位发《保修期满通知书》。</w:t>
            </w:r>
          </w:p>
        </w:tc>
      </w:tr>
      <w:tr w14:paraId="195B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552" w:type="dxa"/>
            <w:vMerge w:val="continue"/>
            <w:vAlign w:val="center"/>
          </w:tcPr>
          <w:p w14:paraId="2E62CB5F">
            <w:pPr>
              <w:widowControl/>
              <w:shd w:val="clear"/>
              <w:spacing w:line="280" w:lineRule="exact"/>
              <w:jc w:val="center"/>
              <w:rPr>
                <w:rFonts w:ascii="仿宋" w:hAnsi="仿宋" w:eastAsia="仿宋" w:cs="仿宋"/>
                <w:color w:val="auto"/>
                <w:kern w:val="0"/>
                <w:highlight w:val="none"/>
              </w:rPr>
            </w:pPr>
          </w:p>
        </w:tc>
        <w:tc>
          <w:tcPr>
            <w:tcW w:w="677" w:type="dxa"/>
            <w:vMerge w:val="continue"/>
            <w:vAlign w:val="center"/>
          </w:tcPr>
          <w:p w14:paraId="1F20C671">
            <w:pPr>
              <w:widowControl/>
              <w:shd w:val="clear"/>
              <w:spacing w:line="280" w:lineRule="exact"/>
              <w:jc w:val="left"/>
              <w:rPr>
                <w:rFonts w:ascii="仿宋" w:hAnsi="仿宋" w:eastAsia="仿宋" w:cs="仿宋"/>
                <w:color w:val="auto"/>
                <w:kern w:val="0"/>
                <w:highlight w:val="none"/>
              </w:rPr>
            </w:pPr>
          </w:p>
        </w:tc>
        <w:tc>
          <w:tcPr>
            <w:tcW w:w="1573" w:type="dxa"/>
            <w:vAlign w:val="center"/>
          </w:tcPr>
          <w:p w14:paraId="4769A91A">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其他到期应付款催付</w:t>
            </w:r>
          </w:p>
        </w:tc>
        <w:tc>
          <w:tcPr>
            <w:tcW w:w="6985" w:type="dxa"/>
            <w:vAlign w:val="center"/>
          </w:tcPr>
          <w:p w14:paraId="3B89324C">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有权向建设单位发催款函。</w:t>
            </w:r>
          </w:p>
        </w:tc>
      </w:tr>
      <w:tr w14:paraId="57C8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613248BE">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38</w:t>
            </w:r>
          </w:p>
        </w:tc>
        <w:tc>
          <w:tcPr>
            <w:tcW w:w="677" w:type="dxa"/>
            <w:vAlign w:val="center"/>
          </w:tcPr>
          <w:p w14:paraId="611D8EF1">
            <w:pPr>
              <w:widowControl/>
              <w:shd w:val="clear"/>
              <w:spacing w:line="280" w:lineRule="exact"/>
              <w:jc w:val="center"/>
              <w:rPr>
                <w:rFonts w:ascii="仿宋" w:hAnsi="仿宋" w:eastAsia="仿宋" w:cs="仿宋"/>
                <w:color w:val="auto"/>
                <w:kern w:val="0"/>
                <w:highlight w:val="none"/>
              </w:rPr>
            </w:pPr>
            <w:r>
              <w:rPr>
                <w:rFonts w:hint="eastAsia" w:ascii="仿宋" w:hAnsi="仿宋" w:eastAsia="仿宋" w:cs="仿宋"/>
                <w:color w:val="auto"/>
                <w:kern w:val="0"/>
                <w:highlight w:val="none"/>
              </w:rPr>
              <w:t>往来函件</w:t>
            </w:r>
          </w:p>
        </w:tc>
        <w:tc>
          <w:tcPr>
            <w:tcW w:w="1573" w:type="dxa"/>
            <w:vAlign w:val="center"/>
          </w:tcPr>
          <w:p w14:paraId="46019F4C">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工程往来函件</w:t>
            </w:r>
          </w:p>
        </w:tc>
        <w:tc>
          <w:tcPr>
            <w:tcW w:w="6985" w:type="dxa"/>
            <w:vAlign w:val="center"/>
          </w:tcPr>
          <w:p w14:paraId="47490817">
            <w:pPr>
              <w:widowControl/>
              <w:shd w:val="clear"/>
              <w:spacing w:line="280" w:lineRule="exact"/>
              <w:jc w:val="left"/>
              <w:rPr>
                <w:rFonts w:ascii="仿宋" w:hAnsi="仿宋" w:eastAsia="仿宋" w:cs="仿宋"/>
                <w:color w:val="auto"/>
                <w:kern w:val="0"/>
                <w:highlight w:val="none"/>
              </w:rPr>
            </w:pPr>
            <w:r>
              <w:rPr>
                <w:rFonts w:hint="eastAsia" w:ascii="仿宋" w:hAnsi="仿宋" w:eastAsia="仿宋" w:cs="仿宋"/>
                <w:color w:val="auto"/>
                <w:kern w:val="0"/>
                <w:highlight w:val="none"/>
              </w:rPr>
              <w:t>有权报送或接收项目工程联系函（如图纸会审、技术核定、设计变更通知等）。</w:t>
            </w:r>
          </w:p>
        </w:tc>
      </w:tr>
    </w:tbl>
    <w:p w14:paraId="3855FF04">
      <w:pPr>
        <w:shd w:val="clear"/>
        <w:spacing w:line="520" w:lineRule="exact"/>
        <w:ind w:firstLine="342" w:firstLineChars="142"/>
        <w:jc w:val="left"/>
        <w:rPr>
          <w:rFonts w:ascii="仿宋" w:hAnsi="仿宋" w:eastAsia="仿宋" w:cs="仿宋"/>
          <w:b/>
          <w:color w:val="auto"/>
          <w:sz w:val="24"/>
          <w:highlight w:val="none"/>
        </w:rPr>
      </w:pPr>
      <w:r>
        <w:rPr>
          <w:rFonts w:hint="eastAsia" w:ascii="仿宋" w:hAnsi="仿宋" w:eastAsia="仿宋" w:cs="仿宋"/>
          <w:b/>
          <w:color w:val="auto"/>
          <w:sz w:val="24"/>
          <w:highlight w:val="none"/>
        </w:rPr>
        <w:t>二、项目部无权决定或审批以下事项：</w:t>
      </w:r>
    </w:p>
    <w:tbl>
      <w:tblPr>
        <w:tblStyle w:val="25"/>
        <w:tblW w:w="0" w:type="auto"/>
        <w:tblInd w:w="108" w:type="dxa"/>
        <w:tblLayout w:type="fixed"/>
        <w:tblCellMar>
          <w:top w:w="0" w:type="dxa"/>
          <w:left w:w="108" w:type="dxa"/>
          <w:bottom w:w="0" w:type="dxa"/>
          <w:right w:w="108" w:type="dxa"/>
        </w:tblCellMar>
      </w:tblPr>
      <w:tblGrid>
        <w:gridCol w:w="709"/>
        <w:gridCol w:w="8901"/>
      </w:tblGrid>
      <w:tr w14:paraId="522E7BED">
        <w:tblPrEx>
          <w:tblCellMar>
            <w:top w:w="0" w:type="dxa"/>
            <w:left w:w="108" w:type="dxa"/>
            <w:bottom w:w="0" w:type="dxa"/>
            <w:right w:w="108" w:type="dxa"/>
          </w:tblCellMar>
        </w:tblPrEx>
        <w:trPr>
          <w:trHeight w:val="586" w:hRule="atLeast"/>
        </w:trPr>
        <w:tc>
          <w:tcPr>
            <w:tcW w:w="709" w:type="dxa"/>
            <w:tcBorders>
              <w:top w:val="single" w:color="auto" w:sz="4" w:space="0"/>
              <w:left w:val="single" w:color="auto" w:sz="4" w:space="0"/>
              <w:bottom w:val="single" w:color="auto" w:sz="4" w:space="0"/>
              <w:right w:val="single" w:color="auto" w:sz="4" w:space="0"/>
            </w:tcBorders>
            <w:vAlign w:val="center"/>
          </w:tcPr>
          <w:p w14:paraId="56250A87">
            <w:pPr>
              <w:widowControl/>
              <w:shd w:val="clear"/>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序号</w:t>
            </w:r>
          </w:p>
        </w:tc>
        <w:tc>
          <w:tcPr>
            <w:tcW w:w="8901" w:type="dxa"/>
            <w:tcBorders>
              <w:top w:val="single" w:color="auto" w:sz="4" w:space="0"/>
              <w:left w:val="nil"/>
              <w:bottom w:val="single" w:color="auto" w:sz="4" w:space="0"/>
              <w:right w:val="single" w:color="auto" w:sz="4" w:space="0"/>
            </w:tcBorders>
            <w:vAlign w:val="center"/>
          </w:tcPr>
          <w:p w14:paraId="6611C138">
            <w:pPr>
              <w:widowControl/>
              <w:shd w:val="clear"/>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禁 止 事 项</w:t>
            </w:r>
          </w:p>
        </w:tc>
      </w:tr>
      <w:tr w14:paraId="2553A421">
        <w:tblPrEx>
          <w:tblCellMar>
            <w:top w:w="0" w:type="dxa"/>
            <w:left w:w="108" w:type="dxa"/>
            <w:bottom w:w="0" w:type="dxa"/>
            <w:right w:w="108" w:type="dxa"/>
          </w:tblCellMar>
        </w:tblPrEx>
        <w:trPr>
          <w:trHeight w:val="1140" w:hRule="atLeast"/>
        </w:trPr>
        <w:tc>
          <w:tcPr>
            <w:tcW w:w="709" w:type="dxa"/>
            <w:tcBorders>
              <w:top w:val="nil"/>
              <w:left w:val="single" w:color="auto" w:sz="4" w:space="0"/>
              <w:bottom w:val="single" w:color="auto" w:sz="4" w:space="0"/>
              <w:right w:val="single" w:color="auto" w:sz="4" w:space="0"/>
            </w:tcBorders>
            <w:vAlign w:val="center"/>
          </w:tcPr>
          <w:p w14:paraId="5C55133B">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8901" w:type="dxa"/>
            <w:tcBorders>
              <w:top w:val="nil"/>
              <w:left w:val="nil"/>
              <w:bottom w:val="single" w:color="auto" w:sz="4" w:space="0"/>
              <w:right w:val="single" w:color="auto" w:sz="4" w:space="0"/>
            </w:tcBorders>
            <w:vAlign w:val="center"/>
          </w:tcPr>
          <w:p w14:paraId="46CF99FF">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签署（或变更）各类经济类合同（包含但不限于总承包合同及其补充协议、专业分包合同、劳务分包合同、物资设备料具采购、租赁合同、设备安装拆除合同、技术咨询合同等各类合同</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rPr>
              <w:t>。</w:t>
            </w:r>
          </w:p>
        </w:tc>
      </w:tr>
      <w:tr w14:paraId="4A472355">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14CC4D53">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w:t>
            </w:r>
          </w:p>
        </w:tc>
        <w:tc>
          <w:tcPr>
            <w:tcW w:w="8901" w:type="dxa"/>
            <w:tcBorders>
              <w:top w:val="nil"/>
              <w:left w:val="nil"/>
              <w:bottom w:val="single" w:color="auto" w:sz="4" w:space="0"/>
              <w:right w:val="single" w:color="auto" w:sz="4" w:space="0"/>
            </w:tcBorders>
            <w:vAlign w:val="center"/>
          </w:tcPr>
          <w:p w14:paraId="7CBF19A1">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未经分公司/公司书面批准擅自购买材料、设备。</w:t>
            </w:r>
          </w:p>
        </w:tc>
      </w:tr>
      <w:tr w14:paraId="2CEAA22A">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262358CF">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w:t>
            </w:r>
          </w:p>
        </w:tc>
        <w:tc>
          <w:tcPr>
            <w:tcW w:w="8901" w:type="dxa"/>
            <w:tcBorders>
              <w:top w:val="nil"/>
              <w:left w:val="nil"/>
              <w:bottom w:val="single" w:color="auto" w:sz="4" w:space="0"/>
              <w:right w:val="single" w:color="auto" w:sz="4" w:space="0"/>
            </w:tcBorders>
            <w:vAlign w:val="center"/>
          </w:tcPr>
          <w:p w14:paraId="3512CA60">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放弃或限制行使工程项目优先受偿权。</w:t>
            </w:r>
          </w:p>
        </w:tc>
      </w:tr>
      <w:tr w14:paraId="7F4CB680">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405BDE34">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w:t>
            </w:r>
          </w:p>
        </w:tc>
        <w:tc>
          <w:tcPr>
            <w:tcW w:w="8901" w:type="dxa"/>
            <w:tcBorders>
              <w:top w:val="nil"/>
              <w:left w:val="nil"/>
              <w:bottom w:val="single" w:color="auto" w:sz="4" w:space="0"/>
              <w:right w:val="single" w:color="auto" w:sz="4" w:space="0"/>
            </w:tcBorders>
            <w:vAlign w:val="center"/>
          </w:tcPr>
          <w:p w14:paraId="1F684C88">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进行银行贷款等融资活动。</w:t>
            </w:r>
          </w:p>
        </w:tc>
      </w:tr>
      <w:tr w14:paraId="16819F18">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3D023613">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w:t>
            </w:r>
          </w:p>
        </w:tc>
        <w:tc>
          <w:tcPr>
            <w:tcW w:w="8901" w:type="dxa"/>
            <w:tcBorders>
              <w:top w:val="nil"/>
              <w:left w:val="nil"/>
              <w:bottom w:val="single" w:color="auto" w:sz="4" w:space="0"/>
              <w:right w:val="single" w:color="auto" w:sz="4" w:space="0"/>
            </w:tcBorders>
            <w:vAlign w:val="center"/>
          </w:tcPr>
          <w:p w14:paraId="18E14E32">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对外提供担保、出具欠条、签订还款协议、签订调价协议。</w:t>
            </w:r>
          </w:p>
        </w:tc>
      </w:tr>
      <w:tr w14:paraId="7D271144">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05C127C6">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6</w:t>
            </w:r>
          </w:p>
        </w:tc>
        <w:tc>
          <w:tcPr>
            <w:tcW w:w="8901" w:type="dxa"/>
            <w:tcBorders>
              <w:top w:val="nil"/>
              <w:left w:val="nil"/>
              <w:bottom w:val="single" w:color="auto" w:sz="4" w:space="0"/>
              <w:right w:val="single" w:color="auto" w:sz="4" w:space="0"/>
            </w:tcBorders>
            <w:vAlign w:val="center"/>
          </w:tcPr>
          <w:p w14:paraId="5E1F986A">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对外开立各类保函。</w:t>
            </w:r>
          </w:p>
        </w:tc>
      </w:tr>
      <w:tr w14:paraId="4141779B">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5ECE5A15">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7</w:t>
            </w:r>
          </w:p>
        </w:tc>
        <w:tc>
          <w:tcPr>
            <w:tcW w:w="8901" w:type="dxa"/>
            <w:tcBorders>
              <w:top w:val="nil"/>
              <w:left w:val="nil"/>
              <w:bottom w:val="single" w:color="auto" w:sz="4" w:space="0"/>
              <w:right w:val="single" w:color="auto" w:sz="4" w:space="0"/>
            </w:tcBorders>
            <w:vAlign w:val="center"/>
          </w:tcPr>
          <w:p w14:paraId="2D62C58D">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对外拆借资金。</w:t>
            </w:r>
          </w:p>
        </w:tc>
      </w:tr>
      <w:tr w14:paraId="7EAFF08E">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079656CB">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8</w:t>
            </w:r>
          </w:p>
        </w:tc>
        <w:tc>
          <w:tcPr>
            <w:tcW w:w="8901" w:type="dxa"/>
            <w:tcBorders>
              <w:top w:val="nil"/>
              <w:left w:val="nil"/>
              <w:bottom w:val="single" w:color="auto" w:sz="4" w:space="0"/>
              <w:right w:val="single" w:color="auto" w:sz="4" w:space="0"/>
            </w:tcBorders>
            <w:vAlign w:val="center"/>
          </w:tcPr>
          <w:p w14:paraId="2D8C6949">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私设小金库，坐支现金。</w:t>
            </w:r>
          </w:p>
        </w:tc>
      </w:tr>
      <w:tr w14:paraId="103B8B63">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3EAC6C06">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9</w:t>
            </w:r>
          </w:p>
        </w:tc>
        <w:tc>
          <w:tcPr>
            <w:tcW w:w="8901" w:type="dxa"/>
            <w:tcBorders>
              <w:top w:val="nil"/>
              <w:left w:val="nil"/>
              <w:bottom w:val="single" w:color="auto" w:sz="4" w:space="0"/>
              <w:right w:val="single" w:color="auto" w:sz="4" w:space="0"/>
            </w:tcBorders>
            <w:vAlign w:val="center"/>
          </w:tcPr>
          <w:p w14:paraId="77B90681">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超出本综合授权书权限的</w:t>
            </w:r>
            <w:r>
              <w:rPr>
                <w:rFonts w:hint="eastAsia" w:ascii="仿宋" w:hAnsi="仿宋" w:eastAsia="仿宋" w:cs="仿宋"/>
                <w:color w:val="auto"/>
                <w:kern w:val="0"/>
                <w:highlight w:val="none"/>
              </w:rPr>
              <w:t>分包（供）</w:t>
            </w:r>
            <w:r>
              <w:rPr>
                <w:rFonts w:hint="eastAsia" w:ascii="仿宋" w:hAnsi="仿宋" w:eastAsia="仿宋" w:cs="仿宋"/>
                <w:color w:val="auto"/>
                <w:kern w:val="0"/>
                <w:szCs w:val="21"/>
                <w:highlight w:val="none"/>
              </w:rPr>
              <w:t>合同签证办理。</w:t>
            </w:r>
          </w:p>
        </w:tc>
      </w:tr>
      <w:tr w14:paraId="4362AD38">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575F06A4">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10</w:t>
            </w:r>
          </w:p>
        </w:tc>
        <w:tc>
          <w:tcPr>
            <w:tcW w:w="8901" w:type="dxa"/>
            <w:tcBorders>
              <w:top w:val="nil"/>
              <w:left w:val="nil"/>
              <w:bottom w:val="single" w:color="auto" w:sz="4" w:space="0"/>
              <w:right w:val="single" w:color="auto" w:sz="4" w:space="0"/>
            </w:tcBorders>
            <w:vAlign w:val="center"/>
          </w:tcPr>
          <w:p w14:paraId="738EABD3">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确认总包结算、确认分包合同结算（含甲指分包）。</w:t>
            </w:r>
          </w:p>
        </w:tc>
      </w:tr>
      <w:tr w14:paraId="1D07E5C2">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3B9C2904">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11</w:t>
            </w:r>
          </w:p>
        </w:tc>
        <w:tc>
          <w:tcPr>
            <w:tcW w:w="8901" w:type="dxa"/>
            <w:tcBorders>
              <w:top w:val="nil"/>
              <w:left w:val="nil"/>
              <w:bottom w:val="single" w:color="auto" w:sz="4" w:space="0"/>
              <w:right w:val="single" w:color="auto" w:sz="4" w:space="0"/>
            </w:tcBorders>
            <w:vAlign w:val="center"/>
          </w:tcPr>
          <w:p w14:paraId="70DE58F7">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确认材料、设备、料具结算及赔偿（含零星材料、甲供材）。</w:t>
            </w:r>
          </w:p>
        </w:tc>
      </w:tr>
      <w:tr w14:paraId="1C2E8D24">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5305F7DA">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12</w:t>
            </w:r>
          </w:p>
        </w:tc>
        <w:tc>
          <w:tcPr>
            <w:tcW w:w="8901" w:type="dxa"/>
            <w:tcBorders>
              <w:top w:val="nil"/>
              <w:left w:val="nil"/>
              <w:bottom w:val="single" w:color="auto" w:sz="4" w:space="0"/>
              <w:right w:val="single" w:color="auto" w:sz="4" w:space="0"/>
            </w:tcBorders>
            <w:vAlign w:val="center"/>
          </w:tcPr>
          <w:p w14:paraId="27023EC3">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设立或变更劳动关系（包括签订劳动合同、确认劳动关系等）。</w:t>
            </w:r>
          </w:p>
        </w:tc>
      </w:tr>
      <w:tr w14:paraId="4DDFE7C6">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40E970CD">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13</w:t>
            </w:r>
          </w:p>
        </w:tc>
        <w:tc>
          <w:tcPr>
            <w:tcW w:w="8901" w:type="dxa"/>
            <w:tcBorders>
              <w:top w:val="nil"/>
              <w:left w:val="nil"/>
              <w:bottom w:val="single" w:color="auto" w:sz="4" w:space="0"/>
              <w:right w:val="single" w:color="auto" w:sz="4" w:space="0"/>
            </w:tcBorders>
            <w:vAlign w:val="center"/>
          </w:tcPr>
          <w:p w14:paraId="56993054">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向工伤认定机构提交工伤认定申请或确认工伤事故。</w:t>
            </w:r>
          </w:p>
        </w:tc>
      </w:tr>
      <w:tr w14:paraId="3857B974">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21CB67EE">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14</w:t>
            </w:r>
          </w:p>
        </w:tc>
        <w:tc>
          <w:tcPr>
            <w:tcW w:w="8901" w:type="dxa"/>
            <w:tcBorders>
              <w:top w:val="nil"/>
              <w:left w:val="nil"/>
              <w:bottom w:val="single" w:color="auto" w:sz="4" w:space="0"/>
              <w:right w:val="single" w:color="auto" w:sz="4" w:space="0"/>
            </w:tcBorders>
            <w:vAlign w:val="center"/>
          </w:tcPr>
          <w:p w14:paraId="135ED680">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确认第三方维修费用。</w:t>
            </w:r>
          </w:p>
        </w:tc>
      </w:tr>
      <w:tr w14:paraId="5947306C">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18725F86">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w:t>
            </w:r>
          </w:p>
        </w:tc>
        <w:tc>
          <w:tcPr>
            <w:tcW w:w="8901" w:type="dxa"/>
            <w:tcBorders>
              <w:top w:val="nil"/>
              <w:left w:val="nil"/>
              <w:bottom w:val="single" w:color="auto" w:sz="4" w:space="0"/>
              <w:right w:val="single" w:color="auto" w:sz="4" w:space="0"/>
            </w:tcBorders>
            <w:vAlign w:val="center"/>
          </w:tcPr>
          <w:p w14:paraId="76C75CFC">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决定废旧物资处理方案。</w:t>
            </w:r>
          </w:p>
        </w:tc>
      </w:tr>
      <w:tr w14:paraId="2ACDFC2D">
        <w:tblPrEx>
          <w:tblCellMar>
            <w:top w:w="0" w:type="dxa"/>
            <w:left w:w="108" w:type="dxa"/>
            <w:bottom w:w="0" w:type="dxa"/>
            <w:right w:w="108" w:type="dxa"/>
          </w:tblCellMar>
        </w:tblPrEx>
        <w:trPr>
          <w:trHeight w:val="594" w:hRule="atLeast"/>
        </w:trPr>
        <w:tc>
          <w:tcPr>
            <w:tcW w:w="709" w:type="dxa"/>
            <w:tcBorders>
              <w:top w:val="nil"/>
              <w:left w:val="single" w:color="auto" w:sz="4" w:space="0"/>
              <w:bottom w:val="single" w:color="auto" w:sz="4" w:space="0"/>
              <w:right w:val="single" w:color="auto" w:sz="4" w:space="0"/>
            </w:tcBorders>
            <w:vAlign w:val="center"/>
          </w:tcPr>
          <w:p w14:paraId="1B198943">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16</w:t>
            </w:r>
          </w:p>
        </w:tc>
        <w:tc>
          <w:tcPr>
            <w:tcW w:w="8901" w:type="dxa"/>
            <w:tcBorders>
              <w:top w:val="nil"/>
              <w:left w:val="nil"/>
              <w:bottom w:val="single" w:color="auto" w:sz="4" w:space="0"/>
              <w:right w:val="single" w:color="auto" w:sz="4" w:space="0"/>
            </w:tcBorders>
            <w:vAlign w:val="center"/>
          </w:tcPr>
          <w:p w14:paraId="3DB383A4">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分包分供合同涨价、奖励、补偿、增加合同外的工作范围、变更分包分供合同模式。</w:t>
            </w:r>
          </w:p>
        </w:tc>
      </w:tr>
      <w:tr w14:paraId="5D0D7362">
        <w:tblPrEx>
          <w:tblCellMar>
            <w:top w:w="0" w:type="dxa"/>
            <w:left w:w="108" w:type="dxa"/>
            <w:bottom w:w="0" w:type="dxa"/>
            <w:right w:w="108" w:type="dxa"/>
          </w:tblCellMar>
        </w:tblPrEx>
        <w:trPr>
          <w:trHeight w:val="285" w:hRule="atLeast"/>
        </w:trPr>
        <w:tc>
          <w:tcPr>
            <w:tcW w:w="709" w:type="dxa"/>
            <w:tcBorders>
              <w:top w:val="single" w:color="auto" w:sz="4" w:space="0"/>
              <w:left w:val="single" w:color="auto" w:sz="4" w:space="0"/>
              <w:bottom w:val="single" w:color="auto" w:sz="4" w:space="0"/>
              <w:right w:val="single" w:color="auto" w:sz="4" w:space="0"/>
            </w:tcBorders>
            <w:vAlign w:val="center"/>
          </w:tcPr>
          <w:p w14:paraId="3B501CC5">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17</w:t>
            </w:r>
          </w:p>
        </w:tc>
        <w:tc>
          <w:tcPr>
            <w:tcW w:w="8901" w:type="dxa"/>
            <w:tcBorders>
              <w:top w:val="single" w:color="auto" w:sz="4" w:space="0"/>
              <w:left w:val="nil"/>
              <w:bottom w:val="single" w:color="auto" w:sz="4" w:space="0"/>
              <w:right w:val="single" w:color="auto" w:sz="4" w:space="0"/>
            </w:tcBorders>
            <w:vAlign w:val="center"/>
          </w:tcPr>
          <w:p w14:paraId="0B6C83EB">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危险性较大的分部分项工程安全施工方案。</w:t>
            </w:r>
          </w:p>
        </w:tc>
      </w:tr>
      <w:tr w14:paraId="6A34D5B4">
        <w:tblPrEx>
          <w:tblCellMar>
            <w:top w:w="0" w:type="dxa"/>
            <w:left w:w="108" w:type="dxa"/>
            <w:bottom w:w="0" w:type="dxa"/>
            <w:right w:w="108" w:type="dxa"/>
          </w:tblCellMar>
        </w:tblPrEx>
        <w:trPr>
          <w:trHeight w:val="285" w:hRule="atLeast"/>
        </w:trPr>
        <w:tc>
          <w:tcPr>
            <w:tcW w:w="709" w:type="dxa"/>
            <w:tcBorders>
              <w:top w:val="single" w:color="auto" w:sz="4" w:space="0"/>
              <w:left w:val="single" w:color="auto" w:sz="4" w:space="0"/>
              <w:bottom w:val="single" w:color="auto" w:sz="4" w:space="0"/>
              <w:right w:val="single" w:color="auto" w:sz="4" w:space="0"/>
            </w:tcBorders>
            <w:vAlign w:val="center"/>
          </w:tcPr>
          <w:p w14:paraId="68106C76">
            <w:pPr>
              <w:widowControl/>
              <w:shd w:val="clea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18</w:t>
            </w:r>
          </w:p>
        </w:tc>
        <w:tc>
          <w:tcPr>
            <w:tcW w:w="8901" w:type="dxa"/>
            <w:tcBorders>
              <w:top w:val="single" w:color="auto" w:sz="4" w:space="0"/>
              <w:left w:val="nil"/>
              <w:bottom w:val="single" w:color="auto" w:sz="4" w:space="0"/>
              <w:right w:val="single" w:color="auto" w:sz="4" w:space="0"/>
            </w:tcBorders>
            <w:vAlign w:val="center"/>
          </w:tcPr>
          <w:p w14:paraId="591DE05B">
            <w:pPr>
              <w:widowControl/>
              <w:shd w:val="clear"/>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接收诉讼法律文书、处理人民法院协助执行通知或参加仲裁、诉讼。</w:t>
            </w:r>
          </w:p>
        </w:tc>
      </w:tr>
    </w:tbl>
    <w:p w14:paraId="07F741A5">
      <w:pPr>
        <w:shd w:val="clear"/>
        <w:spacing w:before="120" w:beforeLines="50" w:line="480" w:lineRule="exact"/>
        <w:ind w:firstLine="560" w:firstLineChars="200"/>
        <w:rPr>
          <w:rFonts w:ascii="仿宋_GB2312" w:hAnsi="仿宋" w:eastAsia="仿宋_GB2312" w:cs="仿宋"/>
          <w:color w:val="auto"/>
          <w:sz w:val="28"/>
          <w:szCs w:val="28"/>
          <w:highlight w:val="none"/>
        </w:rPr>
      </w:pPr>
      <w:r>
        <w:rPr>
          <w:rFonts w:hint="eastAsia" w:ascii="仿宋_GB2312" w:hAnsi="仿宋" w:eastAsia="仿宋_GB2312" w:cs="仿宋"/>
          <w:color w:val="auto"/>
          <w:sz w:val="28"/>
          <w:szCs w:val="28"/>
          <w:highlight w:val="none"/>
        </w:rPr>
        <w:t>三、该项目不得超越权限，不得违规行使授权。该项目超越权限行使本授权书已明示禁止的事项，一律无效。该项目超越权限行使本授权书未明示授权的事项，除本公司书面形式予以追认，均属无效。</w:t>
      </w:r>
    </w:p>
    <w:p w14:paraId="339E15F5">
      <w:pPr>
        <w:shd w:val="clear"/>
        <w:spacing w:line="480" w:lineRule="exact"/>
        <w:ind w:firstLine="560" w:firstLineChars="200"/>
        <w:rPr>
          <w:rFonts w:ascii="仿宋_GB2312" w:hAnsi="仿宋" w:eastAsia="仿宋_GB2312" w:cs="仿宋"/>
          <w:color w:val="auto"/>
          <w:sz w:val="28"/>
          <w:szCs w:val="28"/>
          <w:highlight w:val="none"/>
        </w:rPr>
      </w:pPr>
      <w:r>
        <w:rPr>
          <w:rFonts w:hint="eastAsia" w:ascii="仿宋_GB2312" w:hAnsi="仿宋" w:eastAsia="仿宋_GB2312" w:cs="仿宋"/>
          <w:color w:val="auto"/>
          <w:sz w:val="28"/>
          <w:szCs w:val="28"/>
          <w:highlight w:val="none"/>
        </w:rPr>
        <w:t>四、本授权未涉及事项，若该项目确有必要行使权限的，必须经本公司另行授权后，方可以本公司名义处理。</w:t>
      </w:r>
    </w:p>
    <w:p w14:paraId="52BD28A0">
      <w:pPr>
        <w:shd w:val="clear"/>
        <w:spacing w:line="480" w:lineRule="exact"/>
        <w:ind w:firstLine="560" w:firstLineChars="200"/>
        <w:rPr>
          <w:rFonts w:ascii="仿宋_GB2312" w:hAnsi="仿宋" w:eastAsia="仿宋_GB2312" w:cs="仿宋"/>
          <w:color w:val="auto"/>
          <w:sz w:val="28"/>
          <w:szCs w:val="28"/>
          <w:highlight w:val="none"/>
        </w:rPr>
      </w:pPr>
      <w:r>
        <w:rPr>
          <w:rFonts w:hint="eastAsia" w:ascii="仿宋_GB2312" w:hAnsi="仿宋" w:eastAsia="仿宋_GB2312" w:cs="仿宋"/>
          <w:color w:val="auto"/>
          <w:sz w:val="28"/>
          <w:szCs w:val="28"/>
          <w:highlight w:val="none"/>
        </w:rPr>
        <w:t>五、该项目在行使授权范围内的各项权利时必须遵循公司的各项规章制度。</w:t>
      </w:r>
    </w:p>
    <w:p w14:paraId="3DCC6D0C">
      <w:pPr>
        <w:shd w:val="clear"/>
        <w:spacing w:line="480" w:lineRule="exact"/>
        <w:ind w:firstLine="495" w:firstLineChars="177"/>
        <w:rPr>
          <w:rFonts w:ascii="仿宋_GB2312" w:hAnsi="仿宋" w:eastAsia="仿宋_GB2312" w:cs="仿宋"/>
          <w:color w:val="auto"/>
          <w:sz w:val="28"/>
          <w:szCs w:val="28"/>
          <w:highlight w:val="none"/>
        </w:rPr>
      </w:pPr>
      <w:r>
        <w:rPr>
          <w:rFonts w:hint="eastAsia" w:ascii="仿宋_GB2312" w:hAnsi="仿宋" w:eastAsia="仿宋_GB2312" w:cs="仿宋"/>
          <w:color w:val="auto"/>
          <w:sz w:val="28"/>
          <w:szCs w:val="28"/>
          <w:highlight w:val="none"/>
        </w:rPr>
        <w:t>六、除合同另有约定，该项目行使授权须加盖项目公章并由甲方现场代表签字后生效，该项目所属任何机构或个人以任何形式签字、盖章均无效，本公司不承担任何责任。</w:t>
      </w:r>
    </w:p>
    <w:p w14:paraId="668046EA">
      <w:pPr>
        <w:shd w:val="clear"/>
        <w:spacing w:line="480" w:lineRule="exact"/>
        <w:ind w:firstLine="560"/>
        <w:rPr>
          <w:rFonts w:ascii="仿宋_GB2312" w:hAnsi="仿宋" w:eastAsia="仿宋_GB2312" w:cs="仿宋"/>
          <w:color w:val="auto"/>
          <w:sz w:val="28"/>
          <w:szCs w:val="28"/>
          <w:highlight w:val="none"/>
        </w:rPr>
      </w:pPr>
      <w:r>
        <w:rPr>
          <w:rFonts w:hint="eastAsia" w:ascii="仿宋_GB2312" w:hAnsi="仿宋" w:eastAsia="仿宋_GB2312" w:cs="仿宋"/>
          <w:color w:val="auto"/>
          <w:sz w:val="28"/>
          <w:szCs w:val="28"/>
          <w:highlight w:val="none"/>
        </w:rPr>
        <w:t>七、该项目按照本授权书规定开展各项生产、经营和管理活动，本公司予以认可，并承担法律责任。否则，本公司概不承担任何法律责任。</w:t>
      </w:r>
    </w:p>
    <w:p w14:paraId="622D6BE0">
      <w:pPr>
        <w:shd w:val="clear"/>
        <w:spacing w:line="480" w:lineRule="exact"/>
        <w:ind w:firstLine="560"/>
        <w:rPr>
          <w:rFonts w:ascii="仿宋_GB2312" w:hAnsi="仿宋" w:eastAsia="仿宋_GB2312" w:cs="仿宋"/>
          <w:color w:val="auto"/>
          <w:sz w:val="28"/>
          <w:szCs w:val="28"/>
          <w:highlight w:val="none"/>
        </w:rPr>
      </w:pPr>
      <w:r>
        <w:rPr>
          <w:rFonts w:hint="eastAsia" w:ascii="仿宋_GB2312" w:hAnsi="仿宋" w:eastAsia="仿宋_GB2312" w:cs="仿宋"/>
          <w:color w:val="auto"/>
          <w:sz w:val="28"/>
          <w:szCs w:val="28"/>
          <w:highlight w:val="none"/>
        </w:rPr>
        <w:t>八、本授权书与合同约定的授权类条款不一致的，以该合同约定的条款为准。</w:t>
      </w:r>
    </w:p>
    <w:p w14:paraId="03906DA9">
      <w:pPr>
        <w:shd w:val="clear"/>
        <w:spacing w:line="480" w:lineRule="exact"/>
        <w:ind w:firstLine="560" w:firstLineChars="200"/>
        <w:rPr>
          <w:rFonts w:ascii="仿宋_GB2312" w:hAnsi="仿宋" w:eastAsia="仿宋_GB2312" w:cs="仿宋"/>
          <w:color w:val="auto"/>
          <w:sz w:val="28"/>
          <w:szCs w:val="28"/>
          <w:highlight w:val="none"/>
        </w:rPr>
      </w:pPr>
      <w:r>
        <w:rPr>
          <w:rFonts w:hint="eastAsia" w:ascii="仿宋_GB2312" w:hAnsi="仿宋" w:eastAsia="仿宋_GB2312" w:cs="仿宋"/>
          <w:color w:val="auto"/>
          <w:sz w:val="28"/>
          <w:szCs w:val="28"/>
          <w:highlight w:val="none"/>
        </w:rPr>
        <w:t>九、本授权书经本公司盖章后生效，有效期自【</w:t>
      </w:r>
      <w:r>
        <w:rPr>
          <w:rFonts w:hint="eastAsia" w:ascii="仿宋_GB2312" w:hAnsi="仿宋" w:eastAsia="仿宋_GB2312" w:cs="仿宋"/>
          <w:color w:val="auto"/>
          <w:sz w:val="28"/>
          <w:szCs w:val="28"/>
          <w:highlight w:val="none"/>
          <w:lang w:val="en-US" w:eastAsia="zh-CN"/>
        </w:rPr>
        <w:t>2025</w:t>
      </w:r>
      <w:r>
        <w:rPr>
          <w:rFonts w:hint="eastAsia" w:ascii="仿宋_GB2312" w:hAnsi="仿宋" w:eastAsia="仿宋_GB2312" w:cs="仿宋"/>
          <w:color w:val="auto"/>
          <w:sz w:val="28"/>
          <w:szCs w:val="28"/>
          <w:highlight w:val="none"/>
        </w:rPr>
        <w:t>】年【</w:t>
      </w:r>
      <w:r>
        <w:rPr>
          <w:rFonts w:hint="eastAsia" w:ascii="仿宋_GB2312" w:hAnsi="仿宋" w:eastAsia="仿宋_GB2312" w:cs="仿宋"/>
          <w:color w:val="auto"/>
          <w:sz w:val="28"/>
          <w:szCs w:val="28"/>
          <w:highlight w:val="none"/>
          <w:lang w:val="en-US" w:eastAsia="zh-CN"/>
        </w:rPr>
        <w:t>6</w:t>
      </w:r>
      <w:r>
        <w:rPr>
          <w:rFonts w:hint="eastAsia" w:ascii="仿宋_GB2312" w:hAnsi="仿宋" w:eastAsia="仿宋_GB2312" w:cs="仿宋"/>
          <w:color w:val="auto"/>
          <w:sz w:val="28"/>
          <w:szCs w:val="28"/>
          <w:highlight w:val="none"/>
        </w:rPr>
        <w:t>】月【</w:t>
      </w:r>
      <w:r>
        <w:rPr>
          <w:rFonts w:hint="eastAsia" w:ascii="仿宋_GB2312" w:hAnsi="仿宋" w:eastAsia="仿宋_GB2312" w:cs="仿宋"/>
          <w:color w:val="auto"/>
          <w:sz w:val="28"/>
          <w:szCs w:val="28"/>
          <w:highlight w:val="none"/>
          <w:lang w:val="en-US" w:eastAsia="zh-CN"/>
        </w:rPr>
        <w:t xml:space="preserve">  </w:t>
      </w:r>
      <w:r>
        <w:rPr>
          <w:rFonts w:hint="eastAsia" w:ascii="仿宋_GB2312" w:hAnsi="仿宋" w:eastAsia="仿宋_GB2312" w:cs="仿宋"/>
          <w:color w:val="auto"/>
          <w:sz w:val="28"/>
          <w:szCs w:val="28"/>
          <w:highlight w:val="none"/>
        </w:rPr>
        <w:t>】日起，至【</w:t>
      </w:r>
      <w:r>
        <w:rPr>
          <w:rFonts w:hint="eastAsia" w:ascii="仿宋_GB2312" w:hAnsi="仿宋" w:eastAsia="仿宋_GB2312" w:cs="仿宋"/>
          <w:color w:val="auto"/>
          <w:sz w:val="28"/>
          <w:szCs w:val="28"/>
          <w:highlight w:val="none"/>
          <w:lang w:val="en-US" w:eastAsia="zh-CN"/>
        </w:rPr>
        <w:t>2025</w:t>
      </w:r>
      <w:r>
        <w:rPr>
          <w:rFonts w:hint="eastAsia" w:ascii="仿宋_GB2312" w:hAnsi="仿宋" w:eastAsia="仿宋_GB2312" w:cs="仿宋"/>
          <w:color w:val="auto"/>
          <w:sz w:val="28"/>
          <w:szCs w:val="28"/>
          <w:highlight w:val="none"/>
        </w:rPr>
        <w:t>】年【</w:t>
      </w:r>
      <w:r>
        <w:rPr>
          <w:rFonts w:hint="eastAsia" w:ascii="仿宋_GB2312" w:hAnsi="仿宋" w:eastAsia="仿宋_GB2312" w:cs="仿宋"/>
          <w:color w:val="auto"/>
          <w:sz w:val="28"/>
          <w:szCs w:val="28"/>
          <w:highlight w:val="none"/>
          <w:lang w:val="en-US" w:eastAsia="zh-CN"/>
        </w:rPr>
        <w:t>12</w:t>
      </w:r>
      <w:r>
        <w:rPr>
          <w:rFonts w:hint="eastAsia" w:ascii="仿宋_GB2312" w:hAnsi="仿宋" w:eastAsia="仿宋_GB2312" w:cs="仿宋"/>
          <w:color w:val="auto"/>
          <w:sz w:val="28"/>
          <w:szCs w:val="28"/>
          <w:highlight w:val="none"/>
        </w:rPr>
        <w:t>】月【</w:t>
      </w:r>
      <w:r>
        <w:rPr>
          <w:rFonts w:hint="eastAsia" w:ascii="仿宋_GB2312" w:hAnsi="仿宋" w:eastAsia="仿宋_GB2312" w:cs="仿宋"/>
          <w:color w:val="auto"/>
          <w:sz w:val="28"/>
          <w:szCs w:val="28"/>
          <w:highlight w:val="none"/>
          <w:lang w:val="en-US" w:eastAsia="zh-CN"/>
        </w:rPr>
        <w:t xml:space="preserve">  </w:t>
      </w:r>
      <w:r>
        <w:rPr>
          <w:rFonts w:hint="eastAsia" w:ascii="仿宋_GB2312" w:hAnsi="仿宋" w:eastAsia="仿宋_GB2312" w:cs="仿宋"/>
          <w:color w:val="auto"/>
          <w:sz w:val="28"/>
          <w:szCs w:val="28"/>
          <w:highlight w:val="none"/>
        </w:rPr>
        <w:t>】日止。本公司有权随时变更或撤销本授权。</w:t>
      </w:r>
    </w:p>
    <w:p w14:paraId="56CB947B">
      <w:pPr>
        <w:shd w:val="clear"/>
        <w:spacing w:line="480" w:lineRule="exact"/>
        <w:ind w:firstLine="560" w:firstLineChars="200"/>
        <w:rPr>
          <w:rFonts w:ascii="仿宋_GB2312" w:hAnsi="仿宋" w:eastAsia="仿宋_GB2312" w:cs="仿宋"/>
          <w:color w:val="auto"/>
          <w:sz w:val="28"/>
          <w:szCs w:val="28"/>
          <w:highlight w:val="none"/>
        </w:rPr>
      </w:pPr>
    </w:p>
    <w:p w14:paraId="5B0C1357">
      <w:pPr>
        <w:shd w:val="clear"/>
        <w:spacing w:line="480" w:lineRule="exact"/>
        <w:rPr>
          <w:rFonts w:hint="eastAsia" w:ascii="仿宋_GB2312" w:hAnsi="仿宋" w:eastAsia="仿宋_GB2312" w:cs="仿宋"/>
          <w:color w:val="auto"/>
          <w:sz w:val="28"/>
          <w:szCs w:val="28"/>
          <w:highlight w:val="none"/>
        </w:rPr>
      </w:pPr>
      <w:r>
        <w:rPr>
          <w:rFonts w:hint="eastAsia" w:ascii="仿宋_GB2312" w:hAnsi="仿宋" w:eastAsia="仿宋_GB2312" w:cs="仿宋"/>
          <w:color w:val="auto"/>
          <w:sz w:val="28"/>
          <w:szCs w:val="28"/>
          <w:highlight w:val="none"/>
        </w:rPr>
        <w:t>预留项目部公章印鉴：</w:t>
      </w:r>
    </w:p>
    <w:p w14:paraId="1BE7A6CF">
      <w:pPr>
        <w:shd w:val="clear"/>
        <w:spacing w:line="480" w:lineRule="exact"/>
        <w:rPr>
          <w:rFonts w:hint="eastAsia" w:ascii="仿宋_GB2312" w:hAnsi="仿宋" w:eastAsia="仿宋_GB2312" w:cs="仿宋"/>
          <w:color w:val="auto"/>
          <w:sz w:val="28"/>
          <w:szCs w:val="28"/>
          <w:highlight w:val="none"/>
        </w:rPr>
      </w:pPr>
    </w:p>
    <w:p w14:paraId="774F0CF2">
      <w:pPr>
        <w:shd w:val="clear"/>
        <w:spacing w:line="480" w:lineRule="exact"/>
        <w:rPr>
          <w:rFonts w:hint="eastAsia" w:ascii="仿宋_GB2312" w:hAnsi="仿宋" w:eastAsia="仿宋_GB2312" w:cs="仿宋"/>
          <w:color w:val="auto"/>
          <w:sz w:val="28"/>
          <w:szCs w:val="28"/>
          <w:highlight w:val="none"/>
        </w:rPr>
      </w:pPr>
    </w:p>
    <w:p w14:paraId="794ED694">
      <w:pPr>
        <w:shd w:val="clear"/>
        <w:spacing w:line="480" w:lineRule="exact"/>
        <w:rPr>
          <w:rFonts w:ascii="仿宋_GB2312" w:hAnsi="仿宋" w:eastAsia="仿宋_GB2312" w:cs="仿宋"/>
          <w:color w:val="auto"/>
          <w:sz w:val="28"/>
          <w:szCs w:val="28"/>
          <w:highlight w:val="none"/>
        </w:rPr>
      </w:pPr>
      <w:r>
        <w:rPr>
          <w:rFonts w:hint="eastAsia" w:ascii="仿宋_GB2312" w:hAnsi="仿宋" w:eastAsia="仿宋_GB2312" w:cs="仿宋"/>
          <w:color w:val="auto"/>
          <w:sz w:val="28"/>
          <w:szCs w:val="28"/>
          <w:highlight w:val="none"/>
        </w:rPr>
        <w:t>甲方现场代表签字样式：</w:t>
      </w:r>
    </w:p>
    <w:p w14:paraId="608AF422">
      <w:pPr>
        <w:shd w:val="clear"/>
        <w:spacing w:line="480" w:lineRule="exact"/>
        <w:rPr>
          <w:rFonts w:ascii="仿宋_GB2312" w:hAnsi="仿宋" w:eastAsia="仿宋_GB2312" w:cs="仿宋"/>
          <w:color w:val="auto"/>
          <w:sz w:val="28"/>
          <w:szCs w:val="28"/>
          <w:highlight w:val="none"/>
        </w:rPr>
      </w:pPr>
    </w:p>
    <w:p w14:paraId="2621F12D">
      <w:pPr>
        <w:shd w:val="clear"/>
        <w:spacing w:line="480" w:lineRule="exact"/>
        <w:rPr>
          <w:rFonts w:ascii="仿宋_GB2312" w:hAnsi="仿宋" w:eastAsia="仿宋_GB2312" w:cs="仿宋"/>
          <w:color w:val="auto"/>
          <w:sz w:val="28"/>
          <w:szCs w:val="28"/>
          <w:highlight w:val="none"/>
        </w:rPr>
      </w:pPr>
    </w:p>
    <w:p w14:paraId="4DC4ACAB">
      <w:pPr>
        <w:shd w:val="clear"/>
        <w:spacing w:line="480" w:lineRule="exact"/>
        <w:rPr>
          <w:rFonts w:ascii="仿宋_GB2312" w:eastAsia="仿宋_GB2312"/>
          <w:color w:val="auto"/>
          <w:sz w:val="28"/>
          <w:szCs w:val="36"/>
          <w:highlight w:val="none"/>
        </w:rPr>
      </w:pPr>
      <w:r>
        <w:rPr>
          <w:rFonts w:hint="eastAsia" w:ascii="仿宋_GB2312" w:hAnsi="仿宋" w:eastAsia="仿宋_GB2312" w:cs="仿宋"/>
          <w:color w:val="auto"/>
          <w:sz w:val="28"/>
          <w:szCs w:val="28"/>
          <w:highlight w:val="none"/>
        </w:rPr>
        <w:t>授权单位（承包人盖章）：</w:t>
      </w:r>
    </w:p>
    <w:p w14:paraId="0D2100AE">
      <w:pPr>
        <w:shd w:val="clear"/>
        <w:rPr>
          <w:rFonts w:ascii="仿宋_GB2312" w:eastAsia="仿宋_GB2312"/>
          <w:color w:val="auto"/>
          <w:sz w:val="28"/>
          <w:szCs w:val="36"/>
          <w:highlight w:val="none"/>
        </w:rPr>
      </w:pPr>
      <w:r>
        <w:rPr>
          <w:color w:val="auto"/>
          <w:highlight w:val="none"/>
        </w:rPr>
        <w:br w:type="page"/>
      </w:r>
    </w:p>
    <w:p w14:paraId="4623BD8C">
      <w:pPr>
        <w:pStyle w:val="5"/>
        <w:shd w:val="clear"/>
        <w:spacing w:beforeLines="50" w:afterLines="50"/>
        <w:ind w:left="0" w:leftChars="0" w:firstLine="562" w:firstLineChars="200"/>
        <w:rPr>
          <w:color w:val="auto"/>
          <w:highlight w:val="none"/>
        </w:rPr>
      </w:pPr>
      <w:bookmarkStart w:id="856" w:name="_Toc3863"/>
      <w:r>
        <w:rPr>
          <w:rFonts w:hint="eastAsia"/>
          <w:color w:val="auto"/>
          <w:highlight w:val="none"/>
        </w:rPr>
        <w:t>附件3</w:t>
      </w:r>
      <w:bookmarkStart w:id="857" w:name="_Toc132053712"/>
      <w:bookmarkStart w:id="858" w:name="_Hlk132271615"/>
      <w:r>
        <w:rPr>
          <w:rFonts w:hint="eastAsia"/>
          <w:color w:val="auto"/>
          <w:highlight w:val="none"/>
        </w:rPr>
        <w:t xml:space="preserve">  </w:t>
      </w:r>
    </w:p>
    <w:p w14:paraId="642B6F63">
      <w:pPr>
        <w:pStyle w:val="5"/>
        <w:shd w:val="clear"/>
        <w:spacing w:beforeLines="50" w:afterLines="50"/>
        <w:ind w:left="0" w:leftChars="0"/>
        <w:jc w:val="center"/>
        <w:rPr>
          <w:color w:val="auto"/>
          <w:sz w:val="32"/>
          <w:szCs w:val="32"/>
          <w:highlight w:val="none"/>
        </w:rPr>
      </w:pPr>
      <w:r>
        <w:rPr>
          <w:rFonts w:hint="eastAsia"/>
          <w:color w:val="auto"/>
          <w:sz w:val="32"/>
          <w:szCs w:val="32"/>
          <w:highlight w:val="none"/>
        </w:rPr>
        <w:t>授 权 委 托 书</w:t>
      </w:r>
      <w:bookmarkEnd w:id="857"/>
      <w:r>
        <w:rPr>
          <w:rFonts w:hint="eastAsia"/>
          <w:color w:val="auto"/>
          <w:sz w:val="32"/>
          <w:szCs w:val="32"/>
          <w:highlight w:val="none"/>
        </w:rPr>
        <w:t>（乙方）</w:t>
      </w:r>
      <w:bookmarkEnd w:id="856"/>
      <w:bookmarkEnd w:id="858"/>
    </w:p>
    <w:p w14:paraId="715D0666">
      <w:pPr>
        <w:shd w:val="clear"/>
        <w:spacing w:line="360" w:lineRule="auto"/>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 </w:t>
      </w:r>
    </w:p>
    <w:p w14:paraId="18CB644E">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兹授权我单位员工【</w:t>
      </w:r>
      <w:r>
        <w:rPr>
          <w:rFonts w:hint="eastAsia" w:ascii="仿宋_GB2312" w:eastAsia="仿宋_GB2312" w:hAnsiTheme="minorEastAsia" w:cstheme="minorEastAsia"/>
          <w:color w:val="auto"/>
          <w:sz w:val="28"/>
          <w:szCs w:val="28"/>
          <w:highlight w:val="none"/>
          <w:lang w:val="en-US" w:eastAsia="zh-CN"/>
        </w:rPr>
        <w:t xml:space="preserve"> </w:t>
      </w:r>
      <w:r>
        <w:rPr>
          <w:rFonts w:hint="eastAsia" w:ascii="仿宋_GB2312" w:eastAsia="仿宋_GB2312" w:hAnsiTheme="minorEastAsia" w:cstheme="minorEastAsia"/>
          <w:color w:val="auto"/>
          <w:sz w:val="28"/>
          <w:szCs w:val="28"/>
          <w:highlight w:val="none"/>
          <w:lang w:eastAsia="zh-CN"/>
        </w:rPr>
        <w:t>，</w:t>
      </w:r>
      <w:r>
        <w:rPr>
          <w:rFonts w:hint="eastAsia" w:ascii="仿宋_GB2312" w:eastAsia="仿宋_GB2312" w:hAnsiTheme="minorEastAsia" w:cstheme="minorEastAsia"/>
          <w:color w:val="auto"/>
          <w:sz w:val="28"/>
          <w:szCs w:val="28"/>
          <w:highlight w:val="none"/>
        </w:rPr>
        <w:t>身份证号</w:t>
      </w:r>
      <w:r>
        <w:rPr>
          <w:rFonts w:hint="eastAsia" w:ascii="仿宋_GB2312" w:eastAsia="仿宋_GB2312" w:hAnsiTheme="minorEastAsia" w:cstheme="minorEastAsia"/>
          <w:color w:val="auto"/>
          <w:sz w:val="28"/>
          <w:szCs w:val="28"/>
          <w:highlight w:val="none"/>
          <w:lang w:eastAsia="zh-CN"/>
        </w:rPr>
        <w:t>：</w:t>
      </w:r>
      <w:r>
        <w:rPr>
          <w:rFonts w:hint="eastAsia" w:ascii="仿宋_GB2312" w:eastAsia="仿宋_GB2312" w:hAnsiTheme="minorEastAsia" w:cstheme="minorEastAsia"/>
          <w:color w:val="auto"/>
          <w:sz w:val="28"/>
          <w:szCs w:val="28"/>
          <w:highlight w:val="none"/>
          <w:lang w:val="en-US" w:eastAsia="zh-CN"/>
        </w:rPr>
        <w:t xml:space="preserve"> </w:t>
      </w:r>
      <w:r>
        <w:rPr>
          <w:rFonts w:hint="eastAsia" w:ascii="仿宋_GB2312" w:eastAsia="仿宋_GB2312" w:hAnsiTheme="minorEastAsia" w:cstheme="minorEastAsia"/>
          <w:color w:val="auto"/>
          <w:sz w:val="28"/>
          <w:szCs w:val="28"/>
          <w:highlight w:val="none"/>
        </w:rPr>
        <w:t>】作为我单位代理人。该委托代理人的授权范围为：作为我单位中标的【</w:t>
      </w:r>
      <w:r>
        <w:rPr>
          <w:rFonts w:hint="eastAsia" w:ascii="仿宋_GB2312" w:eastAsia="仿宋_GB2312" w:hAnsiTheme="minorEastAsia" w:cstheme="minorEastAsia"/>
          <w:color w:val="auto"/>
          <w:sz w:val="28"/>
          <w:szCs w:val="28"/>
          <w:highlight w:val="none"/>
          <w:lang w:eastAsia="zh-CN"/>
        </w:rPr>
        <w:t>广西大学机械教学实验中心大楼项目</w:t>
      </w:r>
      <w:r>
        <w:rPr>
          <w:rFonts w:hint="eastAsia" w:ascii="仿宋_GB2312" w:eastAsia="仿宋_GB2312" w:hAnsiTheme="minorEastAsia" w:cstheme="minorEastAsia"/>
          <w:color w:val="auto"/>
          <w:sz w:val="28"/>
          <w:szCs w:val="28"/>
          <w:highlight w:val="none"/>
          <w:lang w:val="en-US" w:eastAsia="zh-CN"/>
        </w:rPr>
        <w:t>精装修</w:t>
      </w:r>
      <w:r>
        <w:rPr>
          <w:rFonts w:hint="eastAsia" w:ascii="仿宋_GB2312" w:eastAsia="仿宋_GB2312" w:hAnsiTheme="minorEastAsia" w:cstheme="minorEastAsia"/>
          <w:color w:val="auto"/>
          <w:sz w:val="28"/>
          <w:szCs w:val="28"/>
          <w:highlight w:val="none"/>
        </w:rPr>
        <w:t>工程】（项目）现场负责人，负责合同谈判、签订、履行、办理结算以及合同履行过程中签署的一切文件和处理与之有关的一切事务。</w:t>
      </w:r>
    </w:p>
    <w:p w14:paraId="4DD3B184">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该代理人与本项目有关的一切行为，均代表我单位，我单位均予承认并视同我单位行为，由我单位承担该代理人行为的全部法律责任和后果。</w:t>
      </w:r>
    </w:p>
    <w:p w14:paraId="4D4E0319">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代理人无转委托权。</w:t>
      </w:r>
    </w:p>
    <w:p w14:paraId="44D9B05F">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有效期限：自授权委托书签发之日起至分包合同履行结束。</w:t>
      </w:r>
    </w:p>
    <w:p w14:paraId="6E5001A1">
      <w:pPr>
        <w:shd w:val="clear"/>
        <w:spacing w:line="480" w:lineRule="exact"/>
        <w:ind w:firstLine="560" w:firstLineChars="200"/>
        <w:rPr>
          <w:rFonts w:ascii="仿宋_GB2312" w:eastAsia="仿宋_GB2312" w:hAnsiTheme="minorEastAsia" w:cstheme="minorEastAsia"/>
          <w:color w:val="auto"/>
          <w:sz w:val="28"/>
          <w:szCs w:val="28"/>
          <w:highlight w:val="none"/>
        </w:rPr>
      </w:pPr>
    </w:p>
    <w:p w14:paraId="0E5B6485">
      <w:pPr>
        <w:shd w:val="clear"/>
        <w:spacing w:line="480" w:lineRule="exact"/>
        <w:ind w:firstLine="560" w:firstLineChars="200"/>
        <w:rPr>
          <w:rFonts w:ascii="仿宋_GB2312" w:eastAsia="仿宋_GB2312" w:hAnsiTheme="minorEastAsia" w:cstheme="minorEastAsia"/>
          <w:color w:val="auto"/>
          <w:sz w:val="28"/>
          <w:szCs w:val="28"/>
          <w:highlight w:val="none"/>
        </w:rPr>
      </w:pPr>
    </w:p>
    <w:p w14:paraId="632BEC80">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 xml:space="preserve">               授权单位：（公章）</w:t>
      </w:r>
      <w:r>
        <w:rPr>
          <w:rFonts w:hint="eastAsia" w:ascii="仿宋_GB2312" w:hAnsi="仿宋" w:eastAsia="仿宋_GB2312" w:cs="仿宋"/>
          <w:color w:val="auto"/>
          <w:sz w:val="28"/>
          <w:szCs w:val="28"/>
          <w:highlight w:val="none"/>
          <w:lang w:eastAsia="zh-CN"/>
        </w:rPr>
        <w:t>XXXX</w:t>
      </w:r>
    </w:p>
    <w:p w14:paraId="271CCE75">
      <w:pPr>
        <w:shd w:val="clear"/>
        <w:spacing w:line="480" w:lineRule="exact"/>
        <w:ind w:firstLine="560" w:firstLineChars="200"/>
        <w:rPr>
          <w:rFonts w:ascii="仿宋_GB2312" w:eastAsia="仿宋_GB2312" w:hAnsiTheme="minorEastAsia" w:cstheme="minorEastAsia"/>
          <w:color w:val="auto"/>
          <w:sz w:val="28"/>
          <w:szCs w:val="28"/>
          <w:highlight w:val="none"/>
        </w:rPr>
      </w:pPr>
    </w:p>
    <w:p w14:paraId="17291DD2">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 xml:space="preserve">               法定代表人：（签字）</w:t>
      </w:r>
    </w:p>
    <w:p w14:paraId="1F69C76D">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 xml:space="preserve">                               </w:t>
      </w:r>
    </w:p>
    <w:p w14:paraId="381454AC">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 xml:space="preserve">                       </w:t>
      </w:r>
      <w:r>
        <w:rPr>
          <w:rFonts w:hint="eastAsia" w:ascii="仿宋_GB2312" w:eastAsia="仿宋_GB2312" w:hAnsiTheme="minorEastAsia" w:cstheme="minorEastAsia"/>
          <w:color w:val="auto"/>
          <w:sz w:val="28"/>
          <w:szCs w:val="28"/>
          <w:highlight w:val="none"/>
          <w:lang w:val="en-US" w:eastAsia="zh-CN"/>
        </w:rPr>
        <w:t xml:space="preserve">   </w:t>
      </w:r>
      <w:r>
        <w:rPr>
          <w:rFonts w:hint="eastAsia" w:ascii="仿宋_GB2312" w:eastAsia="仿宋_GB2312" w:hAnsiTheme="minorEastAsia" w:cstheme="minorEastAsia"/>
          <w:color w:val="auto"/>
          <w:sz w:val="28"/>
          <w:szCs w:val="28"/>
          <w:highlight w:val="none"/>
          <w:lang w:eastAsia="zh-CN"/>
        </w:rPr>
        <w:t>2025年6月18日</w:t>
      </w:r>
      <w:r>
        <w:rPr>
          <w:rFonts w:hint="eastAsia" w:ascii="仿宋_GB2312" w:eastAsia="仿宋_GB2312" w:hAnsiTheme="minorEastAsia" w:cstheme="minorEastAsia"/>
          <w:color w:val="auto"/>
          <w:sz w:val="28"/>
          <w:szCs w:val="28"/>
          <w:highlight w:val="none"/>
        </w:rPr>
        <w:t xml:space="preserve"> </w:t>
      </w:r>
    </w:p>
    <w:p w14:paraId="7F012D89">
      <w:pPr>
        <w:shd w:val="clear"/>
        <w:spacing w:line="480" w:lineRule="exac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 xml:space="preserve">附：法定代表人及委托代理人身份证正反面复印件（复印件要加盖授权单位公章）  </w:t>
      </w:r>
    </w:p>
    <w:p w14:paraId="6B3CE5EA">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 xml:space="preserve">                    </w:t>
      </w:r>
    </w:p>
    <w:p w14:paraId="1FAA321C">
      <w:pPr>
        <w:shd w:val="clear"/>
        <w:spacing w:line="480" w:lineRule="exac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 xml:space="preserve"> </w:t>
      </w:r>
    </w:p>
    <w:p w14:paraId="5F511F9B">
      <w:pPr>
        <w:shd w:val="clear"/>
        <w:spacing w:line="480" w:lineRule="exact"/>
        <w:rPr>
          <w:rFonts w:ascii="仿宋_GB2312" w:eastAsia="仿宋_GB2312" w:hAnsiTheme="minorEastAsia" w:cstheme="minorEastAsia"/>
          <w:b/>
          <w:bCs/>
          <w:color w:val="auto"/>
          <w:sz w:val="28"/>
          <w:szCs w:val="28"/>
          <w:highlight w:val="none"/>
        </w:rPr>
      </w:pPr>
      <w:r>
        <w:rPr>
          <w:rFonts w:hint="eastAsia" w:ascii="仿宋_GB2312" w:eastAsia="仿宋_GB2312" w:hAnsiTheme="minorEastAsia" w:cstheme="minorEastAsia"/>
          <w:color w:val="auto"/>
          <w:sz w:val="28"/>
          <w:szCs w:val="28"/>
          <w:highlight w:val="none"/>
        </w:rPr>
        <w:t xml:space="preserve">  </w:t>
      </w:r>
    </w:p>
    <w:p w14:paraId="4636696E">
      <w:pPr>
        <w:widowControl/>
        <w:shd w:val="clear"/>
        <w:spacing w:line="480" w:lineRule="exact"/>
        <w:jc w:val="left"/>
        <w:rPr>
          <w:rFonts w:ascii="仿宋_GB2312" w:eastAsia="仿宋_GB2312" w:hAnsiTheme="minorEastAsia" w:cstheme="minorEastAsia"/>
          <w:b/>
          <w:bCs/>
          <w:color w:val="auto"/>
          <w:sz w:val="28"/>
          <w:szCs w:val="28"/>
          <w:highlight w:val="none"/>
        </w:rPr>
      </w:pPr>
      <w:r>
        <w:rPr>
          <w:rFonts w:hint="eastAsia" w:ascii="仿宋_GB2312" w:eastAsia="仿宋_GB2312" w:hAnsiTheme="minorEastAsia" w:cstheme="minorEastAsia"/>
          <w:b/>
          <w:bCs/>
          <w:color w:val="auto"/>
          <w:sz w:val="28"/>
          <w:szCs w:val="28"/>
          <w:highlight w:val="none"/>
        </w:rPr>
        <w:t xml:space="preserve"> </w:t>
      </w:r>
    </w:p>
    <w:p w14:paraId="30777EEC">
      <w:pPr>
        <w:shd w:val="clear"/>
        <w:rPr>
          <w:rFonts w:asciiTheme="minorEastAsia" w:hAnsiTheme="minorEastAsia" w:cstheme="minorEastAsia"/>
          <w:b/>
          <w:bCs/>
          <w:color w:val="auto"/>
          <w:highlight w:val="none"/>
        </w:rPr>
      </w:pPr>
      <w:r>
        <w:rPr>
          <w:color w:val="auto"/>
          <w:highlight w:val="none"/>
        </w:rPr>
        <w:br w:type="page"/>
      </w:r>
    </w:p>
    <w:p w14:paraId="734CF507">
      <w:pPr>
        <w:pStyle w:val="5"/>
        <w:shd w:val="clear"/>
        <w:spacing w:beforeLines="50" w:afterLines="50"/>
        <w:ind w:left="0" w:leftChars="0" w:firstLine="562" w:firstLineChars="200"/>
        <w:rPr>
          <w:color w:val="auto"/>
          <w:highlight w:val="none"/>
        </w:rPr>
      </w:pPr>
      <w:bookmarkStart w:id="859" w:name="_Toc3202"/>
      <w:r>
        <w:rPr>
          <w:rFonts w:hint="eastAsia"/>
          <w:color w:val="auto"/>
          <w:highlight w:val="none"/>
        </w:rPr>
        <w:t>附件4</w:t>
      </w:r>
      <w:bookmarkStart w:id="860" w:name="_Toc132053713"/>
      <w:r>
        <w:rPr>
          <w:rFonts w:hint="eastAsia"/>
          <w:color w:val="auto"/>
          <w:highlight w:val="none"/>
        </w:rPr>
        <w:t xml:space="preserve">  </w:t>
      </w:r>
    </w:p>
    <w:p w14:paraId="6A6110D1">
      <w:pPr>
        <w:pStyle w:val="5"/>
        <w:shd w:val="clear"/>
        <w:spacing w:beforeLines="50" w:afterLines="50"/>
        <w:ind w:left="0" w:leftChars="0"/>
        <w:jc w:val="center"/>
        <w:rPr>
          <w:color w:val="auto"/>
          <w:sz w:val="32"/>
          <w:szCs w:val="32"/>
          <w:highlight w:val="none"/>
        </w:rPr>
      </w:pPr>
      <w:r>
        <w:rPr>
          <w:rFonts w:hint="eastAsia"/>
          <w:color w:val="auto"/>
          <w:sz w:val="32"/>
          <w:szCs w:val="32"/>
          <w:highlight w:val="none"/>
        </w:rPr>
        <w:t>乙方现场管理人员名单</w:t>
      </w:r>
      <w:bookmarkEnd w:id="859"/>
      <w:bookmarkEnd w:id="860"/>
    </w:p>
    <w:tbl>
      <w:tblPr>
        <w:tblStyle w:val="25"/>
        <w:tblW w:w="9624"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375"/>
        <w:gridCol w:w="1806"/>
        <w:gridCol w:w="2868"/>
        <w:gridCol w:w="2412"/>
      </w:tblGrid>
      <w:tr w14:paraId="523A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Pr>
          <w:p w14:paraId="469E151A">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姓名</w:t>
            </w:r>
          </w:p>
        </w:tc>
        <w:tc>
          <w:tcPr>
            <w:tcW w:w="1375" w:type="dxa"/>
          </w:tcPr>
          <w:p w14:paraId="099B70B6">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职务</w:t>
            </w:r>
          </w:p>
        </w:tc>
        <w:tc>
          <w:tcPr>
            <w:tcW w:w="1806" w:type="dxa"/>
          </w:tcPr>
          <w:p w14:paraId="7B6172F8">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联系方式</w:t>
            </w:r>
          </w:p>
        </w:tc>
        <w:tc>
          <w:tcPr>
            <w:tcW w:w="2868" w:type="dxa"/>
          </w:tcPr>
          <w:p w14:paraId="076FCFC8">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eastAsia="zh-CN"/>
              </w:rPr>
            </w:pPr>
            <w:r>
              <w:rPr>
                <w:rFonts w:hint="eastAsia" w:ascii="仿宋_GB2312" w:eastAsia="仿宋_GB2312" w:hAnsiTheme="minorEastAsia" w:cstheme="minorEastAsia"/>
                <w:color w:val="auto"/>
                <w:sz w:val="28"/>
                <w:szCs w:val="28"/>
                <w:highlight w:val="none"/>
                <w:lang w:val="en-US" w:eastAsia="zh-CN"/>
              </w:rPr>
              <w:t>身份证号</w:t>
            </w:r>
          </w:p>
        </w:tc>
        <w:tc>
          <w:tcPr>
            <w:tcW w:w="2412" w:type="dxa"/>
          </w:tcPr>
          <w:p w14:paraId="0BFB34C3">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电子邮箱</w:t>
            </w:r>
          </w:p>
        </w:tc>
      </w:tr>
      <w:tr w14:paraId="46A84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Pr>
          <w:p w14:paraId="5E398FC9">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1375" w:type="dxa"/>
          </w:tcPr>
          <w:p w14:paraId="4AA3B937">
            <w:pPr>
              <w:widowControl/>
              <w:shd w:val="clear"/>
              <w:spacing w:after="120" w:afterLines="50" w:line="480" w:lineRule="exact"/>
              <w:ind w:left="505" w:hanging="505"/>
              <w:jc w:val="center"/>
              <w:rPr>
                <w:rFonts w:hint="default" w:ascii="仿宋_GB2312" w:eastAsia="仿宋_GB2312" w:hAnsiTheme="minorEastAsia" w:cstheme="minorEastAsia"/>
                <w:color w:val="auto"/>
                <w:sz w:val="28"/>
                <w:szCs w:val="28"/>
                <w:highlight w:val="none"/>
                <w:lang w:val="en-US" w:eastAsia="zh-CN"/>
              </w:rPr>
            </w:pPr>
          </w:p>
        </w:tc>
        <w:tc>
          <w:tcPr>
            <w:tcW w:w="1806" w:type="dxa"/>
          </w:tcPr>
          <w:p w14:paraId="5CA0145C">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2868" w:type="dxa"/>
          </w:tcPr>
          <w:p w14:paraId="4C6D8C3E">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2412" w:type="dxa"/>
            <w:vMerge w:val="restart"/>
            <w:vAlign w:val="center"/>
          </w:tcPr>
          <w:p w14:paraId="09D65AD7">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r>
      <w:tr w14:paraId="3036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Align w:val="top"/>
          </w:tcPr>
          <w:p w14:paraId="08B87356">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1375" w:type="dxa"/>
            <w:vAlign w:val="top"/>
          </w:tcPr>
          <w:p w14:paraId="0330AE7D">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1806" w:type="dxa"/>
            <w:vAlign w:val="top"/>
          </w:tcPr>
          <w:p w14:paraId="6832417C">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2868" w:type="dxa"/>
            <w:vAlign w:val="top"/>
          </w:tcPr>
          <w:p w14:paraId="734164C2">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2412" w:type="dxa"/>
            <w:vMerge w:val="continue"/>
            <w:vAlign w:val="top"/>
          </w:tcPr>
          <w:p w14:paraId="2352B823">
            <w:pPr>
              <w:widowControl/>
              <w:shd w:val="clear"/>
              <w:spacing w:after="120" w:afterLines="50" w:line="480" w:lineRule="exact"/>
              <w:ind w:left="505" w:hanging="505"/>
              <w:jc w:val="center"/>
              <w:rPr>
                <w:rFonts w:hint="default" w:ascii="仿宋_GB2312" w:eastAsia="仿宋_GB2312" w:hAnsiTheme="minorEastAsia" w:cstheme="minorEastAsia"/>
                <w:color w:val="auto"/>
                <w:sz w:val="28"/>
                <w:szCs w:val="28"/>
                <w:highlight w:val="none"/>
                <w:lang w:val="en-US" w:eastAsia="zh-CN"/>
              </w:rPr>
            </w:pPr>
          </w:p>
        </w:tc>
      </w:tr>
      <w:tr w14:paraId="15A1D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Align w:val="top"/>
          </w:tcPr>
          <w:p w14:paraId="3C0CEAC6">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1375" w:type="dxa"/>
            <w:vAlign w:val="top"/>
          </w:tcPr>
          <w:p w14:paraId="398668C6">
            <w:pPr>
              <w:widowControl/>
              <w:shd w:val="clear"/>
              <w:spacing w:after="120" w:afterLines="50" w:line="480" w:lineRule="exact"/>
              <w:ind w:left="505" w:hanging="505"/>
              <w:jc w:val="center"/>
              <w:rPr>
                <w:rFonts w:hint="default" w:ascii="仿宋_GB2312" w:eastAsia="仿宋_GB2312" w:hAnsiTheme="minorEastAsia" w:cstheme="minorEastAsia"/>
                <w:color w:val="auto"/>
                <w:sz w:val="28"/>
                <w:szCs w:val="28"/>
                <w:highlight w:val="none"/>
                <w:lang w:val="en-US" w:eastAsia="zh-CN"/>
              </w:rPr>
            </w:pPr>
          </w:p>
        </w:tc>
        <w:tc>
          <w:tcPr>
            <w:tcW w:w="1806" w:type="dxa"/>
            <w:vAlign w:val="top"/>
          </w:tcPr>
          <w:p w14:paraId="65D8E8C0">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2868" w:type="dxa"/>
            <w:vAlign w:val="top"/>
          </w:tcPr>
          <w:p w14:paraId="6E6D2F22">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2412" w:type="dxa"/>
            <w:vMerge w:val="continue"/>
            <w:vAlign w:val="top"/>
          </w:tcPr>
          <w:p w14:paraId="55A1A9FB">
            <w:pPr>
              <w:widowControl/>
              <w:shd w:val="clear"/>
              <w:spacing w:after="120" w:afterLines="50" w:line="480" w:lineRule="exact"/>
              <w:ind w:left="505" w:hanging="505"/>
              <w:jc w:val="center"/>
              <w:rPr>
                <w:rFonts w:hint="default" w:ascii="仿宋_GB2312" w:eastAsia="仿宋_GB2312" w:hAnsiTheme="minorEastAsia" w:cstheme="minorEastAsia"/>
                <w:color w:val="auto"/>
                <w:sz w:val="28"/>
                <w:szCs w:val="28"/>
                <w:highlight w:val="none"/>
                <w:lang w:val="en-US" w:eastAsia="zh-CN"/>
              </w:rPr>
            </w:pPr>
          </w:p>
        </w:tc>
      </w:tr>
      <w:tr w14:paraId="436F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Align w:val="top"/>
          </w:tcPr>
          <w:p w14:paraId="6DEFB323">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1375" w:type="dxa"/>
            <w:vAlign w:val="top"/>
          </w:tcPr>
          <w:p w14:paraId="7C818CB6">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1806" w:type="dxa"/>
            <w:vAlign w:val="top"/>
          </w:tcPr>
          <w:p w14:paraId="5FF50982">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2868" w:type="dxa"/>
            <w:vAlign w:val="top"/>
          </w:tcPr>
          <w:p w14:paraId="4D24FEBF">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2412" w:type="dxa"/>
            <w:vMerge w:val="continue"/>
            <w:vAlign w:val="top"/>
          </w:tcPr>
          <w:p w14:paraId="683B8A3F">
            <w:pPr>
              <w:widowControl/>
              <w:shd w:val="clear"/>
              <w:spacing w:after="120" w:afterLines="50" w:line="480" w:lineRule="exact"/>
              <w:ind w:left="505" w:hanging="505"/>
              <w:jc w:val="center"/>
              <w:rPr>
                <w:rFonts w:hint="default" w:ascii="仿宋_GB2312" w:eastAsia="仿宋_GB2312" w:hAnsiTheme="minorEastAsia" w:cstheme="minorEastAsia"/>
                <w:color w:val="auto"/>
                <w:sz w:val="28"/>
                <w:szCs w:val="28"/>
                <w:highlight w:val="none"/>
                <w:lang w:val="en-US" w:eastAsia="zh-CN"/>
              </w:rPr>
            </w:pPr>
          </w:p>
        </w:tc>
      </w:tr>
      <w:tr w14:paraId="03199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Align w:val="top"/>
          </w:tcPr>
          <w:p w14:paraId="5EAE7D34">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1375" w:type="dxa"/>
            <w:vAlign w:val="top"/>
          </w:tcPr>
          <w:p w14:paraId="623B1C37">
            <w:pPr>
              <w:widowControl/>
              <w:shd w:val="clear"/>
              <w:spacing w:after="120" w:afterLines="50" w:line="480" w:lineRule="exact"/>
              <w:ind w:left="505" w:hanging="505"/>
              <w:jc w:val="center"/>
              <w:rPr>
                <w:rFonts w:hint="default" w:ascii="仿宋_GB2312" w:eastAsia="仿宋_GB2312" w:hAnsiTheme="minorEastAsia" w:cstheme="minorEastAsia"/>
                <w:color w:val="auto"/>
                <w:sz w:val="28"/>
                <w:szCs w:val="28"/>
                <w:highlight w:val="none"/>
                <w:lang w:val="en-US" w:eastAsia="zh-CN"/>
              </w:rPr>
            </w:pPr>
          </w:p>
        </w:tc>
        <w:tc>
          <w:tcPr>
            <w:tcW w:w="1806" w:type="dxa"/>
            <w:vAlign w:val="top"/>
          </w:tcPr>
          <w:p w14:paraId="6C6729B6">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2868" w:type="dxa"/>
            <w:vAlign w:val="top"/>
          </w:tcPr>
          <w:p w14:paraId="2A4F7D58">
            <w:pPr>
              <w:widowControl/>
              <w:shd w:val="clear"/>
              <w:spacing w:after="120" w:afterLines="50" w:line="480" w:lineRule="exact"/>
              <w:ind w:left="505" w:hanging="505"/>
              <w:jc w:val="center"/>
              <w:rPr>
                <w:rFonts w:hint="eastAsia" w:ascii="仿宋_GB2312" w:eastAsia="仿宋_GB2312" w:hAnsiTheme="minorEastAsia" w:cstheme="minorEastAsia"/>
                <w:color w:val="auto"/>
                <w:sz w:val="28"/>
                <w:szCs w:val="28"/>
                <w:highlight w:val="none"/>
                <w:lang w:val="en-US" w:eastAsia="zh-CN"/>
              </w:rPr>
            </w:pPr>
          </w:p>
        </w:tc>
        <w:tc>
          <w:tcPr>
            <w:tcW w:w="2412" w:type="dxa"/>
            <w:vMerge w:val="continue"/>
            <w:vAlign w:val="top"/>
          </w:tcPr>
          <w:p w14:paraId="78753D72">
            <w:pPr>
              <w:widowControl/>
              <w:shd w:val="clear"/>
              <w:spacing w:after="120" w:afterLines="50" w:line="480" w:lineRule="exact"/>
              <w:ind w:left="505" w:hanging="505"/>
              <w:jc w:val="center"/>
              <w:rPr>
                <w:rFonts w:hint="default" w:ascii="仿宋_GB2312" w:eastAsia="仿宋_GB2312" w:hAnsiTheme="minorEastAsia" w:cstheme="minorEastAsia"/>
                <w:color w:val="auto"/>
                <w:sz w:val="28"/>
                <w:szCs w:val="28"/>
                <w:highlight w:val="none"/>
                <w:lang w:val="en-US" w:eastAsia="zh-CN"/>
              </w:rPr>
            </w:pPr>
          </w:p>
        </w:tc>
      </w:tr>
      <w:tr w14:paraId="77FD4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vAlign w:val="top"/>
          </w:tcPr>
          <w:p w14:paraId="21D9D288">
            <w:pPr>
              <w:widowControl/>
              <w:shd w:val="clear"/>
              <w:spacing w:after="120" w:afterLines="50" w:line="480" w:lineRule="exact"/>
              <w:ind w:left="505" w:hanging="505"/>
              <w:rPr>
                <w:rFonts w:hint="eastAsia" w:ascii="仿宋_GB2312" w:eastAsia="仿宋_GB2312" w:hAnsiTheme="minorEastAsia" w:cstheme="minorEastAsia"/>
                <w:color w:val="auto"/>
                <w:sz w:val="28"/>
                <w:szCs w:val="28"/>
                <w:highlight w:val="none"/>
                <w:lang w:val="en-US" w:eastAsia="zh-CN"/>
              </w:rPr>
            </w:pPr>
          </w:p>
        </w:tc>
        <w:tc>
          <w:tcPr>
            <w:tcW w:w="1375" w:type="dxa"/>
            <w:vAlign w:val="top"/>
          </w:tcPr>
          <w:p w14:paraId="42A11D6D">
            <w:pPr>
              <w:widowControl/>
              <w:shd w:val="clear"/>
              <w:spacing w:after="120" w:afterLines="50" w:line="480" w:lineRule="exact"/>
              <w:ind w:left="505" w:hanging="505"/>
              <w:rPr>
                <w:rFonts w:hint="eastAsia" w:ascii="仿宋_GB2312" w:eastAsia="仿宋_GB2312" w:hAnsiTheme="minorEastAsia" w:cstheme="minorEastAsia"/>
                <w:color w:val="auto"/>
                <w:sz w:val="28"/>
                <w:szCs w:val="28"/>
                <w:highlight w:val="none"/>
                <w:lang w:val="en-US" w:eastAsia="zh-CN"/>
              </w:rPr>
            </w:pPr>
          </w:p>
        </w:tc>
        <w:tc>
          <w:tcPr>
            <w:tcW w:w="1806" w:type="dxa"/>
            <w:vAlign w:val="top"/>
          </w:tcPr>
          <w:p w14:paraId="441C4094">
            <w:pPr>
              <w:widowControl/>
              <w:shd w:val="clear"/>
              <w:spacing w:after="120" w:afterLines="50" w:line="480" w:lineRule="exact"/>
              <w:ind w:left="505" w:hanging="505"/>
              <w:rPr>
                <w:rFonts w:hint="default" w:ascii="仿宋_GB2312" w:eastAsia="仿宋_GB2312" w:hAnsiTheme="minorEastAsia" w:cstheme="minorEastAsia"/>
                <w:color w:val="auto"/>
                <w:sz w:val="28"/>
                <w:szCs w:val="28"/>
                <w:highlight w:val="none"/>
                <w:lang w:val="en-US" w:eastAsia="zh-CN"/>
              </w:rPr>
            </w:pPr>
          </w:p>
        </w:tc>
        <w:tc>
          <w:tcPr>
            <w:tcW w:w="2868" w:type="dxa"/>
            <w:vAlign w:val="top"/>
          </w:tcPr>
          <w:p w14:paraId="66600238">
            <w:pPr>
              <w:widowControl/>
              <w:shd w:val="clear"/>
              <w:spacing w:after="120" w:afterLines="50" w:line="480" w:lineRule="exact"/>
              <w:ind w:left="505" w:hanging="505"/>
              <w:rPr>
                <w:rFonts w:hint="default" w:ascii="仿宋_GB2312" w:eastAsia="仿宋_GB2312" w:hAnsiTheme="minorEastAsia" w:cstheme="minorEastAsia"/>
                <w:color w:val="auto"/>
                <w:sz w:val="28"/>
                <w:szCs w:val="28"/>
                <w:highlight w:val="none"/>
                <w:lang w:val="en-US" w:eastAsia="zh-CN"/>
              </w:rPr>
            </w:pPr>
          </w:p>
        </w:tc>
        <w:tc>
          <w:tcPr>
            <w:tcW w:w="2412" w:type="dxa"/>
            <w:vMerge w:val="continue"/>
            <w:vAlign w:val="top"/>
          </w:tcPr>
          <w:p w14:paraId="2FDF924F">
            <w:pPr>
              <w:widowControl/>
              <w:shd w:val="clear"/>
              <w:spacing w:after="120" w:afterLines="50" w:line="480" w:lineRule="exact"/>
              <w:ind w:left="505" w:hanging="505"/>
              <w:rPr>
                <w:rFonts w:hint="eastAsia" w:ascii="仿宋_GB2312" w:eastAsia="仿宋_GB2312" w:hAnsiTheme="minorEastAsia" w:cstheme="minorEastAsia"/>
                <w:color w:val="auto"/>
                <w:sz w:val="28"/>
                <w:szCs w:val="28"/>
                <w:highlight w:val="none"/>
                <w:lang w:val="en-US" w:eastAsia="zh-CN"/>
              </w:rPr>
            </w:pPr>
          </w:p>
        </w:tc>
      </w:tr>
    </w:tbl>
    <w:p w14:paraId="4617D44D">
      <w:pPr>
        <w:shd w:val="clear"/>
        <w:adjustRightInd w:val="0"/>
        <w:snapToGrid w:val="0"/>
        <w:spacing w:line="440" w:lineRule="exact"/>
        <w:jc w:val="center"/>
        <w:rPr>
          <w:rFonts w:asciiTheme="minorEastAsia" w:hAnsiTheme="minorEastAsia" w:cstheme="minorEastAsia"/>
          <w:b/>
          <w:color w:val="auto"/>
          <w:sz w:val="30"/>
          <w:szCs w:val="30"/>
          <w:highlight w:val="none"/>
        </w:rPr>
      </w:pPr>
    </w:p>
    <w:p w14:paraId="10F489BF">
      <w:pPr>
        <w:shd w:val="clear"/>
        <w:adjustRightInd w:val="0"/>
        <w:snapToGrid w:val="0"/>
        <w:spacing w:line="440" w:lineRule="exact"/>
        <w:jc w:val="center"/>
        <w:rPr>
          <w:rFonts w:asciiTheme="minorEastAsia" w:hAnsiTheme="minorEastAsia" w:cstheme="minorEastAsia"/>
          <w:b/>
          <w:color w:val="auto"/>
          <w:sz w:val="30"/>
          <w:szCs w:val="30"/>
          <w:highlight w:val="none"/>
        </w:rPr>
      </w:pPr>
    </w:p>
    <w:p w14:paraId="62802B31">
      <w:pPr>
        <w:shd w:val="clear"/>
        <w:adjustRightInd w:val="0"/>
        <w:snapToGrid w:val="0"/>
        <w:spacing w:line="480" w:lineRule="exac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备注：</w:t>
      </w:r>
    </w:p>
    <w:p w14:paraId="6A05E156">
      <w:pPr>
        <w:widowControl/>
        <w:shd w:val="clear"/>
        <w:spacing w:after="120" w:afterLines="50" w:line="480" w:lineRule="exact"/>
        <w:ind w:left="505" w:hanging="505"/>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1.上表所列乙方现场管理人员，未经甲方事先书面同意，不得更换，甲方对上述人员进行现场考勤。</w:t>
      </w:r>
    </w:p>
    <w:p w14:paraId="7EA29C65">
      <w:pPr>
        <w:widowControl/>
        <w:shd w:val="clear"/>
        <w:spacing w:after="120" w:afterLines="50" w:line="480" w:lineRule="exact"/>
        <w:ind w:left="505" w:hanging="505"/>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2.上表所列乙方现场管理人员均有权代表乙方签署往来函件，履行乙方权利和义务。</w:t>
      </w:r>
    </w:p>
    <w:p w14:paraId="67308874">
      <w:pPr>
        <w:shd w:val="clear"/>
        <w:adjustRightInd w:val="0"/>
        <w:snapToGrid w:val="0"/>
        <w:spacing w:before="120" w:beforeLines="50" w:after="120" w:afterLines="50" w:line="480" w:lineRule="exact"/>
        <w:ind w:firstLine="1400" w:firstLineChars="500"/>
        <w:rPr>
          <w:rFonts w:hint="eastAsia"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 xml:space="preserve">    </w:t>
      </w:r>
    </w:p>
    <w:p w14:paraId="4E12A1C9">
      <w:pPr>
        <w:shd w:val="clear"/>
        <w:adjustRightInd w:val="0"/>
        <w:snapToGrid w:val="0"/>
        <w:spacing w:before="120" w:beforeLines="50" w:after="120" w:afterLines="50" w:line="480" w:lineRule="exact"/>
        <w:ind w:firstLine="1400" w:firstLineChars="500"/>
        <w:rPr>
          <w:rFonts w:hint="eastAsia" w:ascii="仿宋_GB2312" w:eastAsia="仿宋_GB2312" w:hAnsiTheme="minorEastAsia" w:cstheme="minorEastAsia"/>
          <w:color w:val="auto"/>
          <w:sz w:val="28"/>
          <w:szCs w:val="28"/>
          <w:highlight w:val="none"/>
        </w:rPr>
      </w:pPr>
    </w:p>
    <w:p w14:paraId="23715F90">
      <w:pPr>
        <w:shd w:val="clear"/>
        <w:adjustRightInd w:val="0"/>
        <w:snapToGrid w:val="0"/>
        <w:spacing w:before="120" w:beforeLines="50" w:after="120" w:afterLines="50" w:line="480" w:lineRule="exact"/>
        <w:ind w:firstLine="1400" w:firstLineChars="5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 xml:space="preserve">  乙方（盖章）</w:t>
      </w:r>
      <w:r>
        <w:rPr>
          <w:rFonts w:hint="eastAsia" w:ascii="仿宋_GB2312" w:hAnsi="仿宋" w:eastAsia="仿宋_GB2312" w:cs="仿宋"/>
          <w:color w:val="auto"/>
          <w:sz w:val="28"/>
          <w:szCs w:val="28"/>
          <w:highlight w:val="none"/>
          <w:lang w:eastAsia="zh-CN"/>
        </w:rPr>
        <w:t>XXXX</w:t>
      </w:r>
    </w:p>
    <w:p w14:paraId="0AD897D9">
      <w:pPr>
        <w:widowControl/>
        <w:shd w:val="clear"/>
        <w:tabs>
          <w:tab w:val="left" w:pos="5610"/>
        </w:tabs>
        <w:spacing w:before="240" w:beforeLines="100" w:after="240" w:afterLines="100" w:line="480" w:lineRule="exact"/>
        <w:jc w:val="left"/>
        <w:rPr>
          <w:rFonts w:ascii="仿宋_GB2312" w:eastAsia="仿宋_GB2312" w:hAnsiTheme="minorEastAsia" w:cstheme="minorEastAsia"/>
          <w:color w:val="auto"/>
          <w:kern w:val="0"/>
          <w:sz w:val="28"/>
          <w:szCs w:val="28"/>
          <w:highlight w:val="none"/>
        </w:rPr>
      </w:pPr>
      <w:r>
        <w:rPr>
          <w:rFonts w:hint="eastAsia" w:ascii="仿宋_GB2312" w:eastAsia="仿宋_GB2312" w:hAnsiTheme="minorEastAsia" w:cstheme="minorEastAsia"/>
          <w:color w:val="auto"/>
          <w:sz w:val="28"/>
          <w:szCs w:val="28"/>
          <w:highlight w:val="none"/>
        </w:rPr>
        <w:t xml:space="preserve">     </w:t>
      </w:r>
      <w:r>
        <w:rPr>
          <w:rFonts w:hint="eastAsia" w:ascii="仿宋_GB2312" w:eastAsia="仿宋_GB2312" w:hAnsiTheme="minorEastAsia" w:cstheme="minorEastAsia"/>
          <w:color w:val="auto"/>
          <w:sz w:val="28"/>
          <w:szCs w:val="28"/>
          <w:highlight w:val="none"/>
          <w:lang w:val="en-US" w:eastAsia="zh-CN"/>
        </w:rPr>
        <w:t xml:space="preserve">      </w:t>
      </w:r>
      <w:r>
        <w:rPr>
          <w:rFonts w:hint="eastAsia" w:ascii="仿宋_GB2312" w:eastAsia="仿宋_GB2312" w:hAnsiTheme="minorEastAsia" w:cstheme="minorEastAsia"/>
          <w:color w:val="auto"/>
          <w:sz w:val="28"/>
          <w:szCs w:val="28"/>
          <w:highlight w:val="none"/>
        </w:rPr>
        <w:t xml:space="preserve"> </w:t>
      </w:r>
      <w:r>
        <w:rPr>
          <w:rFonts w:hint="eastAsia" w:ascii="仿宋_GB2312" w:eastAsia="仿宋_GB2312" w:hAnsiTheme="minorEastAsia" w:cstheme="minorEastAsia"/>
          <w:color w:val="auto"/>
          <w:kern w:val="0"/>
          <w:sz w:val="28"/>
          <w:szCs w:val="28"/>
          <w:highlight w:val="none"/>
        </w:rPr>
        <w:t>法定代表人</w:t>
      </w:r>
      <w:r>
        <w:rPr>
          <w:rFonts w:hint="eastAsia" w:ascii="仿宋_GB2312" w:hAnsi="仿宋" w:eastAsia="仿宋_GB2312" w:cs="仿宋"/>
          <w:color w:val="auto"/>
          <w:sz w:val="28"/>
          <w:szCs w:val="28"/>
          <w:highlight w:val="none"/>
          <w:lang w:val="en-US" w:eastAsia="zh-CN"/>
        </w:rPr>
        <w:t>或</w:t>
      </w:r>
      <w:r>
        <w:rPr>
          <w:rFonts w:hint="eastAsia" w:ascii="仿宋_GB2312" w:hAnsi="仿宋" w:eastAsia="仿宋_GB2312" w:cs="仿宋"/>
          <w:color w:val="auto"/>
          <w:sz w:val="28"/>
          <w:szCs w:val="28"/>
          <w:highlight w:val="none"/>
        </w:rPr>
        <w:t>委托代理人：</w:t>
      </w:r>
      <w:r>
        <w:rPr>
          <w:rFonts w:hint="eastAsia" w:ascii="仿宋_GB2312" w:eastAsia="仿宋_GB2312" w:hAnsiTheme="minorEastAsia" w:cstheme="minorEastAsia"/>
          <w:color w:val="auto"/>
          <w:kern w:val="0"/>
          <w:sz w:val="28"/>
          <w:szCs w:val="28"/>
          <w:highlight w:val="none"/>
        </w:rPr>
        <w:t>【签字】</w:t>
      </w:r>
    </w:p>
    <w:p w14:paraId="3D550CA6">
      <w:pPr>
        <w:keepNext w:val="0"/>
        <w:keepLines w:val="0"/>
        <w:pageBreakBefore w:val="0"/>
        <w:widowControl w:val="0"/>
        <w:shd w:val="clear"/>
        <w:kinsoku/>
        <w:wordWrap/>
        <w:overflowPunct/>
        <w:topLinePunct w:val="0"/>
        <w:autoSpaceDE/>
        <w:autoSpaceDN/>
        <w:bidi w:val="0"/>
        <w:adjustRightInd w:val="0"/>
        <w:snapToGrid w:val="0"/>
        <w:spacing w:line="360" w:lineRule="auto"/>
        <w:ind w:firstLine="1680" w:firstLineChars="600"/>
        <w:textAlignment w:val="auto"/>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日</w:t>
      </w:r>
      <w:r>
        <w:rPr>
          <w:rFonts w:hint="eastAsia" w:ascii="仿宋_GB2312" w:eastAsia="仿宋_GB2312" w:hAnsiTheme="minorEastAsia" w:cstheme="minorEastAsia"/>
          <w:color w:val="auto"/>
          <w:sz w:val="28"/>
          <w:szCs w:val="28"/>
          <w:highlight w:val="none"/>
          <w:lang w:val="en-US" w:eastAsia="zh-CN"/>
        </w:rPr>
        <w:t xml:space="preserve">     </w:t>
      </w:r>
      <w:r>
        <w:rPr>
          <w:rFonts w:hint="eastAsia" w:ascii="仿宋_GB2312" w:eastAsia="仿宋_GB2312" w:hAnsiTheme="minorEastAsia" w:cstheme="minorEastAsia"/>
          <w:color w:val="auto"/>
          <w:sz w:val="28"/>
          <w:szCs w:val="28"/>
          <w:highlight w:val="none"/>
        </w:rPr>
        <w:t>期：</w:t>
      </w:r>
      <w:r>
        <w:rPr>
          <w:rFonts w:hint="eastAsia" w:ascii="仿宋_GB2312" w:eastAsia="仿宋_GB2312" w:hAnsiTheme="minorEastAsia" w:cstheme="minorEastAsia"/>
          <w:color w:val="auto"/>
          <w:sz w:val="28"/>
          <w:szCs w:val="28"/>
          <w:highlight w:val="none"/>
          <w:lang w:eastAsia="zh-CN"/>
        </w:rPr>
        <w:t>2025年6月18日</w:t>
      </w:r>
      <w:r>
        <w:rPr>
          <w:rFonts w:hint="eastAsia" w:ascii="仿宋_GB2312" w:eastAsia="仿宋_GB2312" w:hAnsiTheme="minorEastAsia" w:cstheme="minorEastAsia"/>
          <w:color w:val="auto"/>
          <w:sz w:val="28"/>
          <w:szCs w:val="28"/>
          <w:highlight w:val="none"/>
        </w:rPr>
        <w:t xml:space="preserve"> </w:t>
      </w:r>
    </w:p>
    <w:p w14:paraId="0956AB26">
      <w:pPr>
        <w:shd w:val="clear"/>
        <w:adjustRightInd w:val="0"/>
        <w:snapToGrid w:val="0"/>
        <w:spacing w:line="480" w:lineRule="exact"/>
        <w:ind w:left="5147" w:leftChars="2451"/>
        <w:rPr>
          <w:rFonts w:ascii="仿宋_GB2312" w:eastAsia="仿宋_GB2312" w:hAnsiTheme="minorEastAsia" w:cstheme="minorEastAsia"/>
          <w:color w:val="auto"/>
          <w:sz w:val="28"/>
          <w:szCs w:val="28"/>
          <w:highlight w:val="none"/>
        </w:rPr>
      </w:pPr>
    </w:p>
    <w:p w14:paraId="02F9BBD9">
      <w:pPr>
        <w:shd w:val="clear"/>
        <w:adjustRightInd w:val="0"/>
        <w:snapToGrid w:val="0"/>
        <w:spacing w:line="480" w:lineRule="exact"/>
        <w:ind w:left="5147" w:leftChars="2451" w:firstLine="5880" w:firstLineChars="21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 xml:space="preserve">      </w:t>
      </w:r>
    </w:p>
    <w:p w14:paraId="474B8CEC">
      <w:pPr>
        <w:pStyle w:val="5"/>
        <w:shd w:val="clear"/>
        <w:spacing w:beforeLines="50" w:afterLines="50"/>
        <w:ind w:left="0" w:leftChars="0" w:firstLine="562" w:firstLineChars="200"/>
        <w:rPr>
          <w:color w:val="auto"/>
          <w:highlight w:val="none"/>
        </w:rPr>
      </w:pPr>
      <w:bookmarkStart w:id="861" w:name="_Toc16877"/>
      <w:r>
        <w:rPr>
          <w:rFonts w:hint="eastAsia"/>
          <w:color w:val="auto"/>
          <w:highlight w:val="none"/>
        </w:rPr>
        <w:t>附件5</w:t>
      </w:r>
      <w:bookmarkStart w:id="862" w:name="_Toc132053714"/>
      <w:r>
        <w:rPr>
          <w:rFonts w:hint="eastAsia"/>
          <w:color w:val="auto"/>
          <w:highlight w:val="none"/>
        </w:rPr>
        <w:t xml:space="preserve">  </w:t>
      </w:r>
    </w:p>
    <w:p w14:paraId="386A0257">
      <w:pPr>
        <w:pStyle w:val="5"/>
        <w:shd w:val="clear"/>
        <w:spacing w:beforeLines="50" w:afterLines="50"/>
        <w:ind w:left="0" w:leftChars="0"/>
        <w:jc w:val="center"/>
        <w:rPr>
          <w:color w:val="auto"/>
          <w:sz w:val="32"/>
          <w:szCs w:val="32"/>
          <w:highlight w:val="none"/>
        </w:rPr>
      </w:pPr>
      <w:r>
        <w:rPr>
          <w:rFonts w:hint="eastAsia"/>
          <w:color w:val="auto"/>
          <w:sz w:val="32"/>
          <w:szCs w:val="32"/>
          <w:highlight w:val="none"/>
        </w:rPr>
        <w:t>工程承包人供应材料与设备明细表</w:t>
      </w:r>
      <w:bookmarkEnd w:id="861"/>
      <w:bookmarkEnd w:id="862"/>
    </w:p>
    <w:p w14:paraId="55E89DD1">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工程名称：【</w:t>
      </w:r>
      <w:r>
        <w:rPr>
          <w:rFonts w:hint="eastAsia" w:ascii="仿宋_GB2312" w:eastAsia="仿宋_GB2312" w:hAnsiTheme="minorEastAsia" w:cstheme="minorEastAsia"/>
          <w:color w:val="auto"/>
          <w:sz w:val="28"/>
          <w:szCs w:val="28"/>
          <w:highlight w:val="none"/>
          <w:lang w:eastAsia="zh-CN"/>
        </w:rPr>
        <w:t>广西大学机械教学实验中心大楼项目精装修工程</w:t>
      </w:r>
      <w:r>
        <w:rPr>
          <w:rFonts w:hint="eastAsia" w:ascii="仿宋_GB2312" w:eastAsia="仿宋_GB2312" w:hAnsiTheme="minorEastAsia" w:cstheme="minorEastAsia"/>
          <w:color w:val="auto"/>
          <w:sz w:val="28"/>
          <w:szCs w:val="28"/>
          <w:highlight w:val="none"/>
        </w:rPr>
        <w:t>】</w:t>
      </w:r>
    </w:p>
    <w:p w14:paraId="57FB4F70">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单位：元</w:t>
      </w:r>
    </w:p>
    <w:tbl>
      <w:tblPr>
        <w:tblStyle w:val="25"/>
        <w:tblW w:w="920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963"/>
        <w:gridCol w:w="992"/>
        <w:gridCol w:w="1025"/>
        <w:gridCol w:w="1340"/>
        <w:gridCol w:w="1530"/>
        <w:gridCol w:w="1547"/>
      </w:tblGrid>
      <w:tr w14:paraId="2CDFE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03" w:type="dxa"/>
            <w:vAlign w:val="center"/>
          </w:tcPr>
          <w:p w14:paraId="5F2366D5">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序号</w:t>
            </w:r>
          </w:p>
        </w:tc>
        <w:tc>
          <w:tcPr>
            <w:tcW w:w="1963" w:type="dxa"/>
            <w:vAlign w:val="center"/>
          </w:tcPr>
          <w:p w14:paraId="6C2CEFD7">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材料设备名称</w:t>
            </w:r>
          </w:p>
        </w:tc>
        <w:tc>
          <w:tcPr>
            <w:tcW w:w="992" w:type="dxa"/>
            <w:vAlign w:val="center"/>
          </w:tcPr>
          <w:p w14:paraId="12F9EB9E">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规格</w:t>
            </w:r>
          </w:p>
        </w:tc>
        <w:tc>
          <w:tcPr>
            <w:tcW w:w="1025" w:type="dxa"/>
            <w:vAlign w:val="center"/>
          </w:tcPr>
          <w:p w14:paraId="18D0BE14">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单位</w:t>
            </w:r>
          </w:p>
        </w:tc>
        <w:tc>
          <w:tcPr>
            <w:tcW w:w="1340" w:type="dxa"/>
            <w:vAlign w:val="center"/>
          </w:tcPr>
          <w:p w14:paraId="1B18C927">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数量</w:t>
            </w:r>
          </w:p>
        </w:tc>
        <w:tc>
          <w:tcPr>
            <w:tcW w:w="1530" w:type="dxa"/>
            <w:vAlign w:val="center"/>
          </w:tcPr>
          <w:p w14:paraId="20E9A660">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扣款单价</w:t>
            </w:r>
          </w:p>
        </w:tc>
        <w:tc>
          <w:tcPr>
            <w:tcW w:w="1547" w:type="dxa"/>
            <w:vAlign w:val="center"/>
          </w:tcPr>
          <w:p w14:paraId="3EA0761C">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备注</w:t>
            </w:r>
          </w:p>
        </w:tc>
      </w:tr>
      <w:tr w14:paraId="01A7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vAlign w:val="center"/>
          </w:tcPr>
          <w:p w14:paraId="242FD1A1">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1</w:t>
            </w:r>
          </w:p>
        </w:tc>
        <w:tc>
          <w:tcPr>
            <w:tcW w:w="1963" w:type="dxa"/>
            <w:vAlign w:val="center"/>
          </w:tcPr>
          <w:p w14:paraId="14CDD4A1">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lang w:val="en-US" w:eastAsia="zh-CN"/>
              </w:rPr>
              <w:t>/</w:t>
            </w:r>
          </w:p>
        </w:tc>
        <w:tc>
          <w:tcPr>
            <w:tcW w:w="992" w:type="dxa"/>
            <w:vAlign w:val="center"/>
          </w:tcPr>
          <w:p w14:paraId="3762E527">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025" w:type="dxa"/>
            <w:vAlign w:val="center"/>
          </w:tcPr>
          <w:p w14:paraId="67FDD9A4">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340" w:type="dxa"/>
            <w:vAlign w:val="center"/>
          </w:tcPr>
          <w:p w14:paraId="10934591">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530" w:type="dxa"/>
            <w:vAlign w:val="center"/>
          </w:tcPr>
          <w:p w14:paraId="7CE08F1C">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547" w:type="dxa"/>
            <w:vAlign w:val="center"/>
          </w:tcPr>
          <w:p w14:paraId="4DDF114B">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r>
      <w:tr w14:paraId="79E2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vAlign w:val="center"/>
          </w:tcPr>
          <w:p w14:paraId="098CCA6D">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2</w:t>
            </w:r>
          </w:p>
        </w:tc>
        <w:tc>
          <w:tcPr>
            <w:tcW w:w="1963" w:type="dxa"/>
            <w:vAlign w:val="center"/>
          </w:tcPr>
          <w:p w14:paraId="6A7656E2">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lang w:val="en-US" w:eastAsia="zh-CN"/>
              </w:rPr>
              <w:t>/</w:t>
            </w:r>
          </w:p>
        </w:tc>
        <w:tc>
          <w:tcPr>
            <w:tcW w:w="992" w:type="dxa"/>
            <w:vAlign w:val="center"/>
          </w:tcPr>
          <w:p w14:paraId="58F01782">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025" w:type="dxa"/>
            <w:vAlign w:val="center"/>
          </w:tcPr>
          <w:p w14:paraId="0DC2B64A">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340" w:type="dxa"/>
            <w:vAlign w:val="center"/>
          </w:tcPr>
          <w:p w14:paraId="01D7E31E">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530" w:type="dxa"/>
            <w:vAlign w:val="center"/>
          </w:tcPr>
          <w:p w14:paraId="5230AC25">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547" w:type="dxa"/>
            <w:vAlign w:val="center"/>
          </w:tcPr>
          <w:p w14:paraId="3048F4C4">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r>
      <w:tr w14:paraId="63DB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vAlign w:val="center"/>
          </w:tcPr>
          <w:p w14:paraId="0D0D9A47">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3</w:t>
            </w:r>
          </w:p>
        </w:tc>
        <w:tc>
          <w:tcPr>
            <w:tcW w:w="1963" w:type="dxa"/>
            <w:vAlign w:val="center"/>
          </w:tcPr>
          <w:p w14:paraId="1B571CAB">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lang w:val="en-US" w:eastAsia="zh-CN"/>
              </w:rPr>
              <w:t>/</w:t>
            </w:r>
          </w:p>
        </w:tc>
        <w:tc>
          <w:tcPr>
            <w:tcW w:w="992" w:type="dxa"/>
            <w:vAlign w:val="center"/>
          </w:tcPr>
          <w:p w14:paraId="77F39E9D">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025" w:type="dxa"/>
            <w:vAlign w:val="center"/>
          </w:tcPr>
          <w:p w14:paraId="5818ECB6">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340" w:type="dxa"/>
            <w:vAlign w:val="center"/>
          </w:tcPr>
          <w:p w14:paraId="4F3DEFBD">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530" w:type="dxa"/>
            <w:vAlign w:val="center"/>
          </w:tcPr>
          <w:p w14:paraId="1622F589">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c>
          <w:tcPr>
            <w:tcW w:w="1547" w:type="dxa"/>
            <w:vAlign w:val="center"/>
          </w:tcPr>
          <w:p w14:paraId="5632545F">
            <w:pPr>
              <w:widowControl/>
              <w:shd w:val="clear"/>
              <w:spacing w:after="120" w:afterLines="50" w:line="480" w:lineRule="exact"/>
              <w:ind w:left="505" w:hanging="505"/>
              <w:jc w:val="left"/>
              <w:rPr>
                <w:rFonts w:ascii="仿宋_GB2312" w:eastAsia="仿宋_GB2312" w:hAnsiTheme="minorEastAsia" w:cstheme="minorEastAsia"/>
                <w:color w:val="auto"/>
                <w:sz w:val="28"/>
                <w:szCs w:val="28"/>
                <w:highlight w:val="none"/>
              </w:rPr>
            </w:pPr>
          </w:p>
        </w:tc>
      </w:tr>
    </w:tbl>
    <w:p w14:paraId="7C528E21">
      <w:pPr>
        <w:widowControl/>
        <w:shd w:val="clear"/>
        <w:spacing w:line="480" w:lineRule="exac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注：此表中未明确的材料、设备，按照工程承包人与建设单位最终确认的材料、设备单价乘以1.2，作为专业分包人超用材料、设备扣款的单价。</w:t>
      </w:r>
    </w:p>
    <w:p w14:paraId="06238220">
      <w:pPr>
        <w:shd w:val="clear"/>
        <w:spacing w:line="480" w:lineRule="exact"/>
        <w:rPr>
          <w:rFonts w:ascii="仿宋_GB2312" w:eastAsia="仿宋_GB2312" w:hAnsiTheme="minorEastAsia" w:cstheme="minorEastAsia"/>
          <w:b/>
          <w:bCs/>
          <w:color w:val="auto"/>
          <w:sz w:val="28"/>
          <w:szCs w:val="28"/>
          <w:highlight w:val="none"/>
        </w:rPr>
      </w:pPr>
    </w:p>
    <w:p w14:paraId="1B43BC1A">
      <w:pPr>
        <w:shd w:val="clear"/>
        <w:spacing w:line="480" w:lineRule="exact"/>
        <w:rPr>
          <w:rFonts w:ascii="仿宋_GB2312" w:eastAsia="仿宋_GB2312" w:hAnsiTheme="minorEastAsia" w:cstheme="minorEastAsia"/>
          <w:b/>
          <w:bCs/>
          <w:color w:val="auto"/>
          <w:sz w:val="28"/>
          <w:szCs w:val="28"/>
          <w:highlight w:val="none"/>
        </w:rPr>
      </w:pPr>
    </w:p>
    <w:p w14:paraId="1093E6F3">
      <w:pPr>
        <w:shd w:val="clear"/>
        <w:spacing w:line="480" w:lineRule="exact"/>
        <w:rPr>
          <w:rFonts w:ascii="仿宋_GB2312" w:eastAsia="仿宋_GB2312" w:hAnsiTheme="minorEastAsia" w:cstheme="minorEastAsia"/>
          <w:b/>
          <w:bCs/>
          <w:color w:val="auto"/>
          <w:sz w:val="28"/>
          <w:szCs w:val="28"/>
          <w:highlight w:val="none"/>
        </w:rPr>
      </w:pPr>
    </w:p>
    <w:p w14:paraId="150F9FEB">
      <w:pPr>
        <w:widowControl/>
        <w:shd w:val="clear"/>
        <w:tabs>
          <w:tab w:val="left" w:pos="5610"/>
        </w:tabs>
        <w:spacing w:before="240" w:beforeLines="100" w:after="240" w:afterLines="100" w:line="480" w:lineRule="exact"/>
        <w:jc w:val="left"/>
        <w:rPr>
          <w:rFonts w:ascii="仿宋_GB2312" w:eastAsia="仿宋_GB2312" w:hAnsiTheme="minorEastAsia" w:cstheme="minorEastAsia"/>
          <w:b w:val="0"/>
          <w:bCs/>
          <w:color w:val="auto"/>
          <w:kern w:val="0"/>
          <w:sz w:val="28"/>
          <w:szCs w:val="28"/>
          <w:highlight w:val="none"/>
        </w:rPr>
      </w:pPr>
      <w:r>
        <w:rPr>
          <w:rFonts w:hint="eastAsia" w:ascii="仿宋_GB2312" w:eastAsia="仿宋_GB2312" w:hAnsiTheme="minorEastAsia" w:cstheme="minorEastAsia"/>
          <w:color w:val="auto"/>
          <w:kern w:val="0"/>
          <w:sz w:val="28"/>
          <w:szCs w:val="28"/>
          <w:highlight w:val="none"/>
        </w:rPr>
        <w:t>专业分包人：【盖章】</w:t>
      </w:r>
      <w:r>
        <w:rPr>
          <w:rFonts w:hint="eastAsia" w:ascii="仿宋_GB2312" w:hAnsi="仿宋_GB2312" w:eastAsia="仿宋_GB2312" w:cs="仿宋_GB2312"/>
          <w:b w:val="0"/>
          <w:bCs/>
          <w:color w:val="auto"/>
          <w:sz w:val="28"/>
          <w:szCs w:val="28"/>
          <w:highlight w:val="none"/>
          <w:lang w:eastAsia="zh-CN"/>
        </w:rPr>
        <w:t>XXXX</w:t>
      </w:r>
    </w:p>
    <w:p w14:paraId="59A7483F">
      <w:pPr>
        <w:widowControl/>
        <w:shd w:val="clear"/>
        <w:tabs>
          <w:tab w:val="left" w:pos="5610"/>
        </w:tabs>
        <w:spacing w:before="240" w:beforeLines="100" w:after="240" w:afterLines="100" w:line="480" w:lineRule="exact"/>
        <w:jc w:val="left"/>
        <w:rPr>
          <w:rFonts w:ascii="仿宋_GB2312" w:eastAsia="仿宋_GB2312" w:hAnsiTheme="minorEastAsia" w:cstheme="minorEastAsia"/>
          <w:color w:val="auto"/>
          <w:kern w:val="0"/>
          <w:sz w:val="28"/>
          <w:szCs w:val="28"/>
          <w:highlight w:val="none"/>
        </w:rPr>
      </w:pPr>
      <w:r>
        <w:rPr>
          <w:rFonts w:hint="eastAsia" w:ascii="仿宋_GB2312" w:eastAsia="仿宋_GB2312" w:hAnsiTheme="minorEastAsia" w:cstheme="minorEastAsia"/>
          <w:color w:val="auto"/>
          <w:kern w:val="0"/>
          <w:sz w:val="28"/>
          <w:szCs w:val="28"/>
          <w:highlight w:val="none"/>
        </w:rPr>
        <w:t>法定代表人</w:t>
      </w:r>
      <w:r>
        <w:rPr>
          <w:rFonts w:hint="eastAsia" w:ascii="仿宋_GB2312" w:hAnsi="仿宋" w:eastAsia="仿宋_GB2312" w:cs="仿宋"/>
          <w:color w:val="auto"/>
          <w:sz w:val="28"/>
          <w:szCs w:val="28"/>
          <w:highlight w:val="none"/>
          <w:lang w:val="en-US" w:eastAsia="zh-CN"/>
        </w:rPr>
        <w:t>或</w:t>
      </w:r>
      <w:r>
        <w:rPr>
          <w:rFonts w:hint="eastAsia" w:ascii="仿宋_GB2312" w:hAnsi="仿宋" w:eastAsia="仿宋_GB2312" w:cs="仿宋"/>
          <w:color w:val="auto"/>
          <w:sz w:val="28"/>
          <w:szCs w:val="28"/>
          <w:highlight w:val="none"/>
        </w:rPr>
        <w:t>委托代理人：</w:t>
      </w:r>
      <w:r>
        <w:rPr>
          <w:rFonts w:hint="eastAsia" w:ascii="仿宋_GB2312" w:eastAsia="仿宋_GB2312" w:hAnsiTheme="minorEastAsia" w:cstheme="minorEastAsia"/>
          <w:color w:val="auto"/>
          <w:kern w:val="0"/>
          <w:sz w:val="28"/>
          <w:szCs w:val="28"/>
          <w:highlight w:val="none"/>
        </w:rPr>
        <w:t>【签字】</w:t>
      </w:r>
    </w:p>
    <w:p w14:paraId="72A7E1E7">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日</w:t>
      </w:r>
      <w:r>
        <w:rPr>
          <w:rFonts w:hint="eastAsia" w:ascii="仿宋_GB2312" w:eastAsia="仿宋_GB2312" w:hAnsiTheme="minorEastAsia" w:cstheme="minorEastAsia"/>
          <w:color w:val="auto"/>
          <w:sz w:val="28"/>
          <w:szCs w:val="28"/>
          <w:highlight w:val="none"/>
          <w:lang w:val="en-US" w:eastAsia="zh-CN"/>
        </w:rPr>
        <w:t xml:space="preserve">     </w:t>
      </w:r>
      <w:r>
        <w:rPr>
          <w:rFonts w:hint="eastAsia" w:ascii="仿宋_GB2312" w:eastAsia="仿宋_GB2312" w:hAnsiTheme="minorEastAsia" w:cstheme="minorEastAsia"/>
          <w:color w:val="auto"/>
          <w:sz w:val="28"/>
          <w:szCs w:val="28"/>
          <w:highlight w:val="none"/>
        </w:rPr>
        <w:t>期：</w:t>
      </w:r>
      <w:r>
        <w:rPr>
          <w:rFonts w:hint="eastAsia" w:ascii="仿宋_GB2312" w:eastAsia="仿宋_GB2312" w:hAnsiTheme="minorEastAsia" w:cstheme="minorEastAsia"/>
          <w:color w:val="auto"/>
          <w:sz w:val="28"/>
          <w:szCs w:val="28"/>
          <w:highlight w:val="none"/>
          <w:lang w:eastAsia="zh-CN"/>
        </w:rPr>
        <w:t>2025年6月18日</w:t>
      </w:r>
      <w:r>
        <w:rPr>
          <w:rFonts w:hint="eastAsia" w:ascii="仿宋_GB2312" w:eastAsia="仿宋_GB2312" w:hAnsiTheme="minorEastAsia" w:cstheme="minorEastAsia"/>
          <w:color w:val="auto"/>
          <w:sz w:val="28"/>
          <w:szCs w:val="28"/>
          <w:highlight w:val="none"/>
        </w:rPr>
        <w:t xml:space="preserve"> </w:t>
      </w:r>
    </w:p>
    <w:p w14:paraId="3F079F3C">
      <w:pPr>
        <w:widowControl/>
        <w:shd w:val="clear"/>
        <w:tabs>
          <w:tab w:val="left" w:pos="5610"/>
        </w:tabs>
        <w:spacing w:before="240" w:beforeLines="100" w:after="240" w:afterLines="100" w:line="480" w:lineRule="exact"/>
        <w:jc w:val="left"/>
        <w:rPr>
          <w:rFonts w:asciiTheme="minorEastAsia" w:hAnsiTheme="minorEastAsia" w:cstheme="minorEastAsia"/>
          <w:b/>
          <w:bCs/>
          <w:color w:val="auto"/>
          <w:sz w:val="24"/>
          <w:highlight w:val="none"/>
        </w:rPr>
      </w:pPr>
    </w:p>
    <w:p w14:paraId="10A3DE56">
      <w:pPr>
        <w:widowControl/>
        <w:shd w:val="clear"/>
        <w:jc w:val="left"/>
        <w:rPr>
          <w:rFonts w:asciiTheme="minorEastAsia" w:hAnsiTheme="minorEastAsia" w:cstheme="minorEastAsia"/>
          <w:b/>
          <w:bCs/>
          <w:color w:val="auto"/>
          <w:sz w:val="24"/>
          <w:highlight w:val="none"/>
        </w:rPr>
      </w:pPr>
      <w:r>
        <w:rPr>
          <w:color w:val="auto"/>
          <w:highlight w:val="none"/>
        </w:rPr>
        <w:br w:type="page"/>
      </w:r>
    </w:p>
    <w:p w14:paraId="799541F6">
      <w:pPr>
        <w:pStyle w:val="5"/>
        <w:shd w:val="clear"/>
        <w:spacing w:beforeLines="50" w:afterLines="50"/>
        <w:ind w:left="0" w:leftChars="0" w:firstLine="562" w:firstLineChars="200"/>
        <w:rPr>
          <w:color w:val="auto"/>
          <w:highlight w:val="none"/>
        </w:rPr>
      </w:pPr>
      <w:bookmarkStart w:id="863" w:name="_Toc11225"/>
      <w:r>
        <w:rPr>
          <w:rFonts w:hint="eastAsia"/>
          <w:color w:val="auto"/>
          <w:highlight w:val="none"/>
        </w:rPr>
        <w:t>附件6</w:t>
      </w:r>
      <w:bookmarkStart w:id="864" w:name="_Toc132053715"/>
      <w:r>
        <w:rPr>
          <w:rFonts w:hint="eastAsia"/>
          <w:color w:val="auto"/>
          <w:highlight w:val="none"/>
        </w:rPr>
        <w:t xml:space="preserve">  </w:t>
      </w:r>
    </w:p>
    <w:p w14:paraId="6E106776">
      <w:pPr>
        <w:pStyle w:val="5"/>
        <w:shd w:val="clear"/>
        <w:spacing w:beforeLines="50" w:afterLines="50"/>
        <w:ind w:left="0" w:leftChars="0"/>
        <w:jc w:val="center"/>
        <w:rPr>
          <w:color w:val="auto"/>
          <w:sz w:val="32"/>
          <w:szCs w:val="32"/>
          <w:highlight w:val="none"/>
        </w:rPr>
      </w:pPr>
      <w:r>
        <w:rPr>
          <w:rFonts w:hint="eastAsia"/>
          <w:color w:val="auto"/>
          <w:sz w:val="32"/>
          <w:szCs w:val="32"/>
          <w:highlight w:val="none"/>
        </w:rPr>
        <w:t>项目廉政合同书</w:t>
      </w:r>
      <w:bookmarkEnd w:id="863"/>
      <w:bookmarkEnd w:id="864"/>
    </w:p>
    <w:p w14:paraId="065E05B1">
      <w:pPr>
        <w:shd w:val="clear"/>
        <w:spacing w:line="480" w:lineRule="exact"/>
        <w:rPr>
          <w:rFonts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承包人（全称）：【</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】（以下简称甲方）</w:t>
      </w:r>
    </w:p>
    <w:p w14:paraId="600D1976">
      <w:pPr>
        <w:shd w:val="clear"/>
        <w:spacing w:line="480" w:lineRule="exact"/>
        <w:rPr>
          <w:rFonts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分包人（全称）：【</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】（以下简称乙方）</w:t>
      </w:r>
    </w:p>
    <w:p w14:paraId="7196AC9D">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为确保甲方对建设单位的承诺，高效、优质共同完成施工任务，争创优质工程，保证合同双方能够高效廉洁地履行，维护双方合法权益，经双方协商，特订立如下廉政合同书。</w:t>
      </w:r>
    </w:p>
    <w:p w14:paraId="3C6900B1">
      <w:pPr>
        <w:shd w:val="clear"/>
        <w:spacing w:line="480" w:lineRule="exact"/>
        <w:ind w:firstLine="560" w:firstLineChars="200"/>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第一条 甲乙双方的权利和义务</w:t>
      </w:r>
    </w:p>
    <w:p w14:paraId="234C514E">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1.甲乙双方应本着“公开、公平、公正、诚信、透明”的原则开展工作，自觉遵守党和国家、工程项目所在省、市、区工程建设有关法律法规以及廉政建设的各项规定。</w:t>
      </w:r>
    </w:p>
    <w:p w14:paraId="41D7F05B">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2.甲乙双方应建立健全廉政教育制度，开展经常性教育活动，积极宣贯“合规诚信 自律清正”的廉洁从业核心理念，加强廉政教育。</w:t>
      </w:r>
    </w:p>
    <w:p w14:paraId="142CB6CB">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3.加强相互监督，发现对方有违反廉政合同书规定的行为，应及时提醒对方纠正。</w:t>
      </w:r>
    </w:p>
    <w:p w14:paraId="126D3429">
      <w:pPr>
        <w:shd w:val="clear"/>
        <w:spacing w:line="480" w:lineRule="exact"/>
        <w:ind w:firstLine="560" w:firstLineChars="200"/>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第二条 甲方的责任</w:t>
      </w:r>
    </w:p>
    <w:p w14:paraId="0276B508">
      <w:pPr>
        <w:shd w:val="clear"/>
        <w:spacing w:line="480" w:lineRule="exact"/>
        <w:ind w:firstLine="560" w:firstLineChars="200"/>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甲方工作人员不得有以下行为：</w:t>
      </w:r>
    </w:p>
    <w:p w14:paraId="1F0BA6DC">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（1）</w:t>
      </w:r>
      <w:r>
        <w:rPr>
          <w:rFonts w:hint="eastAsia" w:ascii="仿宋_GB2312" w:eastAsia="仿宋_GB2312" w:hAnsiTheme="minorEastAsia" w:cstheme="minorEastAsia"/>
          <w:color w:val="auto"/>
          <w:kern w:val="0"/>
          <w:sz w:val="28"/>
          <w:szCs w:val="28"/>
          <w:highlight w:val="none"/>
        </w:rPr>
        <w:t>为乙方多结算工程量、多签证、多付工程款等，并</w:t>
      </w:r>
      <w:r>
        <w:rPr>
          <w:rFonts w:hint="eastAsia" w:ascii="仿宋_GB2312" w:eastAsia="仿宋_GB2312" w:hAnsiTheme="minorEastAsia" w:cstheme="minorEastAsia"/>
          <w:color w:val="auto"/>
          <w:sz w:val="28"/>
          <w:szCs w:val="28"/>
          <w:highlight w:val="none"/>
        </w:rPr>
        <w:t>向乙方索要或接受贿赂、回扣、礼金、有价证券（卡）、贵重物品和好处费等；</w:t>
      </w:r>
    </w:p>
    <w:p w14:paraId="1D0D0D2F">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（2）在乙方报销任何应由甲方或个人支付的费用；</w:t>
      </w:r>
    </w:p>
    <w:p w14:paraId="18BF8497">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（3）参加有可能影响公正执行公务的超标准宴请和娱乐、健身等活动；</w:t>
      </w:r>
    </w:p>
    <w:p w14:paraId="064E5765">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（4）接受乙方提供的通讯工具、交通工具和高档办公用品；</w:t>
      </w:r>
    </w:p>
    <w:p w14:paraId="067B7C8F">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（5）要求、暗示或接受乙方为个人住房装修、婚丧嫁娶、配偶子女工作的安排以及出国（境）、旅游提供的方便；</w:t>
      </w:r>
    </w:p>
    <w:p w14:paraId="4A663CA3">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（6）向乙方介绍或推荐配偶、子女、亲属参与的工程施工合同有关的设备、材料、工程分包、劳务等；</w:t>
      </w:r>
    </w:p>
    <w:p w14:paraId="4F310604">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（7）向乙方推荐分包单位或要求乙方购买合同规定以外的材料、机具设备等；</w:t>
      </w:r>
    </w:p>
    <w:p w14:paraId="26C0A843">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（8）因乙方拒绝本人的不合理要求，而故意刁难乙方。</w:t>
      </w:r>
    </w:p>
    <w:p w14:paraId="4803DFE4">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第三条乙方的责任</w:t>
      </w:r>
    </w:p>
    <w:p w14:paraId="57B10797">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乙方应当通过正常途径开展业务，不得有以下行为：</w:t>
      </w:r>
    </w:p>
    <w:p w14:paraId="3D7D1CEC">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（1）为</w:t>
      </w:r>
      <w:r>
        <w:rPr>
          <w:rFonts w:hint="eastAsia" w:ascii="仿宋_GB2312" w:eastAsia="仿宋_GB2312" w:hAnsiTheme="minorEastAsia" w:cstheme="minorEastAsia"/>
          <w:color w:val="auto"/>
          <w:kern w:val="0"/>
          <w:sz w:val="28"/>
          <w:szCs w:val="28"/>
          <w:highlight w:val="none"/>
        </w:rPr>
        <w:t>多结算工程量、多签证、多收工程款等，</w:t>
      </w:r>
      <w:r>
        <w:rPr>
          <w:rFonts w:hint="eastAsia" w:ascii="仿宋_GB2312" w:eastAsia="仿宋_GB2312" w:hAnsiTheme="minorEastAsia" w:cstheme="minorEastAsia"/>
          <w:color w:val="auto"/>
          <w:sz w:val="28"/>
          <w:szCs w:val="28"/>
          <w:highlight w:val="none"/>
        </w:rPr>
        <w:t>向甲方及其管理人员行贿或馈赠礼金、有价证券（卡）、贵重礼品；</w:t>
      </w:r>
    </w:p>
    <w:p w14:paraId="03CB6740">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（2）为甲方及其工作人员报销应由甲方单位或个人支付的任何费用；</w:t>
      </w:r>
    </w:p>
    <w:p w14:paraId="2D44A9BD">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（3）安排甲方人员参加超标准宴请、娱乐活动及带有黄、赌性质的娱乐活动；</w:t>
      </w:r>
    </w:p>
    <w:p w14:paraId="3E3086EF">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（4）为甲方人员购置或提供通讯工具、交通工具和高档办公用品等；</w:t>
      </w:r>
    </w:p>
    <w:p w14:paraId="66B55F68">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（5）乙方向甲方工作人员及其家属或者亲友介绍从事与甲乙双方工程有关的工程分包及材料设备、周转工具的供应、租赁等经营活动。</w:t>
      </w:r>
    </w:p>
    <w:p w14:paraId="5719F7CA">
      <w:pPr>
        <w:shd w:val="clear"/>
        <w:spacing w:line="480" w:lineRule="exact"/>
        <w:ind w:firstLine="560" w:firstLineChars="200"/>
        <w:jc w:val="left"/>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第四条 违约责任</w:t>
      </w:r>
    </w:p>
    <w:p w14:paraId="1A43E683">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1.如甲方工作人员有违反本廉政合同书的行为，由甲方纪委查处，追究相应的党纪、政务责任，涉嫌犯罪的，移交司法机关追究刑事责任；对实名举报的，甲方要立即调查，并采取有效措施保障乙方的合法权益，防止报复事件发生。</w:t>
      </w:r>
    </w:p>
    <w:p w14:paraId="39EEF92C">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2.如乙方单位或个人有违反本廉政合同书的行为，甲方视情节对乙方处以签约合同价0.5%—1%的罚款，情节较重并给甲方造成损失的，乙方另需赔偿甲方全部经济损失，并取消乙方工程分包资格。</w:t>
      </w:r>
    </w:p>
    <w:p w14:paraId="60655E39">
      <w:pPr>
        <w:shd w:val="clear"/>
        <w:spacing w:line="480" w:lineRule="exact"/>
        <w:ind w:firstLine="560" w:firstLineChars="200"/>
        <w:rPr>
          <w:rFonts w:hint="eastAsia" w:ascii="仿宋_GB2312" w:eastAsia="仿宋_GB2312" w:hAnsiTheme="minorEastAsia" w:cstheme="minorEastAsia"/>
          <w:color w:val="auto"/>
          <w:sz w:val="28"/>
          <w:szCs w:val="28"/>
          <w:highlight w:val="none"/>
        </w:rPr>
      </w:pPr>
      <w:bookmarkStart w:id="865" w:name="_Hlk117694496"/>
      <w:r>
        <w:rPr>
          <w:rFonts w:hint="eastAsia" w:ascii="仿宋_GB2312" w:eastAsia="仿宋_GB2312" w:hAnsiTheme="minorEastAsia" w:cstheme="minorEastAsia"/>
          <w:color w:val="auto"/>
          <w:sz w:val="28"/>
          <w:szCs w:val="28"/>
          <w:highlight w:val="none"/>
        </w:rPr>
        <w:t>第五条 甲方接受举报的途径：</w:t>
      </w:r>
    </w:p>
    <w:p w14:paraId="6A5180B8">
      <w:pPr>
        <w:shd w:val="clear"/>
        <w:spacing w:line="480" w:lineRule="exact"/>
        <w:ind w:firstLine="560" w:firstLineChars="200"/>
        <w:rPr>
          <w:rFonts w:hint="eastAsia"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1. 受理电话：【】</w:t>
      </w:r>
    </w:p>
    <w:p w14:paraId="6E21064F">
      <w:pPr>
        <w:shd w:val="clear"/>
        <w:spacing w:line="480" w:lineRule="exact"/>
        <w:ind w:firstLine="560" w:firstLineChars="200"/>
        <w:rPr>
          <w:rFonts w:hint="eastAsia"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2. 受理地址：【】</w:t>
      </w:r>
    </w:p>
    <w:p w14:paraId="1DF69137">
      <w:pPr>
        <w:shd w:val="clear"/>
        <w:spacing w:line="480" w:lineRule="exact"/>
        <w:ind w:firstLine="560" w:firstLineChars="200"/>
        <w:rPr>
          <w:rFonts w:hint="eastAsia"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3. 受理部门：【】</w:t>
      </w:r>
    </w:p>
    <w:p w14:paraId="7F1C95BF">
      <w:pPr>
        <w:shd w:val="clear"/>
        <w:spacing w:line="480" w:lineRule="exact"/>
        <w:ind w:firstLine="560" w:firstLineChars="200"/>
        <w:rPr>
          <w:rFonts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4. 受理邮箱：【】纪检监察部【】。</w:t>
      </w:r>
      <w:bookmarkEnd w:id="865"/>
    </w:p>
    <w:p w14:paraId="7E379FC7">
      <w:pPr>
        <w:shd w:val="clear"/>
        <w:spacing w:line="480" w:lineRule="exact"/>
        <w:ind w:firstLine="560" w:firstLineChars="200"/>
        <w:rPr>
          <w:rFonts w:hint="eastAsia" w:ascii="仿宋_GB2312" w:eastAsia="仿宋_GB2312" w:hAnsiTheme="minorEastAsia" w:cstheme="minorEastAsia"/>
          <w:color w:val="auto"/>
          <w:sz w:val="28"/>
          <w:szCs w:val="28"/>
          <w:highlight w:val="none"/>
        </w:rPr>
      </w:pPr>
      <w:r>
        <w:rPr>
          <w:rFonts w:hint="eastAsia" w:ascii="仿宋_GB2312" w:eastAsia="仿宋_GB2312" w:hAnsiTheme="minorEastAsia" w:cstheme="minorEastAsia"/>
          <w:color w:val="auto"/>
          <w:sz w:val="28"/>
          <w:szCs w:val="28"/>
          <w:highlight w:val="none"/>
        </w:rPr>
        <w:t>第六条 本廉政合同书作为分包合同的附件，具有同等法律效力，本协议与合同同日生效,至甲乙双方工程合同履约完止。</w:t>
      </w:r>
    </w:p>
    <w:p w14:paraId="227DB435">
      <w:pPr>
        <w:shd w:val="clear"/>
        <w:spacing w:line="480" w:lineRule="exact"/>
        <w:ind w:firstLine="560" w:firstLineChars="200"/>
        <w:rPr>
          <w:rFonts w:hint="eastAsia" w:ascii="仿宋_GB2312" w:eastAsia="仿宋_GB2312" w:hAnsiTheme="minorEastAsia" w:cstheme="minorEastAsia"/>
          <w:color w:val="auto"/>
          <w:sz w:val="28"/>
          <w:szCs w:val="28"/>
          <w:highlight w:val="none"/>
        </w:rPr>
      </w:pPr>
    </w:p>
    <w:tbl>
      <w:tblPr>
        <w:tblStyle w:val="25"/>
        <w:tblpPr w:leftFromText="180" w:rightFromText="180" w:vertAnchor="text" w:horzAnchor="page" w:tblpX="1693" w:tblpY="131"/>
        <w:tblOverlap w:val="never"/>
        <w:tblW w:w="8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9"/>
        <w:gridCol w:w="4243"/>
      </w:tblGrid>
      <w:tr w14:paraId="07446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9" w:hRule="atLeast"/>
        </w:trPr>
        <w:tc>
          <w:tcPr>
            <w:tcW w:w="4419" w:type="dxa"/>
            <w:tcBorders>
              <w:tl2br w:val="nil"/>
              <w:tr2bl w:val="nil"/>
            </w:tcBorders>
            <w:vAlign w:val="top"/>
          </w:tcPr>
          <w:p w14:paraId="543833AA">
            <w:pPr>
              <w:keepNext w:val="0"/>
              <w:keepLines w:val="0"/>
              <w:pageBreakBefore w:val="0"/>
              <w:widowControl w:val="0"/>
              <w:shd w:val="clear"/>
              <w:kinsoku/>
              <w:wordWrap/>
              <w:overflowPunct/>
              <w:topLinePunct w:val="0"/>
              <w:bidi w:val="0"/>
              <w:spacing w:line="400" w:lineRule="exact"/>
              <w:jc w:val="left"/>
              <w:rPr>
                <w:rFonts w:hint="eastAsia" w:ascii="宋体" w:hAnsi="宋体" w:cs="宋体"/>
                <w:b/>
                <w:bCs/>
                <w:color w:val="auto"/>
                <w:sz w:val="24"/>
                <w:highlight w:val="none"/>
                <w:vertAlign w:val="baseline"/>
              </w:rPr>
            </w:pPr>
            <w:r>
              <w:rPr>
                <w:rFonts w:hint="eastAsia" w:ascii="宋体" w:hAnsi="宋体" w:cs="宋体"/>
                <w:b/>
                <w:bCs/>
                <w:color w:val="auto"/>
                <w:sz w:val="24"/>
                <w:highlight w:val="none"/>
              </w:rPr>
              <w:t>甲方（盖章）：</w:t>
            </w:r>
          </w:p>
        </w:tc>
        <w:tc>
          <w:tcPr>
            <w:tcW w:w="4243" w:type="dxa"/>
            <w:tcBorders>
              <w:tl2br w:val="nil"/>
              <w:tr2bl w:val="nil"/>
            </w:tcBorders>
            <w:vAlign w:val="top"/>
          </w:tcPr>
          <w:p w14:paraId="691F7B33">
            <w:pPr>
              <w:keepNext w:val="0"/>
              <w:keepLines w:val="0"/>
              <w:pageBreakBefore w:val="0"/>
              <w:widowControl w:val="0"/>
              <w:shd w:val="clear"/>
              <w:kinsoku/>
              <w:wordWrap/>
              <w:overflowPunct/>
              <w:topLinePunct w:val="0"/>
              <w:bidi w:val="0"/>
              <w:spacing w:line="400" w:lineRule="exact"/>
              <w:jc w:val="left"/>
              <w:rPr>
                <w:rFonts w:hint="eastAsia" w:ascii="宋体" w:hAnsi="宋体" w:cs="宋体"/>
                <w:b/>
                <w:bCs/>
                <w:color w:val="auto"/>
                <w:sz w:val="24"/>
                <w:highlight w:val="none"/>
                <w:vertAlign w:val="baseline"/>
              </w:rPr>
            </w:pPr>
            <w:r>
              <w:rPr>
                <w:rFonts w:hint="eastAsia" w:ascii="宋体" w:hAnsi="宋体" w:cs="宋体"/>
                <w:b/>
                <w:bCs/>
                <w:color w:val="auto"/>
                <w:sz w:val="24"/>
                <w:highlight w:val="none"/>
              </w:rPr>
              <w:t xml:space="preserve"> 乙方 （盖章）：</w:t>
            </w:r>
          </w:p>
        </w:tc>
      </w:tr>
    </w:tbl>
    <w:p w14:paraId="27ABC479">
      <w:pPr>
        <w:pStyle w:val="5"/>
        <w:shd w:val="clear"/>
        <w:spacing w:beforeLines="50" w:afterLines="50"/>
        <w:ind w:left="0" w:leftChars="0" w:firstLine="0" w:firstLineChars="0"/>
        <w:jc w:val="both"/>
        <w:rPr>
          <w:rFonts w:hint="eastAsia" w:ascii="黑体" w:hAnsi="黑体" w:cs="黑体"/>
          <w:b w:val="0"/>
          <w:bCs w:val="0"/>
          <w:color w:val="auto"/>
          <w:highlight w:val="none"/>
          <w:lang w:val="zh-CN"/>
        </w:rPr>
      </w:pPr>
      <w:r>
        <w:rPr>
          <w:color w:val="auto"/>
          <w:highlight w:val="none"/>
        </w:rPr>
        <w:br w:type="page"/>
      </w:r>
      <w:r>
        <w:rPr>
          <w:rFonts w:hint="eastAsia" w:ascii="黑体" w:hAnsi="黑体" w:cs="黑体"/>
          <w:b w:val="0"/>
          <w:bCs w:val="0"/>
          <w:color w:val="auto"/>
          <w:highlight w:val="none"/>
          <w:lang w:val="zh-CN"/>
        </w:rPr>
        <w:t>附件7</w:t>
      </w:r>
    </w:p>
    <w:p w14:paraId="530B383C">
      <w:pPr>
        <w:pStyle w:val="5"/>
        <w:shd w:val="clear"/>
        <w:spacing w:beforeLines="50" w:afterLines="50"/>
        <w:ind w:left="0" w:leftChars="0" w:firstLine="0" w:firstLineChars="0"/>
        <w:jc w:val="center"/>
        <w:rPr>
          <w:rFonts w:hint="eastAsia" w:ascii="黑体" w:hAnsi="黑体" w:cs="黑体"/>
          <w:b w:val="0"/>
          <w:bCs w:val="0"/>
          <w:color w:val="auto"/>
          <w:sz w:val="32"/>
          <w:szCs w:val="32"/>
          <w:highlight w:val="none"/>
          <w:lang w:val="zh-CN"/>
        </w:rPr>
      </w:pPr>
      <w:r>
        <w:rPr>
          <w:rFonts w:hint="eastAsia" w:ascii="黑体" w:hAnsi="黑体" w:cs="黑体"/>
          <w:b w:val="0"/>
          <w:bCs w:val="0"/>
          <w:color w:val="auto"/>
          <w:sz w:val="32"/>
          <w:szCs w:val="32"/>
          <w:highlight w:val="none"/>
          <w:lang w:val="zh-CN"/>
        </w:rPr>
        <w:t>工程质量专项管理协议书</w:t>
      </w:r>
    </w:p>
    <w:p w14:paraId="35C44FCD">
      <w:pPr>
        <w:shd w:val="clea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甲方（承包人）：【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38ABFE1D">
      <w:pPr>
        <w:shd w:val="clear"/>
        <w:spacing w:line="480" w:lineRule="exact"/>
        <w:jc w:val="left"/>
        <w:rPr>
          <w:rFonts w:ascii="仿宋_GB2312" w:eastAsia="仿宋_GB2312" w:hAnsiTheme="minorEastAsia" w:cstheme="minorEastAsia"/>
          <w:color w:val="auto"/>
          <w:sz w:val="28"/>
          <w:szCs w:val="28"/>
          <w:highlight w:val="none"/>
        </w:rPr>
      </w:pPr>
      <w:r>
        <w:rPr>
          <w:rFonts w:hint="eastAsia" w:ascii="仿宋_GB2312" w:hAnsi="仿宋_GB2312" w:eastAsia="仿宋_GB2312" w:cs="仿宋_GB2312"/>
          <w:b/>
          <w:color w:val="auto"/>
          <w:sz w:val="28"/>
          <w:szCs w:val="28"/>
          <w:highlight w:val="none"/>
        </w:rPr>
        <w:t>乙方（分包人）：【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011F0D4F">
      <w:pPr>
        <w:keepNext w:val="0"/>
        <w:keepLines w:val="0"/>
        <w:pageBreakBefore w:val="0"/>
        <w:shd w:val="clear"/>
        <w:kinsoku/>
        <w:wordWrap/>
        <w:overflowPunct/>
        <w:topLinePunct w:val="0"/>
        <w:autoSpaceDE/>
        <w:autoSpaceDN/>
        <w:bidi w:val="0"/>
        <w:adjustRightInd/>
        <w:snapToGrid/>
        <w:spacing w:line="440" w:lineRule="exact"/>
        <w:ind w:left="0" w:firstLine="840" w:firstLineChars="300"/>
        <w:textAlignment w:val="auto"/>
        <w:outlineLvl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经甲、乙双方商定，承包人将</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eastAsia="zh-CN"/>
        </w:rPr>
        <w:t>广西大学机械教学实验中心大楼项目精装修工程</w:t>
      </w:r>
      <w:r>
        <w:rPr>
          <w:rFonts w:hint="eastAsia" w:ascii="仿宋_GB2312" w:hAnsi="仿宋_GB2312" w:eastAsia="仿宋_GB2312" w:cs="仿宋_GB2312"/>
          <w:color w:val="auto"/>
          <w:sz w:val="28"/>
          <w:szCs w:val="28"/>
          <w:highlight w:val="none"/>
        </w:rPr>
        <w:t>专业分包给分包人施工，为确保本工程的有序实施，进一步明确双方在施工过程中各自的质量责任与职责，确保施工质量，甲乙双方依据《中华人民共和国建筑法》、《建设工程质量管理条例》等有关法律法规及国家行业标准的规定，签订本质量管理协议，由双方共同遵守执行。</w:t>
      </w:r>
    </w:p>
    <w:p w14:paraId="408DA5EE">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一、质量目标</w:t>
      </w:r>
    </w:p>
    <w:p w14:paraId="3F31C3C5">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1.1工程质量标准必须符合国家现行有关工程施工质量验收规范和标准的要求，有关工程质量的特殊标准或要求由合同当事人在专用合同条款中约定；满足合同,设计(施工图、图纸会审纪要、书面变更文件)等要求。</w:t>
      </w:r>
    </w:p>
    <w:p w14:paraId="3AFE8793">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1.2 符合业主合同约定的相关质量标准。  </w:t>
      </w:r>
    </w:p>
    <w:p w14:paraId="29ABD3F3">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lang w:bidi="en-US"/>
        </w:rPr>
      </w:pPr>
      <w:r>
        <w:rPr>
          <w:rFonts w:hint="eastAsia" w:ascii="仿宋_GB2312" w:hAnsi="仿宋_GB2312" w:eastAsia="仿宋_GB2312" w:cs="仿宋_GB2312"/>
          <w:color w:val="auto"/>
          <w:kern w:val="10"/>
          <w:sz w:val="28"/>
          <w:szCs w:val="28"/>
          <w:highlight w:val="none"/>
          <w:lang w:bidi="en-US"/>
        </w:rPr>
        <w:t>1.3 满足《</w:t>
      </w:r>
      <w:r>
        <w:rPr>
          <w:rFonts w:hint="eastAsia" w:ascii="仿宋_GB2312" w:hAnsi="仿宋_GB2312" w:eastAsia="仿宋_GB2312" w:cs="仿宋_GB2312"/>
          <w:color w:val="auto"/>
          <w:kern w:val="10"/>
          <w:sz w:val="28"/>
          <w:szCs w:val="28"/>
          <w:highlight w:val="none"/>
          <w:lang w:eastAsia="zh-CN" w:bidi="en-US"/>
        </w:rPr>
        <w:t>XXXX</w:t>
      </w:r>
      <w:r>
        <w:rPr>
          <w:rFonts w:hint="eastAsia" w:ascii="仿宋_GB2312" w:hAnsi="仿宋_GB2312" w:eastAsia="仿宋_GB2312" w:cs="仿宋_GB2312"/>
          <w:color w:val="auto"/>
          <w:kern w:val="10"/>
          <w:sz w:val="28"/>
          <w:szCs w:val="28"/>
          <w:highlight w:val="none"/>
          <w:lang w:bidi="en-US"/>
        </w:rPr>
        <w:t>项目层面项目管理达标考核标准》、《</w:t>
      </w:r>
      <w:r>
        <w:rPr>
          <w:rFonts w:hint="eastAsia" w:ascii="仿宋_GB2312" w:hAnsi="仿宋_GB2312" w:eastAsia="仿宋_GB2312" w:cs="仿宋_GB2312"/>
          <w:color w:val="auto"/>
          <w:kern w:val="10"/>
          <w:sz w:val="28"/>
          <w:szCs w:val="28"/>
          <w:highlight w:val="none"/>
          <w:lang w:eastAsia="zh-CN" w:bidi="en-US"/>
        </w:rPr>
        <w:t>XXXX</w:t>
      </w:r>
      <w:r>
        <w:rPr>
          <w:rFonts w:hint="eastAsia" w:ascii="仿宋_GB2312" w:hAnsi="仿宋_GB2312" w:eastAsia="仿宋_GB2312" w:cs="仿宋_GB2312"/>
          <w:color w:val="auto"/>
          <w:kern w:val="10"/>
          <w:sz w:val="28"/>
          <w:szCs w:val="28"/>
          <w:highlight w:val="none"/>
          <w:lang w:bidi="en-US"/>
        </w:rPr>
        <w:t>质量标准化图集》、承包人《质量管理制度》等局及公司文件要求，达到质量专项检查标准。</w:t>
      </w:r>
    </w:p>
    <w:p w14:paraId="13041D55">
      <w:pPr>
        <w:keepNext w:val="0"/>
        <w:keepLines w:val="0"/>
        <w:pageBreakBefore w:val="0"/>
        <w:widowControl/>
        <w:numPr>
          <w:ilvl w:val="-1"/>
          <w:numId w:val="0"/>
        </w:numPr>
        <w:suppressLineNumbers w:val="0"/>
        <w:shd w:val="clear"/>
        <w:kinsoku/>
        <w:wordWrap/>
        <w:overflowPunct/>
        <w:topLinePunct w:val="0"/>
        <w:autoSpaceDE/>
        <w:autoSpaceDN/>
        <w:bidi w:val="0"/>
        <w:adjustRightInd/>
        <w:snapToGrid/>
        <w:spacing w:beforeAutospacing="0" w:afterAutospacing="0" w:line="440" w:lineRule="exact"/>
        <w:ind w:left="0" w:right="0" w:hanging="980" w:hangingChars="350"/>
        <w:jc w:val="left"/>
        <w:textAlignment w:val="auto"/>
        <w:outlineLvl w:val="0"/>
        <w:rPr>
          <w:rFonts w:hint="eastAsia" w:ascii="仿宋_GB2312" w:hAnsi="仿宋_GB2312" w:eastAsia="仿宋_GB2312" w:cs="仿宋_GB2312"/>
          <w:color w:val="auto"/>
          <w:kern w:val="10"/>
          <w:sz w:val="28"/>
          <w:szCs w:val="28"/>
          <w:highlight w:val="none"/>
          <w:lang w:val="en-US" w:eastAsia="zh-CN"/>
        </w:rPr>
      </w:pPr>
      <w:r>
        <w:rPr>
          <w:rFonts w:hint="eastAsia" w:ascii="仿宋_GB2312" w:hAnsi="仿宋_GB2312" w:eastAsia="仿宋_GB2312" w:cs="仿宋_GB2312"/>
          <w:color w:val="auto"/>
          <w:kern w:val="10"/>
          <w:sz w:val="28"/>
          <w:szCs w:val="28"/>
          <w:highlight w:val="none"/>
          <w:lang w:bidi="en-US"/>
        </w:rPr>
        <w:t>二、</w:t>
      </w:r>
      <w:r>
        <w:rPr>
          <w:rFonts w:hint="eastAsia" w:ascii="仿宋_GB2312" w:hAnsi="仿宋_GB2312" w:eastAsia="仿宋_GB2312" w:cs="仿宋_GB2312"/>
          <w:color w:val="auto"/>
          <w:kern w:val="10"/>
          <w:sz w:val="28"/>
          <w:szCs w:val="28"/>
          <w:highlight w:val="none"/>
          <w:lang w:val="en-US" w:eastAsia="en-US" w:bidi="en-US"/>
        </w:rPr>
        <w:t>质量违约</w:t>
      </w:r>
      <w:r>
        <w:rPr>
          <w:rFonts w:hint="eastAsia" w:ascii="仿宋_GB2312" w:hAnsi="仿宋_GB2312" w:eastAsia="仿宋_GB2312" w:cs="仿宋_GB2312"/>
          <w:color w:val="auto"/>
          <w:kern w:val="10"/>
          <w:sz w:val="28"/>
          <w:szCs w:val="28"/>
          <w:highlight w:val="none"/>
          <w:lang w:val="en-US" w:eastAsia="zh-CN" w:bidi="en-US"/>
        </w:rPr>
        <w:t>：</w:t>
      </w:r>
      <w:r>
        <w:rPr>
          <w:rFonts w:hint="eastAsia" w:ascii="仿宋_GB2312" w:hAnsi="仿宋_GB2312" w:eastAsia="仿宋_GB2312" w:cs="仿宋_GB2312"/>
          <w:color w:val="auto"/>
          <w:kern w:val="10"/>
          <w:sz w:val="28"/>
          <w:szCs w:val="28"/>
          <w:highlight w:val="none"/>
          <w:lang w:val="en-US" w:eastAsia="zh-CN" w:bidi="ar"/>
        </w:rPr>
        <w:t>工程质量的违约，分包人须承担如下违约责任：</w:t>
      </w:r>
    </w:p>
    <w:p w14:paraId="41C9C44F">
      <w:pPr>
        <w:keepNext w:val="0"/>
        <w:keepLines w:val="0"/>
        <w:pageBreakBefore w:val="0"/>
        <w:widowControl/>
        <w:suppressLineNumbers w:val="0"/>
        <w:shd w:val="clear"/>
        <w:tabs>
          <w:tab w:val="left" w:pos="1984"/>
        </w:tabs>
        <w:kinsoku/>
        <w:wordWrap/>
        <w:overflowPunct/>
        <w:topLinePunct w:val="0"/>
        <w:autoSpaceDE/>
        <w:autoSpaceDN/>
        <w:bidi w:val="0"/>
        <w:adjustRightInd/>
        <w:snapToGrid/>
        <w:spacing w:beforeAutospacing="0" w:afterAutospacing="0" w:line="440" w:lineRule="exact"/>
        <w:ind w:left="0" w:right="0" w:firstLine="560" w:firstLineChars="200"/>
        <w:jc w:val="left"/>
        <w:textAlignment w:val="auto"/>
        <w:rPr>
          <w:rFonts w:hint="eastAsia" w:ascii="仿宋_GB2312" w:hAnsi="仿宋_GB2312" w:eastAsia="仿宋_GB2312" w:cs="仿宋_GB2312"/>
          <w:color w:val="auto"/>
          <w:kern w:val="10"/>
          <w:sz w:val="28"/>
          <w:szCs w:val="28"/>
          <w:highlight w:val="none"/>
          <w:lang w:val="en-US" w:eastAsia="zh-CN"/>
        </w:rPr>
      </w:pPr>
      <w:r>
        <w:rPr>
          <w:rFonts w:hint="eastAsia" w:ascii="仿宋_GB2312" w:hAnsi="仿宋_GB2312" w:eastAsia="仿宋_GB2312" w:cs="仿宋_GB2312"/>
          <w:color w:val="auto"/>
          <w:kern w:val="10"/>
          <w:sz w:val="28"/>
          <w:szCs w:val="28"/>
          <w:highlight w:val="none"/>
          <w:lang w:val="en-US" w:eastAsia="zh-CN" w:bidi="ar"/>
        </w:rPr>
        <w:t>①不按图施工，每次分包人向承包人支付违约金人民币</w:t>
      </w:r>
      <w:r>
        <w:rPr>
          <w:rFonts w:hint="eastAsia" w:ascii="仿宋_GB2312" w:hAnsi="仿宋_GB2312" w:eastAsia="仿宋_GB2312" w:cs="仿宋_GB2312"/>
          <w:b/>
          <w:bCs w:val="0"/>
          <w:color w:val="auto"/>
          <w:kern w:val="10"/>
          <w:sz w:val="28"/>
          <w:szCs w:val="28"/>
          <w:highlight w:val="none"/>
          <w:lang w:val="en-US" w:eastAsia="zh-CN" w:bidi="ar"/>
        </w:rPr>
        <w:t>2000-5000元</w:t>
      </w:r>
      <w:r>
        <w:rPr>
          <w:rFonts w:hint="eastAsia" w:ascii="仿宋_GB2312" w:hAnsi="仿宋_GB2312" w:eastAsia="仿宋_GB2312" w:cs="仿宋_GB2312"/>
          <w:color w:val="auto"/>
          <w:kern w:val="10"/>
          <w:sz w:val="28"/>
          <w:szCs w:val="28"/>
          <w:highlight w:val="none"/>
          <w:lang w:val="en-US" w:eastAsia="zh-CN" w:bidi="ar"/>
        </w:rPr>
        <w:t>。</w:t>
      </w:r>
    </w:p>
    <w:p w14:paraId="09BB138E">
      <w:pPr>
        <w:keepNext w:val="0"/>
        <w:keepLines w:val="0"/>
        <w:pageBreakBefore w:val="0"/>
        <w:widowControl/>
        <w:suppressLineNumbers w:val="0"/>
        <w:shd w:val="clear"/>
        <w:tabs>
          <w:tab w:val="left" w:pos="1984"/>
        </w:tabs>
        <w:kinsoku/>
        <w:wordWrap/>
        <w:overflowPunct/>
        <w:topLinePunct w:val="0"/>
        <w:autoSpaceDE/>
        <w:autoSpaceDN/>
        <w:bidi w:val="0"/>
        <w:adjustRightInd/>
        <w:snapToGrid/>
        <w:spacing w:beforeAutospacing="0" w:afterAutospacing="0" w:line="440" w:lineRule="exact"/>
        <w:ind w:left="0" w:right="0" w:firstLine="560" w:firstLineChars="200"/>
        <w:jc w:val="left"/>
        <w:textAlignment w:val="auto"/>
        <w:rPr>
          <w:rFonts w:hint="eastAsia" w:ascii="仿宋_GB2312" w:hAnsi="仿宋_GB2312" w:eastAsia="仿宋_GB2312" w:cs="仿宋_GB2312"/>
          <w:color w:val="auto"/>
          <w:kern w:val="10"/>
          <w:sz w:val="28"/>
          <w:szCs w:val="28"/>
          <w:highlight w:val="none"/>
          <w:lang w:val="en-US" w:eastAsia="zh-CN"/>
        </w:rPr>
      </w:pPr>
      <w:r>
        <w:rPr>
          <w:rFonts w:hint="eastAsia" w:ascii="仿宋_GB2312" w:hAnsi="仿宋_GB2312" w:eastAsia="仿宋_GB2312" w:cs="仿宋_GB2312"/>
          <w:color w:val="auto"/>
          <w:kern w:val="10"/>
          <w:sz w:val="28"/>
          <w:szCs w:val="28"/>
          <w:highlight w:val="none"/>
          <w:lang w:val="en-US" w:eastAsia="zh-CN" w:bidi="ar"/>
        </w:rPr>
        <w:t>②未进行隐蔽验收，验收不合格强行施工，每次分包人向承包人支付违约金人民币</w:t>
      </w:r>
      <w:r>
        <w:rPr>
          <w:rFonts w:hint="eastAsia" w:ascii="仿宋_GB2312" w:hAnsi="仿宋_GB2312" w:eastAsia="仿宋_GB2312" w:cs="仿宋_GB2312"/>
          <w:b/>
          <w:bCs w:val="0"/>
          <w:color w:val="auto"/>
          <w:kern w:val="10"/>
          <w:sz w:val="28"/>
          <w:szCs w:val="28"/>
          <w:highlight w:val="none"/>
          <w:lang w:val="en-US" w:eastAsia="zh-CN" w:bidi="ar"/>
        </w:rPr>
        <w:t>2000-5000元</w:t>
      </w:r>
      <w:r>
        <w:rPr>
          <w:rFonts w:hint="eastAsia" w:ascii="仿宋_GB2312" w:hAnsi="仿宋_GB2312" w:eastAsia="仿宋_GB2312" w:cs="仿宋_GB2312"/>
          <w:color w:val="auto"/>
          <w:kern w:val="10"/>
          <w:sz w:val="28"/>
          <w:szCs w:val="28"/>
          <w:highlight w:val="none"/>
          <w:lang w:val="en-US" w:eastAsia="zh-CN" w:bidi="ar"/>
        </w:rPr>
        <w:t>。</w:t>
      </w:r>
    </w:p>
    <w:p w14:paraId="75D53B39">
      <w:pPr>
        <w:keepNext w:val="0"/>
        <w:keepLines w:val="0"/>
        <w:pageBreakBefore w:val="0"/>
        <w:widowControl/>
        <w:suppressLineNumbers w:val="0"/>
        <w:shd w:val="clear"/>
        <w:tabs>
          <w:tab w:val="left" w:pos="1984"/>
        </w:tabs>
        <w:kinsoku/>
        <w:wordWrap/>
        <w:overflowPunct/>
        <w:topLinePunct w:val="0"/>
        <w:autoSpaceDE/>
        <w:autoSpaceDN/>
        <w:bidi w:val="0"/>
        <w:adjustRightInd/>
        <w:snapToGrid/>
        <w:spacing w:beforeAutospacing="0" w:afterAutospacing="0" w:line="440" w:lineRule="exact"/>
        <w:ind w:left="0" w:right="0" w:firstLine="560" w:firstLineChars="200"/>
        <w:jc w:val="left"/>
        <w:textAlignment w:val="auto"/>
        <w:rPr>
          <w:rFonts w:hint="eastAsia" w:ascii="仿宋_GB2312" w:hAnsi="仿宋_GB2312" w:eastAsia="仿宋_GB2312" w:cs="仿宋_GB2312"/>
          <w:color w:val="auto"/>
          <w:kern w:val="10"/>
          <w:sz w:val="28"/>
          <w:szCs w:val="28"/>
          <w:highlight w:val="none"/>
          <w:lang w:val="en-US" w:eastAsia="zh-CN" w:bidi="ar"/>
        </w:rPr>
      </w:pPr>
      <w:r>
        <w:rPr>
          <w:rFonts w:hint="eastAsia" w:ascii="仿宋_GB2312" w:hAnsi="仿宋_GB2312" w:eastAsia="仿宋_GB2312" w:cs="仿宋_GB2312"/>
          <w:color w:val="auto"/>
          <w:kern w:val="10"/>
          <w:sz w:val="28"/>
          <w:szCs w:val="28"/>
          <w:highlight w:val="none"/>
          <w:lang w:val="en-US" w:eastAsia="zh-CN" w:bidi="ar"/>
        </w:rPr>
        <w:t>③施工质量不符合设计及规范要求，每次分包人向承包人支付违约金人民币</w:t>
      </w:r>
      <w:r>
        <w:rPr>
          <w:rFonts w:hint="eastAsia" w:ascii="仿宋_GB2312" w:hAnsi="仿宋_GB2312" w:eastAsia="仿宋_GB2312" w:cs="仿宋_GB2312"/>
          <w:b/>
          <w:bCs w:val="0"/>
          <w:color w:val="auto"/>
          <w:kern w:val="10"/>
          <w:sz w:val="28"/>
          <w:szCs w:val="28"/>
          <w:highlight w:val="none"/>
          <w:lang w:val="en-US" w:eastAsia="zh-CN" w:bidi="ar"/>
        </w:rPr>
        <w:t>2000-5000元</w:t>
      </w:r>
      <w:r>
        <w:rPr>
          <w:rFonts w:hint="eastAsia" w:ascii="仿宋_GB2312" w:hAnsi="仿宋_GB2312" w:eastAsia="仿宋_GB2312" w:cs="仿宋_GB2312"/>
          <w:color w:val="auto"/>
          <w:kern w:val="10"/>
          <w:sz w:val="28"/>
          <w:szCs w:val="28"/>
          <w:highlight w:val="none"/>
          <w:lang w:val="en-US" w:eastAsia="zh-CN" w:bidi="ar"/>
        </w:rPr>
        <w:t>。</w:t>
      </w:r>
    </w:p>
    <w:p w14:paraId="44448166">
      <w:pPr>
        <w:keepNext w:val="0"/>
        <w:keepLines w:val="0"/>
        <w:pageBreakBefore w:val="0"/>
        <w:widowControl/>
        <w:suppressLineNumbers w:val="0"/>
        <w:shd w:val="clear"/>
        <w:tabs>
          <w:tab w:val="left" w:pos="1984"/>
        </w:tabs>
        <w:kinsoku/>
        <w:wordWrap/>
        <w:overflowPunct/>
        <w:topLinePunct w:val="0"/>
        <w:autoSpaceDE/>
        <w:autoSpaceDN/>
        <w:bidi w:val="0"/>
        <w:adjustRightInd/>
        <w:snapToGrid/>
        <w:spacing w:beforeAutospacing="0" w:afterAutospacing="0" w:line="440" w:lineRule="exact"/>
        <w:ind w:left="0" w:right="0" w:firstLine="560" w:firstLineChars="200"/>
        <w:jc w:val="left"/>
        <w:textAlignment w:val="auto"/>
        <w:rPr>
          <w:rFonts w:hint="eastAsia" w:ascii="仿宋_GB2312" w:hAnsi="仿宋_GB2312" w:eastAsia="仿宋_GB2312" w:cs="仿宋_GB2312"/>
          <w:color w:val="auto"/>
          <w:kern w:val="10"/>
          <w:sz w:val="28"/>
          <w:szCs w:val="28"/>
          <w:highlight w:val="none"/>
          <w:lang w:val="en-US" w:eastAsia="zh-CN" w:bidi="ar"/>
        </w:rPr>
      </w:pPr>
      <w:r>
        <w:rPr>
          <w:rFonts w:hint="eastAsia" w:ascii="仿宋_GB2312" w:hAnsi="仿宋_GB2312" w:eastAsia="仿宋_GB2312" w:cs="仿宋_GB2312"/>
          <w:color w:val="auto"/>
          <w:kern w:val="10"/>
          <w:sz w:val="28"/>
          <w:szCs w:val="28"/>
          <w:highlight w:val="none"/>
          <w:lang w:val="en-US" w:eastAsia="zh-CN" w:bidi="ar"/>
        </w:rPr>
        <w:t>④未进行条件验收，条件验收不合格继续施工，每次分包人向承包人支付违约金人民币</w:t>
      </w:r>
      <w:r>
        <w:rPr>
          <w:rFonts w:hint="eastAsia" w:ascii="仿宋_GB2312" w:hAnsi="仿宋_GB2312" w:eastAsia="仿宋_GB2312" w:cs="仿宋_GB2312"/>
          <w:b/>
          <w:bCs w:val="0"/>
          <w:color w:val="auto"/>
          <w:kern w:val="10"/>
          <w:sz w:val="28"/>
          <w:szCs w:val="28"/>
          <w:highlight w:val="none"/>
          <w:lang w:val="en-US" w:eastAsia="zh-CN" w:bidi="ar"/>
        </w:rPr>
        <w:t>0.5-1万元</w:t>
      </w:r>
      <w:r>
        <w:rPr>
          <w:rFonts w:hint="eastAsia" w:ascii="仿宋_GB2312" w:hAnsi="仿宋_GB2312" w:eastAsia="仿宋_GB2312" w:cs="仿宋_GB2312"/>
          <w:color w:val="auto"/>
          <w:kern w:val="10"/>
          <w:sz w:val="28"/>
          <w:szCs w:val="28"/>
          <w:highlight w:val="none"/>
          <w:lang w:val="en-US" w:eastAsia="zh-CN" w:bidi="ar"/>
        </w:rPr>
        <w:t>。</w:t>
      </w:r>
    </w:p>
    <w:p w14:paraId="79FA7429">
      <w:pPr>
        <w:keepNext w:val="0"/>
        <w:keepLines w:val="0"/>
        <w:pageBreakBefore w:val="0"/>
        <w:widowControl/>
        <w:shd w:val="clear"/>
        <w:tabs>
          <w:tab w:val="left" w:pos="1984"/>
        </w:tabs>
        <w:kinsoku/>
        <w:wordWrap/>
        <w:overflowPunct/>
        <w:topLinePunct w:val="0"/>
        <w:autoSpaceDE/>
        <w:autoSpaceDN/>
        <w:bidi w:val="0"/>
        <w:adjustRightInd/>
        <w:snapToGrid/>
        <w:spacing w:line="440" w:lineRule="exact"/>
        <w:ind w:left="0" w:firstLine="560" w:firstLineChars="200"/>
        <w:jc w:val="left"/>
        <w:textAlignment w:val="auto"/>
        <w:rPr>
          <w:rFonts w:hint="eastAsia" w:ascii="仿宋_GB2312" w:hAnsi="仿宋_GB2312" w:eastAsia="仿宋_GB2312" w:cs="仿宋_GB2312"/>
          <w:color w:val="auto"/>
          <w:kern w:val="10"/>
          <w:sz w:val="28"/>
          <w:szCs w:val="28"/>
          <w:highlight w:val="none"/>
          <w:lang w:val="en-US" w:eastAsia="zh-CN" w:bidi="ar"/>
        </w:rPr>
      </w:pPr>
      <w:r>
        <w:rPr>
          <w:rFonts w:hint="eastAsia" w:ascii="仿宋_GB2312" w:hAnsi="仿宋_GB2312" w:eastAsia="仿宋_GB2312" w:cs="仿宋_GB2312"/>
          <w:color w:val="auto"/>
          <w:kern w:val="10"/>
          <w:sz w:val="28"/>
          <w:szCs w:val="28"/>
          <w:highlight w:val="none"/>
          <w:lang w:val="en-US" w:eastAsia="zh-CN" w:bidi="ar"/>
        </w:rPr>
        <w:t>⑤成品防护不到位，施工后出现较大面积破损或污染，每处分包人向承包人支付违约金人民币</w:t>
      </w:r>
      <w:r>
        <w:rPr>
          <w:rFonts w:hint="eastAsia" w:ascii="仿宋_GB2312" w:hAnsi="仿宋_GB2312" w:eastAsia="仿宋_GB2312" w:cs="仿宋_GB2312"/>
          <w:b/>
          <w:bCs w:val="0"/>
          <w:color w:val="auto"/>
          <w:kern w:val="10"/>
          <w:sz w:val="28"/>
          <w:szCs w:val="28"/>
          <w:highlight w:val="none"/>
          <w:lang w:val="en-US" w:eastAsia="zh-CN" w:bidi="ar"/>
        </w:rPr>
        <w:t>2000-5000元，</w:t>
      </w:r>
      <w:r>
        <w:rPr>
          <w:rFonts w:hint="eastAsia" w:ascii="仿宋_GB2312" w:hAnsi="仿宋_GB2312" w:eastAsia="仿宋_GB2312" w:cs="仿宋_GB2312"/>
          <w:color w:val="auto"/>
          <w:kern w:val="10"/>
          <w:sz w:val="28"/>
          <w:szCs w:val="28"/>
          <w:highlight w:val="none"/>
          <w:lang w:val="en-US" w:eastAsia="zh-CN" w:bidi="ar"/>
        </w:rPr>
        <w:t>并负责对破损工程进行修复到达质量标准。</w:t>
      </w:r>
    </w:p>
    <w:p w14:paraId="56BD1283">
      <w:pPr>
        <w:keepNext w:val="0"/>
        <w:keepLines w:val="0"/>
        <w:pageBreakBefore w:val="0"/>
        <w:widowControl/>
        <w:shd w:val="clear"/>
        <w:tabs>
          <w:tab w:val="left" w:pos="1984"/>
        </w:tabs>
        <w:kinsoku/>
        <w:wordWrap/>
        <w:overflowPunct/>
        <w:topLinePunct w:val="0"/>
        <w:autoSpaceDE/>
        <w:autoSpaceDN/>
        <w:bidi w:val="0"/>
        <w:adjustRightInd/>
        <w:snapToGrid/>
        <w:spacing w:line="440" w:lineRule="exact"/>
        <w:ind w:left="0" w:firstLine="560" w:firstLineChars="200"/>
        <w:jc w:val="left"/>
        <w:textAlignment w:val="auto"/>
        <w:rPr>
          <w:rFonts w:hint="eastAsia" w:ascii="仿宋_GB2312" w:hAnsi="仿宋_GB2312" w:eastAsia="仿宋_GB2312" w:cs="仿宋_GB2312"/>
          <w:color w:val="auto"/>
          <w:kern w:val="10"/>
          <w:sz w:val="28"/>
          <w:szCs w:val="28"/>
          <w:highlight w:val="none"/>
          <w:lang w:val="en-US" w:eastAsia="zh-CN" w:bidi="ar"/>
        </w:rPr>
      </w:pPr>
      <w:r>
        <w:rPr>
          <w:rFonts w:hint="eastAsia" w:ascii="仿宋_GB2312" w:hAnsi="仿宋_GB2312" w:eastAsia="仿宋_GB2312" w:cs="仿宋_GB2312"/>
          <w:color w:val="auto"/>
          <w:kern w:val="10"/>
          <w:sz w:val="28"/>
          <w:szCs w:val="28"/>
          <w:highlight w:val="none"/>
          <w:lang w:val="en-US" w:eastAsia="zh-CN" w:bidi="ar"/>
        </w:rPr>
        <w:t>⑥原材料、设备未按国家及行业相关规定进行报验、审批或手续不全，已投入使用；分包人未按要求及时上报主要材料、设备使用计划或不能及时上报审批用相关资料，每次分包人向承包人支付违约金人民币</w:t>
      </w:r>
      <w:r>
        <w:rPr>
          <w:rFonts w:hint="eastAsia" w:ascii="仿宋_GB2312" w:hAnsi="仿宋_GB2312" w:eastAsia="仿宋_GB2312" w:cs="仿宋_GB2312"/>
          <w:b/>
          <w:bCs w:val="0"/>
          <w:color w:val="auto"/>
          <w:kern w:val="10"/>
          <w:sz w:val="28"/>
          <w:szCs w:val="28"/>
          <w:highlight w:val="none"/>
          <w:lang w:val="en-US" w:eastAsia="zh-CN" w:bidi="ar"/>
        </w:rPr>
        <w:t>2000-5000元</w:t>
      </w:r>
      <w:r>
        <w:rPr>
          <w:rFonts w:hint="eastAsia" w:ascii="仿宋_GB2312" w:hAnsi="仿宋_GB2312" w:eastAsia="仿宋_GB2312" w:cs="仿宋_GB2312"/>
          <w:color w:val="auto"/>
          <w:kern w:val="10"/>
          <w:sz w:val="28"/>
          <w:szCs w:val="28"/>
          <w:highlight w:val="none"/>
          <w:lang w:val="en-US" w:eastAsia="zh-CN" w:bidi="ar"/>
        </w:rPr>
        <w:t>。</w:t>
      </w:r>
    </w:p>
    <w:p w14:paraId="35B34DB4">
      <w:pPr>
        <w:pStyle w:val="24"/>
        <w:keepNext w:val="0"/>
        <w:keepLines w:val="0"/>
        <w:pageBreakBefore w:val="0"/>
        <w:shd w:val="clear"/>
        <w:kinsoku/>
        <w:wordWrap/>
        <w:overflowPunct/>
        <w:topLinePunct w:val="0"/>
        <w:autoSpaceDE/>
        <w:autoSpaceDN/>
        <w:bidi w:val="0"/>
        <w:adjustRightInd/>
        <w:snapToGrid/>
        <w:spacing w:after="0" w:line="440" w:lineRule="exact"/>
        <w:ind w:left="0" w:lef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因分包人原因造成的质量问题或质量事故，所有经济损失由分包人承担，并按承包人公司及项目质量管理规定进行处罚。</w:t>
      </w:r>
    </w:p>
    <w:p w14:paraId="09CF0548">
      <w:pPr>
        <w:pStyle w:val="24"/>
        <w:keepNext w:val="0"/>
        <w:keepLines w:val="0"/>
        <w:pageBreakBefore w:val="0"/>
        <w:shd w:val="clear"/>
        <w:kinsoku/>
        <w:wordWrap/>
        <w:overflowPunct/>
        <w:topLinePunct w:val="0"/>
        <w:autoSpaceDE/>
        <w:autoSpaceDN/>
        <w:bidi w:val="0"/>
        <w:adjustRightInd/>
        <w:snapToGrid/>
        <w:spacing w:after="0" w:line="440" w:lineRule="exact"/>
        <w:ind w:left="0" w:leftChars="0" w:firstLine="48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发包人、监理人、甲方对乙方供应材料和</w:t>
      </w:r>
      <w:r>
        <w:rPr>
          <w:rFonts w:hint="eastAsia" w:ascii="仿宋_GB2312" w:hAnsi="仿宋_GB2312" w:eastAsia="仿宋_GB2312" w:cs="仿宋_GB2312"/>
          <w:color w:val="auto"/>
          <w:sz w:val="28"/>
          <w:szCs w:val="28"/>
          <w:highlight w:val="none"/>
          <w:lang w:val="en-US" w:eastAsia="zh-CN"/>
        </w:rPr>
        <w:t>工序</w:t>
      </w:r>
      <w:r>
        <w:rPr>
          <w:rFonts w:hint="eastAsia" w:ascii="仿宋_GB2312" w:hAnsi="仿宋_GB2312" w:eastAsia="仿宋_GB2312" w:cs="仿宋_GB2312"/>
          <w:color w:val="auto"/>
          <w:sz w:val="28"/>
          <w:szCs w:val="28"/>
          <w:highlight w:val="none"/>
        </w:rPr>
        <w:t>的验收，并不免除以后因材料和</w:t>
      </w:r>
      <w:r>
        <w:rPr>
          <w:rFonts w:hint="eastAsia" w:ascii="仿宋_GB2312" w:hAnsi="仿宋_GB2312" w:eastAsia="仿宋_GB2312" w:cs="仿宋_GB2312"/>
          <w:color w:val="auto"/>
          <w:sz w:val="28"/>
          <w:szCs w:val="28"/>
          <w:highlight w:val="none"/>
          <w:lang w:val="en-US" w:eastAsia="zh-CN"/>
        </w:rPr>
        <w:t>工序</w:t>
      </w:r>
      <w:r>
        <w:rPr>
          <w:rFonts w:hint="eastAsia" w:ascii="仿宋_GB2312" w:hAnsi="仿宋_GB2312" w:eastAsia="仿宋_GB2312" w:cs="仿宋_GB2312"/>
          <w:color w:val="auto"/>
          <w:sz w:val="28"/>
          <w:szCs w:val="28"/>
          <w:highlight w:val="none"/>
        </w:rPr>
        <w:t>缺陷引起工程质量缺陷时乙方应承担的责任。</w:t>
      </w:r>
    </w:p>
    <w:p w14:paraId="6D36A53B">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val="en-US" w:eastAsia="zh-CN" w:bidi="en-US"/>
        </w:rPr>
        <w:t>三</w:t>
      </w:r>
      <w:r>
        <w:rPr>
          <w:rFonts w:hint="eastAsia" w:ascii="仿宋_GB2312" w:hAnsi="仿宋_GB2312" w:eastAsia="仿宋_GB2312" w:cs="仿宋_GB2312"/>
          <w:color w:val="auto"/>
          <w:kern w:val="10"/>
          <w:sz w:val="28"/>
          <w:szCs w:val="28"/>
          <w:highlight w:val="none"/>
          <w:lang w:bidi="en-US"/>
        </w:rPr>
        <w:t>、验收要求：</w:t>
      </w:r>
    </w:p>
    <w:p w14:paraId="2B52F898">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val="en-US" w:eastAsia="zh-CN" w:bidi="en-US"/>
        </w:rPr>
        <w:t>3</w:t>
      </w:r>
      <w:r>
        <w:rPr>
          <w:rFonts w:hint="eastAsia" w:ascii="仿宋_GB2312" w:hAnsi="仿宋_GB2312" w:eastAsia="仿宋_GB2312" w:cs="仿宋_GB2312"/>
          <w:color w:val="auto"/>
          <w:kern w:val="10"/>
          <w:sz w:val="28"/>
          <w:szCs w:val="28"/>
          <w:highlight w:val="none"/>
          <w:lang w:bidi="en-US"/>
        </w:rPr>
        <w:t>.1严格执行质量“三检”制度及工序交接制度，每道工序完成后，分包人根据承包人要求，首先进行自检、互检、交接检并做好记录，合格后方可要求承包人质检员、工长验收，对不进行“三检”或无记录即要求承包人验收的，每发生一次，承担违约金 5000元，或记录与事实不符即要求验收的，承包人工长有权取消该部位工序结算。</w:t>
      </w:r>
    </w:p>
    <w:p w14:paraId="1BDAABA7">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val="en-US" w:eastAsia="zh-CN" w:bidi="en-US"/>
        </w:rPr>
        <w:t>3</w:t>
      </w:r>
      <w:r>
        <w:rPr>
          <w:rFonts w:hint="eastAsia" w:ascii="仿宋_GB2312" w:hAnsi="仿宋_GB2312" w:eastAsia="仿宋_GB2312" w:cs="仿宋_GB2312"/>
          <w:color w:val="auto"/>
          <w:kern w:val="10"/>
          <w:sz w:val="28"/>
          <w:szCs w:val="28"/>
          <w:highlight w:val="none"/>
          <w:lang w:bidi="en-US"/>
        </w:rPr>
        <w:t>.2承包人工长、质检员在施工过程中或验收评定时提出的整改意见，分包人必须照章执行，对拒不执行整改意见或整改不及时的或整改仍达不到质量要求的，每次扣除质量违约金 5000元。</w:t>
      </w:r>
    </w:p>
    <w:p w14:paraId="4E4947B7">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val="en-US" w:eastAsia="zh-CN" w:bidi="en-US"/>
        </w:rPr>
        <w:t>3</w:t>
      </w:r>
      <w:r>
        <w:rPr>
          <w:rFonts w:hint="eastAsia" w:ascii="仿宋_GB2312" w:hAnsi="仿宋_GB2312" w:eastAsia="仿宋_GB2312" w:cs="仿宋_GB2312"/>
          <w:color w:val="auto"/>
          <w:kern w:val="10"/>
          <w:sz w:val="28"/>
          <w:szCs w:val="28"/>
          <w:highlight w:val="none"/>
          <w:lang w:bidi="en-US"/>
        </w:rPr>
        <w:t>.3分包人按照设计图纸、变更通知、施工规范、施工组织设计方案及有关规定，施工员做技术交底施工，分包人必须对所有工人进行技术（安全）交底，并每人签字，否则承担违约金每人次100元人民币；施工中分包人必须服从承包人指挥，严把质量关，分包人必须设专职管理人员、质检员，及时进行班组内部自检、互检，凡质量达不到约定的质量标准，分包人必须及时通知工人处理，以达到质量标准要求，返工所发生的工料费均由分包人全部承担，且工期不予顺延，质量未达到约定标准的分项工程不予结算，同时，承包人有权拒付该部分的人工费，因此造成的材料损失由分包人承担，款项由承包人直接在支付分包人工程款中扣除。</w:t>
      </w:r>
    </w:p>
    <w:p w14:paraId="6944C388">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val="en-US" w:eastAsia="zh-CN" w:bidi="en-US"/>
        </w:rPr>
        <w:t>3</w:t>
      </w:r>
      <w:r>
        <w:rPr>
          <w:rFonts w:hint="eastAsia" w:ascii="仿宋_GB2312" w:hAnsi="仿宋_GB2312" w:eastAsia="仿宋_GB2312" w:cs="仿宋_GB2312"/>
          <w:color w:val="auto"/>
          <w:kern w:val="10"/>
          <w:sz w:val="28"/>
          <w:szCs w:val="28"/>
          <w:highlight w:val="none"/>
          <w:lang w:bidi="en-US"/>
        </w:rPr>
        <w:t xml:space="preserve">.4由于分包人整改不及时，影响下道工序施工，则每影响一天分包人应向承包人支付 </w:t>
      </w:r>
      <w:r>
        <w:rPr>
          <w:rFonts w:hint="eastAsia" w:ascii="仿宋_GB2312" w:hAnsi="仿宋_GB2312" w:eastAsia="仿宋_GB2312" w:cs="仿宋_GB2312"/>
          <w:color w:val="auto"/>
          <w:kern w:val="10"/>
          <w:sz w:val="28"/>
          <w:szCs w:val="28"/>
          <w:highlight w:val="none"/>
          <w:u w:val="single"/>
          <w:lang w:bidi="en-US"/>
        </w:rPr>
        <w:t xml:space="preserve"> 2万 </w:t>
      </w:r>
      <w:r>
        <w:rPr>
          <w:rFonts w:hint="eastAsia" w:ascii="仿宋_GB2312" w:hAnsi="仿宋_GB2312" w:eastAsia="仿宋_GB2312" w:cs="仿宋_GB2312"/>
          <w:color w:val="auto"/>
          <w:kern w:val="10"/>
          <w:sz w:val="28"/>
          <w:szCs w:val="28"/>
          <w:highlight w:val="none"/>
          <w:lang w:bidi="en-US"/>
        </w:rPr>
        <w:t>元人民币的工期违约金。情节严重，责令其停工整改，直到终止合同、无条件退场，且按分包人完成的符合标准的工程量的60%结算。</w:t>
      </w:r>
    </w:p>
    <w:p w14:paraId="43AC57A0">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val="en-US" w:eastAsia="zh-CN" w:bidi="en-US"/>
        </w:rPr>
        <w:t>四</w:t>
      </w:r>
      <w:r>
        <w:rPr>
          <w:rFonts w:hint="eastAsia" w:ascii="仿宋_GB2312" w:hAnsi="仿宋_GB2312" w:eastAsia="仿宋_GB2312" w:cs="仿宋_GB2312"/>
          <w:color w:val="auto"/>
          <w:kern w:val="10"/>
          <w:sz w:val="28"/>
          <w:szCs w:val="28"/>
          <w:highlight w:val="none"/>
          <w:lang w:bidi="en-US"/>
        </w:rPr>
        <w:t>、承包人的权利与义务</w:t>
      </w:r>
    </w:p>
    <w:p w14:paraId="246A394F">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w:t>
      </w:r>
      <w:r>
        <w:rPr>
          <w:rFonts w:hint="eastAsia" w:ascii="仿宋_GB2312" w:hAnsi="仿宋_GB2312" w:eastAsia="仿宋_GB2312" w:cs="仿宋_GB2312"/>
          <w:color w:val="auto"/>
          <w:kern w:val="10"/>
          <w:sz w:val="28"/>
          <w:szCs w:val="28"/>
          <w:highlight w:val="none"/>
          <w:lang w:val="en-US" w:eastAsia="zh-CN" w:bidi="en-US"/>
        </w:rPr>
        <w:t>4</w:t>
      </w:r>
      <w:r>
        <w:rPr>
          <w:rFonts w:hint="eastAsia" w:ascii="仿宋_GB2312" w:hAnsi="仿宋_GB2312" w:eastAsia="仿宋_GB2312" w:cs="仿宋_GB2312"/>
          <w:color w:val="auto"/>
          <w:kern w:val="10"/>
          <w:sz w:val="28"/>
          <w:szCs w:val="28"/>
          <w:highlight w:val="none"/>
          <w:lang w:bidi="en-US"/>
        </w:rPr>
        <w:t>.1承包人项目经理/项目执行经理，落实项目质量管理工作。</w:t>
      </w:r>
    </w:p>
    <w:p w14:paraId="0228A764">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val="en-US" w:eastAsia="zh-CN" w:bidi="en-US"/>
        </w:rPr>
        <w:t>4</w:t>
      </w:r>
      <w:r>
        <w:rPr>
          <w:rFonts w:hint="eastAsia" w:ascii="仿宋_GB2312" w:hAnsi="仿宋_GB2312" w:eastAsia="仿宋_GB2312" w:cs="仿宋_GB2312"/>
          <w:color w:val="auto"/>
          <w:kern w:val="10"/>
          <w:sz w:val="28"/>
          <w:szCs w:val="28"/>
          <w:highlight w:val="none"/>
          <w:lang w:bidi="en-US"/>
        </w:rPr>
        <w:t>.2承包人需向分包人提供有关技术配合服务。包括主控制线，主标高点，施工图，施工方案及安全技术交底。</w:t>
      </w:r>
    </w:p>
    <w:p w14:paraId="7EE61BDE">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w:t>
      </w:r>
      <w:r>
        <w:rPr>
          <w:rFonts w:hint="eastAsia" w:ascii="仿宋_GB2312" w:hAnsi="仿宋_GB2312" w:eastAsia="仿宋_GB2312" w:cs="仿宋_GB2312"/>
          <w:color w:val="auto"/>
          <w:kern w:val="10"/>
          <w:sz w:val="28"/>
          <w:szCs w:val="28"/>
          <w:highlight w:val="none"/>
          <w:lang w:val="en-US" w:eastAsia="zh-CN" w:bidi="en-US"/>
        </w:rPr>
        <w:t>4</w:t>
      </w:r>
      <w:r>
        <w:rPr>
          <w:rFonts w:hint="eastAsia" w:ascii="仿宋_GB2312" w:hAnsi="仿宋_GB2312" w:eastAsia="仿宋_GB2312" w:cs="仿宋_GB2312"/>
          <w:color w:val="auto"/>
          <w:kern w:val="10"/>
          <w:sz w:val="28"/>
          <w:szCs w:val="28"/>
          <w:highlight w:val="none"/>
          <w:lang w:bidi="en-US"/>
        </w:rPr>
        <w:t>.3 承包人对分包人提出的疑问和困难应积极协调和解决。</w:t>
      </w:r>
    </w:p>
    <w:p w14:paraId="5634A614">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val="en-US" w:eastAsia="zh-CN" w:bidi="en-US"/>
        </w:rPr>
        <w:t>4</w:t>
      </w:r>
      <w:r>
        <w:rPr>
          <w:rFonts w:hint="eastAsia" w:ascii="仿宋_GB2312" w:hAnsi="仿宋_GB2312" w:eastAsia="仿宋_GB2312" w:cs="仿宋_GB2312"/>
          <w:color w:val="auto"/>
          <w:kern w:val="10"/>
          <w:sz w:val="28"/>
          <w:szCs w:val="28"/>
          <w:highlight w:val="none"/>
          <w:lang w:bidi="en-US"/>
        </w:rPr>
        <w:t>.4承包人需及时对分包人上报施工任务进行检查验收，提出整改意见。对于分包人未报验或经检查不合格或未在约定期限内整改完成的施工部位有权利下达返工和停工整改命令，直至验收合格后方可进行下道工序施工。</w:t>
      </w:r>
    </w:p>
    <w:p w14:paraId="55E25972">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w:t>
      </w:r>
      <w:r>
        <w:rPr>
          <w:rFonts w:hint="eastAsia" w:ascii="仿宋_GB2312" w:hAnsi="仿宋_GB2312" w:eastAsia="仿宋_GB2312" w:cs="仿宋_GB2312"/>
          <w:color w:val="auto"/>
          <w:kern w:val="10"/>
          <w:sz w:val="28"/>
          <w:szCs w:val="28"/>
          <w:highlight w:val="none"/>
          <w:lang w:val="en-US" w:eastAsia="zh-CN" w:bidi="en-US"/>
        </w:rPr>
        <w:t>4</w:t>
      </w:r>
      <w:r>
        <w:rPr>
          <w:rFonts w:hint="eastAsia" w:ascii="仿宋_GB2312" w:hAnsi="仿宋_GB2312" w:eastAsia="仿宋_GB2312" w:cs="仿宋_GB2312"/>
          <w:color w:val="auto"/>
          <w:kern w:val="10"/>
          <w:sz w:val="28"/>
          <w:szCs w:val="28"/>
          <w:highlight w:val="none"/>
          <w:lang w:bidi="en-US"/>
        </w:rPr>
        <w:t>.5承包人需提示并监督分包人完成合同范围内的施工任务。</w:t>
      </w:r>
    </w:p>
    <w:p w14:paraId="61143424">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val="en-US" w:eastAsia="zh-CN" w:bidi="en-US"/>
        </w:rPr>
        <w:t>五</w:t>
      </w:r>
      <w:r>
        <w:rPr>
          <w:rFonts w:hint="eastAsia" w:ascii="仿宋_GB2312" w:hAnsi="仿宋_GB2312" w:eastAsia="仿宋_GB2312" w:cs="仿宋_GB2312"/>
          <w:color w:val="auto"/>
          <w:kern w:val="10"/>
          <w:sz w:val="28"/>
          <w:szCs w:val="28"/>
          <w:highlight w:val="none"/>
          <w:lang w:bidi="en-US"/>
        </w:rPr>
        <w:t>、分包人的权利与义务</w:t>
      </w:r>
    </w:p>
    <w:p w14:paraId="033792F4">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w:t>
      </w:r>
      <w:r>
        <w:rPr>
          <w:rFonts w:hint="eastAsia" w:ascii="仿宋_GB2312" w:hAnsi="仿宋_GB2312" w:eastAsia="仿宋_GB2312" w:cs="仿宋_GB2312"/>
          <w:color w:val="auto"/>
          <w:kern w:val="10"/>
          <w:sz w:val="28"/>
          <w:szCs w:val="28"/>
          <w:highlight w:val="none"/>
          <w:lang w:val="en-US" w:eastAsia="zh-CN" w:bidi="en-US"/>
        </w:rPr>
        <w:t xml:space="preserve"> 5</w:t>
      </w:r>
      <w:r>
        <w:rPr>
          <w:rFonts w:hint="eastAsia" w:ascii="仿宋_GB2312" w:hAnsi="仿宋_GB2312" w:eastAsia="仿宋_GB2312" w:cs="仿宋_GB2312"/>
          <w:color w:val="auto"/>
          <w:kern w:val="10"/>
          <w:sz w:val="28"/>
          <w:szCs w:val="28"/>
          <w:highlight w:val="none"/>
          <w:lang w:bidi="en-US"/>
        </w:rPr>
        <w:t>.1分包人指派专人为本项目质量第一责任人，落实项目质量管理工作。</w:t>
      </w:r>
    </w:p>
    <w:p w14:paraId="2E0AE61B">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lang w:bidi="en-US"/>
        </w:rPr>
      </w:pPr>
      <w:r>
        <w:rPr>
          <w:rFonts w:hint="eastAsia" w:ascii="仿宋_GB2312" w:hAnsi="仿宋_GB2312" w:eastAsia="仿宋_GB2312" w:cs="仿宋_GB2312"/>
          <w:color w:val="auto"/>
          <w:kern w:val="10"/>
          <w:sz w:val="28"/>
          <w:szCs w:val="28"/>
          <w:highlight w:val="none"/>
          <w:lang w:val="en-US" w:eastAsia="zh-CN" w:bidi="en-US"/>
        </w:rPr>
        <w:t>5</w:t>
      </w:r>
      <w:r>
        <w:rPr>
          <w:rFonts w:hint="eastAsia" w:ascii="仿宋_GB2312" w:hAnsi="仿宋_GB2312" w:eastAsia="仿宋_GB2312" w:cs="仿宋_GB2312"/>
          <w:color w:val="auto"/>
          <w:kern w:val="10"/>
          <w:sz w:val="28"/>
          <w:szCs w:val="28"/>
          <w:highlight w:val="none"/>
          <w:lang w:bidi="en-US"/>
        </w:rPr>
        <w:t>.2分包人需按照施工图及施工方案进行充足的人力、物资及机具组织，确保施工安全质量及工期要求。如特殊工种，需安排持有相关证件具备施工能力人员进行操作；并做好人员登记，上报给承包人，进行安全教育及技术交底后方可参与施工。</w:t>
      </w:r>
    </w:p>
    <w:p w14:paraId="2F7297C1">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lang w:bidi="en-US"/>
        </w:rPr>
      </w:pPr>
      <w:r>
        <w:rPr>
          <w:rFonts w:hint="eastAsia" w:ascii="仿宋_GB2312" w:hAnsi="仿宋_GB2312" w:eastAsia="仿宋_GB2312" w:cs="仿宋_GB2312"/>
          <w:color w:val="auto"/>
          <w:kern w:val="10"/>
          <w:sz w:val="28"/>
          <w:szCs w:val="28"/>
          <w:highlight w:val="none"/>
          <w:lang w:val="en-US" w:eastAsia="zh-CN" w:bidi="en-US"/>
        </w:rPr>
        <w:t>5</w:t>
      </w:r>
      <w:r>
        <w:rPr>
          <w:rFonts w:hint="eastAsia" w:ascii="仿宋_GB2312" w:hAnsi="仿宋_GB2312" w:eastAsia="仿宋_GB2312" w:cs="仿宋_GB2312"/>
          <w:color w:val="auto"/>
          <w:kern w:val="10"/>
          <w:sz w:val="28"/>
          <w:szCs w:val="28"/>
          <w:highlight w:val="none"/>
          <w:lang w:bidi="en-US"/>
        </w:rPr>
        <w:t>.3分包人按照时间节点及质量标准完成施工任务，并指定专人进行自检，做好检查记录，自检合格后上报给承包人复查，质量合格后方可进行下道工序施工。</w:t>
      </w:r>
    </w:p>
    <w:p w14:paraId="405294DC">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lang w:bidi="en-US"/>
        </w:rPr>
      </w:pPr>
      <w:r>
        <w:rPr>
          <w:rFonts w:hint="eastAsia" w:ascii="仿宋_GB2312" w:hAnsi="仿宋_GB2312" w:eastAsia="仿宋_GB2312" w:cs="仿宋_GB2312"/>
          <w:color w:val="auto"/>
          <w:kern w:val="10"/>
          <w:sz w:val="28"/>
          <w:szCs w:val="28"/>
          <w:highlight w:val="none"/>
          <w:lang w:val="en-US" w:eastAsia="zh-CN" w:bidi="en-US"/>
        </w:rPr>
        <w:t>5</w:t>
      </w:r>
      <w:r>
        <w:rPr>
          <w:rFonts w:hint="eastAsia" w:ascii="仿宋_GB2312" w:hAnsi="仿宋_GB2312" w:eastAsia="仿宋_GB2312" w:cs="仿宋_GB2312"/>
          <w:color w:val="auto"/>
          <w:kern w:val="10"/>
          <w:sz w:val="28"/>
          <w:szCs w:val="28"/>
          <w:highlight w:val="none"/>
          <w:lang w:bidi="en-US"/>
        </w:rPr>
        <w:t>.4分包人施工前应熟悉施工图纸及施工方案，对无法完成或有疑问的部分应提前反馈给承包人。施工过程中应遵照图示要求进行施工，验收时应严谨细致，准备相关图纸及技术资料认真核对现场结构尺寸，有验收记录且验收记录真实有效。</w:t>
      </w:r>
    </w:p>
    <w:p w14:paraId="478B78A5">
      <w:pPr>
        <w:keepNext w:val="0"/>
        <w:keepLines w:val="0"/>
        <w:pageBreakBefore w:val="0"/>
        <w:shd w:val="clear"/>
        <w:kinsoku/>
        <w:wordWrap/>
        <w:overflowPunct/>
        <w:topLinePunct w:val="0"/>
        <w:autoSpaceDE/>
        <w:autoSpaceDN/>
        <w:bidi w:val="0"/>
        <w:adjustRightInd/>
        <w:snapToGrid/>
        <w:spacing w:line="440" w:lineRule="exact"/>
        <w:ind w:left="0" w:firstLine="560" w:firstLineChars="20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val="en-US" w:eastAsia="zh-CN" w:bidi="en-US"/>
        </w:rPr>
        <w:t>5</w:t>
      </w:r>
      <w:r>
        <w:rPr>
          <w:rFonts w:hint="eastAsia" w:ascii="仿宋_GB2312" w:hAnsi="仿宋_GB2312" w:eastAsia="仿宋_GB2312" w:cs="仿宋_GB2312"/>
          <w:color w:val="auto"/>
          <w:kern w:val="10"/>
          <w:sz w:val="28"/>
          <w:szCs w:val="28"/>
          <w:highlight w:val="none"/>
          <w:lang w:bidi="en-US"/>
        </w:rPr>
        <w:t>.5分包人每月申报进度款时应准备当月施工过程中相关验收资料，经承包人项目总工确认、真实完整，并整改合格后，方可结算当月进度款。</w:t>
      </w:r>
    </w:p>
    <w:p w14:paraId="04E550A0">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w:t>
      </w:r>
      <w:r>
        <w:rPr>
          <w:rFonts w:hint="eastAsia" w:ascii="仿宋_GB2312" w:hAnsi="仿宋_GB2312" w:eastAsia="仿宋_GB2312" w:cs="仿宋_GB2312"/>
          <w:color w:val="auto"/>
          <w:kern w:val="10"/>
          <w:sz w:val="28"/>
          <w:szCs w:val="28"/>
          <w:highlight w:val="none"/>
          <w:lang w:val="en-US" w:eastAsia="zh-CN" w:bidi="en-US"/>
        </w:rPr>
        <w:t>5</w:t>
      </w:r>
      <w:r>
        <w:rPr>
          <w:rFonts w:hint="eastAsia" w:ascii="仿宋_GB2312" w:hAnsi="仿宋_GB2312" w:eastAsia="仿宋_GB2312" w:cs="仿宋_GB2312"/>
          <w:color w:val="auto"/>
          <w:kern w:val="10"/>
          <w:sz w:val="28"/>
          <w:szCs w:val="28"/>
          <w:highlight w:val="none"/>
          <w:lang w:bidi="en-US"/>
        </w:rPr>
        <w:t>.6分包人需配合承包人验收及第三方验收工作。</w:t>
      </w:r>
    </w:p>
    <w:p w14:paraId="3BFD7597">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w:t>
      </w:r>
      <w:r>
        <w:rPr>
          <w:rFonts w:hint="eastAsia" w:ascii="仿宋_GB2312" w:hAnsi="仿宋_GB2312" w:eastAsia="仿宋_GB2312" w:cs="仿宋_GB2312"/>
          <w:color w:val="auto"/>
          <w:kern w:val="10"/>
          <w:sz w:val="28"/>
          <w:szCs w:val="28"/>
          <w:highlight w:val="none"/>
          <w:lang w:val="en-US" w:eastAsia="zh-CN" w:bidi="en-US"/>
        </w:rPr>
        <w:t>5</w:t>
      </w:r>
      <w:r>
        <w:rPr>
          <w:rFonts w:hint="eastAsia" w:ascii="仿宋_GB2312" w:hAnsi="仿宋_GB2312" w:eastAsia="仿宋_GB2312" w:cs="仿宋_GB2312"/>
          <w:color w:val="auto"/>
          <w:kern w:val="10"/>
          <w:sz w:val="28"/>
          <w:szCs w:val="28"/>
          <w:highlight w:val="none"/>
          <w:lang w:bidi="en-US"/>
        </w:rPr>
        <w:t>.7分包人须配合承包人各项检查，并无条件解决工程中出现的质量问题。</w:t>
      </w:r>
    </w:p>
    <w:p w14:paraId="148CA32B">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w:t>
      </w:r>
      <w:r>
        <w:rPr>
          <w:rFonts w:hint="eastAsia" w:ascii="仿宋_GB2312" w:hAnsi="仿宋_GB2312" w:eastAsia="仿宋_GB2312" w:cs="仿宋_GB2312"/>
          <w:color w:val="auto"/>
          <w:kern w:val="10"/>
          <w:sz w:val="28"/>
          <w:szCs w:val="28"/>
          <w:highlight w:val="none"/>
          <w:lang w:val="en-US" w:eastAsia="zh-CN" w:bidi="en-US"/>
        </w:rPr>
        <w:t>5</w:t>
      </w:r>
      <w:r>
        <w:rPr>
          <w:rFonts w:hint="eastAsia" w:ascii="仿宋_GB2312" w:hAnsi="仿宋_GB2312" w:eastAsia="仿宋_GB2312" w:cs="仿宋_GB2312"/>
          <w:color w:val="auto"/>
          <w:kern w:val="10"/>
          <w:sz w:val="28"/>
          <w:szCs w:val="28"/>
          <w:highlight w:val="none"/>
          <w:lang w:bidi="en-US"/>
        </w:rPr>
        <w:t>.8分包人须配备项目专职质量员，并常驻项目。</w:t>
      </w:r>
    </w:p>
    <w:p w14:paraId="23109D7E">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w:t>
      </w:r>
      <w:r>
        <w:rPr>
          <w:rFonts w:hint="eastAsia" w:ascii="仿宋_GB2312" w:hAnsi="仿宋_GB2312" w:eastAsia="仿宋_GB2312" w:cs="仿宋_GB2312"/>
          <w:color w:val="auto"/>
          <w:kern w:val="10"/>
          <w:sz w:val="28"/>
          <w:szCs w:val="28"/>
          <w:highlight w:val="none"/>
          <w:lang w:val="en-US" w:eastAsia="zh-CN" w:bidi="en-US"/>
        </w:rPr>
        <w:t>5</w:t>
      </w:r>
      <w:r>
        <w:rPr>
          <w:rFonts w:hint="eastAsia" w:ascii="仿宋_GB2312" w:hAnsi="仿宋_GB2312" w:eastAsia="仿宋_GB2312" w:cs="仿宋_GB2312"/>
          <w:color w:val="auto"/>
          <w:kern w:val="10"/>
          <w:sz w:val="28"/>
          <w:szCs w:val="28"/>
          <w:highlight w:val="none"/>
          <w:lang w:bidi="en-US"/>
        </w:rPr>
        <w:t>.9分包人需处理及配合好其他工作。</w:t>
      </w:r>
    </w:p>
    <w:p w14:paraId="49A74021">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w:t>
      </w:r>
      <w:r>
        <w:rPr>
          <w:rFonts w:hint="eastAsia" w:ascii="仿宋_GB2312" w:hAnsi="仿宋_GB2312" w:eastAsia="仿宋_GB2312" w:cs="仿宋_GB2312"/>
          <w:color w:val="auto"/>
          <w:kern w:val="10"/>
          <w:sz w:val="28"/>
          <w:szCs w:val="28"/>
          <w:highlight w:val="none"/>
          <w:lang w:val="en-US" w:eastAsia="zh-CN" w:bidi="en-US"/>
        </w:rPr>
        <w:t>六</w:t>
      </w:r>
      <w:r>
        <w:rPr>
          <w:rFonts w:hint="eastAsia" w:ascii="仿宋_GB2312" w:hAnsi="仿宋_GB2312" w:eastAsia="仿宋_GB2312" w:cs="仿宋_GB2312"/>
          <w:color w:val="auto"/>
          <w:kern w:val="10"/>
          <w:sz w:val="28"/>
          <w:szCs w:val="28"/>
          <w:highlight w:val="none"/>
          <w:lang w:bidi="en-US"/>
        </w:rPr>
        <w:t>、其他事项</w:t>
      </w:r>
    </w:p>
    <w:p w14:paraId="563EE230">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w:t>
      </w:r>
      <w:r>
        <w:rPr>
          <w:rFonts w:hint="eastAsia" w:ascii="仿宋_GB2312" w:hAnsi="仿宋_GB2312" w:eastAsia="仿宋_GB2312" w:cs="仿宋_GB2312"/>
          <w:color w:val="auto"/>
          <w:kern w:val="10"/>
          <w:sz w:val="28"/>
          <w:szCs w:val="28"/>
          <w:highlight w:val="none"/>
          <w:lang w:val="en-US" w:eastAsia="zh-CN" w:bidi="en-US"/>
        </w:rPr>
        <w:t>6</w:t>
      </w:r>
      <w:r>
        <w:rPr>
          <w:rFonts w:hint="eastAsia" w:ascii="仿宋_GB2312" w:hAnsi="仿宋_GB2312" w:eastAsia="仿宋_GB2312" w:cs="仿宋_GB2312"/>
          <w:color w:val="auto"/>
          <w:kern w:val="10"/>
          <w:sz w:val="28"/>
          <w:szCs w:val="28"/>
          <w:highlight w:val="none"/>
          <w:lang w:bidi="en-US"/>
        </w:rPr>
        <w:t>.1甲、乙双方工地负责人和管理人员必须对本工地的质量进行全面管理。</w:t>
      </w:r>
    </w:p>
    <w:p w14:paraId="09FAEF47">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kern w:val="10"/>
          <w:sz w:val="28"/>
          <w:szCs w:val="28"/>
          <w:highlight w:val="none"/>
        </w:rPr>
      </w:pPr>
      <w:r>
        <w:rPr>
          <w:rFonts w:hint="eastAsia" w:ascii="仿宋_GB2312" w:hAnsi="仿宋_GB2312" w:eastAsia="仿宋_GB2312" w:cs="仿宋_GB2312"/>
          <w:color w:val="auto"/>
          <w:kern w:val="10"/>
          <w:sz w:val="28"/>
          <w:szCs w:val="28"/>
          <w:highlight w:val="none"/>
          <w:lang w:bidi="en-US"/>
        </w:rPr>
        <w:t xml:space="preserve">    </w:t>
      </w:r>
      <w:r>
        <w:rPr>
          <w:rFonts w:hint="eastAsia" w:ascii="仿宋_GB2312" w:hAnsi="仿宋_GB2312" w:eastAsia="仿宋_GB2312" w:cs="仿宋_GB2312"/>
          <w:color w:val="auto"/>
          <w:kern w:val="10"/>
          <w:sz w:val="28"/>
          <w:szCs w:val="28"/>
          <w:highlight w:val="none"/>
          <w:lang w:val="en-US" w:eastAsia="zh-CN" w:bidi="en-US"/>
        </w:rPr>
        <w:t>6</w:t>
      </w:r>
      <w:r>
        <w:rPr>
          <w:rFonts w:hint="eastAsia" w:ascii="仿宋_GB2312" w:hAnsi="仿宋_GB2312" w:eastAsia="仿宋_GB2312" w:cs="仿宋_GB2312"/>
          <w:color w:val="auto"/>
          <w:kern w:val="10"/>
          <w:sz w:val="28"/>
          <w:szCs w:val="28"/>
          <w:highlight w:val="none"/>
          <w:lang w:bidi="en-US"/>
        </w:rPr>
        <w:t>.2本协议书未尽事宜，双方可另行协商解决。</w:t>
      </w:r>
    </w:p>
    <w:p w14:paraId="7D49063D">
      <w:pPr>
        <w:keepNext w:val="0"/>
        <w:keepLines w:val="0"/>
        <w:pageBreakBefore w:val="0"/>
        <w:numPr>
          <w:ilvl w:val="0"/>
          <w:numId w:val="1"/>
        </w:numPr>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协议自甲方盖章、乙方(法定代表人或有授权的签字代理人）签字且盖章之日起生效。</w:t>
      </w:r>
    </w:p>
    <w:p w14:paraId="0F13C656">
      <w:pPr>
        <w:keepNext w:val="0"/>
        <w:keepLines w:val="0"/>
        <w:pageBreakBefore w:val="0"/>
        <w:numPr>
          <w:ilvl w:val="0"/>
          <w:numId w:val="0"/>
        </w:numPr>
        <w:shd w:val="clear"/>
        <w:kinsoku/>
        <w:wordWrap/>
        <w:overflowPunct/>
        <w:topLinePunct w:val="0"/>
        <w:autoSpaceDE/>
        <w:autoSpaceDN/>
        <w:bidi w:val="0"/>
        <w:adjustRightInd/>
        <w:snapToGrid/>
        <w:spacing w:line="440" w:lineRule="exact"/>
        <w:ind w:leftChars="-350"/>
        <w:textAlignment w:val="auto"/>
        <w:outlineLvl w:val="0"/>
        <w:rPr>
          <w:rFonts w:hint="eastAsia" w:ascii="仿宋_GB2312" w:hAnsi="仿宋_GB2312" w:eastAsia="仿宋_GB2312" w:cs="仿宋_GB2312"/>
          <w:color w:val="auto"/>
          <w:sz w:val="28"/>
          <w:szCs w:val="28"/>
          <w:highlight w:val="none"/>
        </w:rPr>
      </w:pPr>
    </w:p>
    <w:p w14:paraId="2961254F">
      <w:pPr>
        <w:keepNext w:val="0"/>
        <w:keepLines w:val="0"/>
        <w:pageBreakBefore w:val="0"/>
        <w:numPr>
          <w:ilvl w:val="0"/>
          <w:numId w:val="0"/>
        </w:numPr>
        <w:shd w:val="clear"/>
        <w:kinsoku/>
        <w:wordWrap/>
        <w:overflowPunct/>
        <w:topLinePunct w:val="0"/>
        <w:autoSpaceDE/>
        <w:autoSpaceDN/>
        <w:bidi w:val="0"/>
        <w:adjustRightInd/>
        <w:snapToGrid/>
        <w:spacing w:line="440" w:lineRule="exact"/>
        <w:ind w:leftChars="-350"/>
        <w:textAlignment w:val="auto"/>
        <w:outlineLvl w:val="0"/>
        <w:rPr>
          <w:rFonts w:hint="eastAsia" w:ascii="仿宋_GB2312" w:hAnsi="仿宋_GB2312" w:eastAsia="仿宋_GB2312" w:cs="仿宋_GB2312"/>
          <w:color w:val="auto"/>
          <w:sz w:val="28"/>
          <w:szCs w:val="28"/>
          <w:highlight w:val="none"/>
        </w:rPr>
      </w:pPr>
    </w:p>
    <w:p w14:paraId="40ADCBF6">
      <w:pPr>
        <w:keepNext w:val="0"/>
        <w:keepLines w:val="0"/>
        <w:pageBreakBefore w:val="0"/>
        <w:shd w:val="clear"/>
        <w:kinsoku/>
        <w:wordWrap/>
        <w:overflowPunct/>
        <w:topLinePunct w:val="0"/>
        <w:autoSpaceDE/>
        <w:autoSpaceDN/>
        <w:bidi w:val="0"/>
        <w:adjustRightInd/>
        <w:snapToGrid/>
        <w:spacing w:line="440" w:lineRule="exact"/>
        <w:textAlignment w:val="auto"/>
        <w:outlineLvl w:val="0"/>
        <w:rPr>
          <w:rFonts w:hint="eastAsia" w:ascii="仿宋_GB2312" w:hAnsi="仿宋_GB2312" w:eastAsia="仿宋_GB2312" w:cs="仿宋_GB2312"/>
          <w:color w:val="auto"/>
          <w:kern w:val="10"/>
          <w:sz w:val="28"/>
          <w:szCs w:val="28"/>
          <w:highlight w:val="none"/>
          <w:u w:val="single"/>
          <w:lang w:bidi="en-US"/>
        </w:rPr>
      </w:pPr>
      <w:r>
        <w:rPr>
          <w:rFonts w:hint="eastAsia" w:ascii="仿宋_GB2312" w:hAnsi="仿宋_GB2312" w:eastAsia="仿宋_GB2312" w:cs="仿宋_GB2312"/>
          <w:color w:val="auto"/>
          <w:sz w:val="28"/>
          <w:szCs w:val="28"/>
          <w:highlight w:val="none"/>
        </w:rPr>
        <w:t>承 包 人（盖章）：            分 包 人（盖章）：</w:t>
      </w:r>
    </w:p>
    <w:p w14:paraId="0E9ADE63">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法定代表人或</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法定代表人或</w:t>
      </w:r>
    </w:p>
    <w:p w14:paraId="0DFC586E">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委托代理人（签字）：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委托代理人（签字）：            </w:t>
      </w:r>
    </w:p>
    <w:p w14:paraId="3A534345">
      <w:pPr>
        <w:keepNext w:val="0"/>
        <w:keepLines w:val="0"/>
        <w:pageBreakBefore w:val="0"/>
        <w:shd w:val="clear"/>
        <w:kinsoku/>
        <w:wordWrap/>
        <w:overflowPunct/>
        <w:topLinePunct w:val="0"/>
        <w:autoSpaceDE/>
        <w:autoSpaceDN/>
        <w:bidi w:val="0"/>
        <w:adjustRightInd/>
        <w:snapToGrid/>
        <w:spacing w:line="440" w:lineRule="exact"/>
        <w:ind w:left="0" w:hanging="980" w:hangingChars="350"/>
        <w:textAlignment w:val="auto"/>
        <w:outlineLvl w:val="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2025年6月18日</w:t>
      </w:r>
      <w:r>
        <w:rPr>
          <w:rFonts w:hint="eastAsia" w:ascii="仿宋_GB2312" w:hAnsi="仿宋_GB2312" w:eastAsia="仿宋_GB2312" w:cs="仿宋_GB2312"/>
          <w:color w:val="auto"/>
          <w:sz w:val="28"/>
          <w:szCs w:val="28"/>
          <w:highlight w:val="none"/>
          <w:lang w:eastAsia="zh-CN"/>
        </w:rPr>
        <w:t xml:space="preserve"> </w:t>
      </w: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en-US" w:eastAsia="zh-CN"/>
        </w:rPr>
        <w:t>2025年6月18日</w:t>
      </w:r>
      <w:r>
        <w:rPr>
          <w:rFonts w:hint="eastAsia" w:ascii="仿宋_GB2312" w:hAnsi="仿宋_GB2312" w:eastAsia="仿宋_GB2312" w:cs="仿宋_GB2312"/>
          <w:color w:val="auto"/>
          <w:sz w:val="28"/>
          <w:szCs w:val="28"/>
          <w:highlight w:val="none"/>
          <w:lang w:eastAsia="zh-CN"/>
        </w:rPr>
        <w:t xml:space="preserve"> </w:t>
      </w:r>
    </w:p>
    <w:p w14:paraId="1161876B">
      <w:pPr>
        <w:keepNext w:val="0"/>
        <w:keepLines w:val="0"/>
        <w:pageBreakBefore w:val="0"/>
        <w:shd w:val="clear"/>
        <w:kinsoku/>
        <w:wordWrap/>
        <w:overflowPunct/>
        <w:topLinePunct w:val="0"/>
        <w:autoSpaceDE/>
        <w:autoSpaceDN/>
        <w:bidi w:val="0"/>
        <w:adjustRightInd/>
        <w:snapToGrid/>
        <w:spacing w:line="400" w:lineRule="exact"/>
        <w:ind w:left="0" w:hanging="980" w:hangingChars="350"/>
        <w:textAlignment w:val="auto"/>
        <w:outlineLvl w:val="0"/>
        <w:rPr>
          <w:rFonts w:hint="eastAsia" w:ascii="仿宋" w:hAnsi="仿宋" w:eastAsia="仿宋" w:cs="仿宋"/>
          <w:color w:val="auto"/>
          <w:sz w:val="28"/>
          <w:szCs w:val="28"/>
          <w:highlight w:val="none"/>
          <w:lang w:eastAsia="zh-CN"/>
        </w:rPr>
      </w:pPr>
    </w:p>
    <w:p w14:paraId="34C3A514">
      <w:pPr>
        <w:keepNext w:val="0"/>
        <w:keepLines w:val="0"/>
        <w:pageBreakBefore w:val="0"/>
        <w:shd w:val="clear"/>
        <w:kinsoku/>
        <w:wordWrap/>
        <w:overflowPunct/>
        <w:topLinePunct w:val="0"/>
        <w:autoSpaceDE/>
        <w:autoSpaceDN/>
        <w:bidi w:val="0"/>
        <w:adjustRightInd/>
        <w:snapToGrid/>
        <w:spacing w:line="400" w:lineRule="exact"/>
        <w:ind w:left="0" w:hanging="980" w:hangingChars="350"/>
        <w:textAlignment w:val="auto"/>
        <w:outlineLvl w:val="0"/>
        <w:rPr>
          <w:rFonts w:hint="eastAsia" w:ascii="仿宋" w:hAnsi="仿宋" w:eastAsia="仿宋" w:cs="仿宋"/>
          <w:color w:val="auto"/>
          <w:sz w:val="28"/>
          <w:szCs w:val="28"/>
          <w:highlight w:val="none"/>
          <w:lang w:eastAsia="zh-CN"/>
        </w:rPr>
      </w:pPr>
    </w:p>
    <w:p w14:paraId="0BF3BA5F">
      <w:pPr>
        <w:shd w:val="clear"/>
        <w:spacing w:line="480" w:lineRule="exact"/>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附件8</w:t>
      </w:r>
    </w:p>
    <w:p w14:paraId="55EFB568">
      <w:pPr>
        <w:shd w:val="clear"/>
        <w:spacing w:line="480" w:lineRule="exact"/>
        <w:jc w:val="center"/>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施工现场安全生产管理协议</w:t>
      </w:r>
    </w:p>
    <w:p w14:paraId="1A4FDBAA">
      <w:pPr>
        <w:shd w:val="clea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甲方（承包人）：【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6EA9EB6E">
      <w:pPr>
        <w:shd w:val="clear"/>
        <w:spacing w:line="480" w:lineRule="exact"/>
        <w:jc w:val="left"/>
        <w:rPr>
          <w:rFonts w:ascii="仿宋_GB2312" w:eastAsia="仿宋_GB2312" w:hAnsiTheme="minorEastAsia" w:cstheme="minorEastAsia"/>
          <w:color w:val="auto"/>
          <w:sz w:val="28"/>
          <w:szCs w:val="28"/>
          <w:highlight w:val="none"/>
        </w:rPr>
      </w:pPr>
      <w:r>
        <w:rPr>
          <w:rFonts w:hint="eastAsia" w:ascii="仿宋_GB2312" w:hAnsi="仿宋_GB2312" w:eastAsia="仿宋_GB2312" w:cs="仿宋_GB2312"/>
          <w:b/>
          <w:color w:val="auto"/>
          <w:sz w:val="28"/>
          <w:szCs w:val="28"/>
          <w:highlight w:val="none"/>
        </w:rPr>
        <w:t>乙方（分包人）：【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0E666496">
      <w:pPr>
        <w:pStyle w:val="10"/>
        <w:keepNext w:val="0"/>
        <w:keepLines w:val="0"/>
        <w:pageBreakBefore w:val="0"/>
        <w:widowControl w:val="0"/>
        <w:shd w:val="clear"/>
        <w:kinsoku/>
        <w:wordWrap/>
        <w:overflowPunct/>
        <w:topLinePunct w:val="0"/>
        <w:bidi w:val="0"/>
        <w:snapToGrid/>
        <w:spacing w:after="0" w:line="440" w:lineRule="exact"/>
        <w:ind w:left="0" w:leftChars="0" w:firstLine="560" w:firstLineChars="200"/>
        <w:jc w:val="both"/>
        <w:textAlignment w:val="auto"/>
        <w:rPr>
          <w:rFonts w:hint="eastAsia" w:ascii="仿宋_GB2312" w:hAnsi="仿宋_GB2312" w:eastAsia="仿宋_GB2312" w:cs="仿宋_GB2312"/>
          <w:b w:val="0"/>
          <w:bCs w:val="0"/>
          <w:color w:val="auto"/>
          <w:kern w:val="2"/>
          <w:sz w:val="28"/>
          <w:szCs w:val="28"/>
          <w:highlight w:val="none"/>
          <w:u w:val="none"/>
          <w:lang w:val="en-US" w:eastAsia="zh-CN" w:bidi="ar-SA"/>
        </w:rPr>
      </w:pPr>
      <w:r>
        <w:rPr>
          <w:rFonts w:hint="eastAsia" w:ascii="仿宋_GB2312" w:hAnsi="仿宋_GB2312" w:eastAsia="仿宋_GB2312" w:cs="仿宋_GB2312"/>
          <w:b w:val="0"/>
          <w:bCs w:val="0"/>
          <w:color w:val="auto"/>
          <w:kern w:val="2"/>
          <w:sz w:val="28"/>
          <w:szCs w:val="28"/>
          <w:highlight w:val="none"/>
          <w:u w:val="none"/>
          <w:lang w:val="en-US" w:eastAsia="zh-CN" w:bidi="ar-SA"/>
        </w:rPr>
        <w:t>为进一步落实安全生产、文明施工责任制，明确在施工过程中各方的安全、文明施工责任，预防和杜绝重大安全事故的发生，根据《中华人民共和国建筑法》、《中华人民共和国安全生产法》、《建筑工程安全生产管理条例》、《施工现场临时用电安全技术规范》等有关法律、法规，结合项目实际，特制定本协议书。</w:t>
      </w:r>
    </w:p>
    <w:p w14:paraId="348CD267">
      <w:pPr>
        <w:pStyle w:val="10"/>
        <w:keepNext w:val="0"/>
        <w:keepLines w:val="0"/>
        <w:pageBreakBefore w:val="0"/>
        <w:widowControl w:val="0"/>
        <w:shd w:val="clear"/>
        <w:kinsoku/>
        <w:wordWrap/>
        <w:overflowPunct/>
        <w:topLinePunct w:val="0"/>
        <w:bidi w:val="0"/>
        <w:snapToGrid/>
        <w:spacing w:after="0" w:line="440" w:lineRule="exact"/>
        <w:ind w:left="0" w:leftChars="0" w:firstLine="562" w:firstLineChars="200"/>
        <w:jc w:val="both"/>
        <w:textAlignment w:val="auto"/>
        <w:rPr>
          <w:rFonts w:hint="eastAsia" w:ascii="仿宋_GB2312" w:hAnsi="仿宋_GB2312" w:eastAsia="仿宋_GB2312" w:cs="仿宋_GB2312"/>
          <w:b/>
          <w:bCs/>
          <w:color w:val="auto"/>
          <w:kern w:val="2"/>
          <w:sz w:val="28"/>
          <w:szCs w:val="28"/>
          <w:highlight w:val="none"/>
          <w:u w:val="none"/>
          <w:lang w:val="en-US" w:eastAsia="zh-CN" w:bidi="ar-SA"/>
        </w:rPr>
      </w:pPr>
      <w:r>
        <w:rPr>
          <w:rFonts w:hint="eastAsia" w:ascii="仿宋_GB2312" w:hAnsi="仿宋_GB2312" w:eastAsia="仿宋_GB2312" w:cs="仿宋_GB2312"/>
          <w:b/>
          <w:bCs/>
          <w:color w:val="auto"/>
          <w:kern w:val="2"/>
          <w:sz w:val="28"/>
          <w:szCs w:val="28"/>
          <w:highlight w:val="none"/>
          <w:u w:val="none"/>
          <w:lang w:val="en-US" w:eastAsia="zh-CN" w:bidi="ar-SA"/>
        </w:rPr>
        <w:t>1.工程概况</w:t>
      </w:r>
    </w:p>
    <w:p w14:paraId="50170BD0">
      <w:pPr>
        <w:pStyle w:val="10"/>
        <w:keepNext w:val="0"/>
        <w:keepLines w:val="0"/>
        <w:pageBreakBefore w:val="0"/>
        <w:widowControl w:val="0"/>
        <w:shd w:val="clear"/>
        <w:kinsoku/>
        <w:wordWrap/>
        <w:overflowPunct/>
        <w:topLinePunct w:val="0"/>
        <w:bidi w:val="0"/>
        <w:snapToGrid/>
        <w:spacing w:after="0" w:line="440" w:lineRule="exact"/>
        <w:ind w:left="0" w:leftChars="0" w:firstLine="560" w:firstLineChars="200"/>
        <w:jc w:val="both"/>
        <w:textAlignment w:val="auto"/>
        <w:rPr>
          <w:rFonts w:hint="eastAsia" w:ascii="仿宋_GB2312" w:hAnsi="仿宋_GB2312" w:eastAsia="仿宋_GB2312" w:cs="仿宋_GB2312"/>
          <w:color w:val="auto"/>
          <w:kern w:val="2"/>
          <w:sz w:val="28"/>
          <w:szCs w:val="28"/>
          <w:highlight w:val="none"/>
          <w:u w:val="none"/>
          <w:lang w:val="en-US" w:eastAsia="zh-CN" w:bidi="ar-SA"/>
        </w:rPr>
      </w:pPr>
      <w:r>
        <w:rPr>
          <w:rFonts w:hint="eastAsia" w:ascii="仿宋_GB2312" w:hAnsi="仿宋_GB2312" w:eastAsia="仿宋_GB2312" w:cs="仿宋_GB2312"/>
          <w:color w:val="auto"/>
          <w:kern w:val="2"/>
          <w:sz w:val="28"/>
          <w:szCs w:val="28"/>
          <w:highlight w:val="none"/>
          <w:u w:val="none"/>
          <w:lang w:val="en-US" w:eastAsia="zh-CN" w:bidi="ar-SA"/>
        </w:rPr>
        <w:t>1.1工程名称：【</w:t>
      </w:r>
      <w:r>
        <w:rPr>
          <w:rFonts w:hint="eastAsia" w:ascii="仿宋_GB2312" w:hAnsi="仿宋_GB2312" w:eastAsia="仿宋_GB2312" w:cs="仿宋_GB2312"/>
          <w:b w:val="0"/>
          <w:bCs w:val="0"/>
          <w:i w:val="0"/>
          <w:caps w:val="0"/>
          <w:color w:val="auto"/>
          <w:spacing w:val="0"/>
          <w:sz w:val="28"/>
          <w:szCs w:val="28"/>
          <w:highlight w:val="none"/>
          <w:u w:val="none"/>
          <w:lang w:val="en-US" w:eastAsia="zh-CN"/>
        </w:rPr>
        <w:t>广西大学机械教学实验中心大楼项目精装修工程</w:t>
      </w:r>
      <w:r>
        <w:rPr>
          <w:rFonts w:hint="eastAsia" w:ascii="仿宋_GB2312" w:hAnsi="仿宋_GB2312" w:eastAsia="仿宋_GB2312" w:cs="仿宋_GB2312"/>
          <w:color w:val="auto"/>
          <w:kern w:val="2"/>
          <w:sz w:val="28"/>
          <w:szCs w:val="28"/>
          <w:highlight w:val="none"/>
          <w:u w:val="none"/>
          <w:lang w:val="en-US" w:eastAsia="zh-CN" w:bidi="ar-SA"/>
        </w:rPr>
        <w:t>】</w:t>
      </w:r>
    </w:p>
    <w:p w14:paraId="3E398C15">
      <w:pPr>
        <w:pStyle w:val="10"/>
        <w:keepNext w:val="0"/>
        <w:keepLines w:val="0"/>
        <w:pageBreakBefore w:val="0"/>
        <w:widowControl w:val="0"/>
        <w:shd w:val="clear"/>
        <w:kinsoku/>
        <w:wordWrap/>
        <w:overflowPunct/>
        <w:topLinePunct w:val="0"/>
        <w:bidi w:val="0"/>
        <w:snapToGrid/>
        <w:spacing w:after="0" w:line="440" w:lineRule="exact"/>
        <w:ind w:left="0" w:leftChars="0" w:firstLine="560" w:firstLineChars="200"/>
        <w:jc w:val="both"/>
        <w:textAlignment w:val="auto"/>
        <w:rPr>
          <w:rFonts w:hint="eastAsia" w:ascii="仿宋_GB2312" w:hAnsi="仿宋_GB2312" w:eastAsia="仿宋_GB2312" w:cs="仿宋_GB2312"/>
          <w:color w:val="auto"/>
          <w:kern w:val="2"/>
          <w:sz w:val="28"/>
          <w:szCs w:val="28"/>
          <w:highlight w:val="none"/>
          <w:u w:val="none"/>
          <w:lang w:val="en-US" w:eastAsia="zh-CN" w:bidi="ar-SA"/>
        </w:rPr>
      </w:pPr>
      <w:r>
        <w:rPr>
          <w:rFonts w:hint="eastAsia" w:ascii="仿宋_GB2312" w:hAnsi="仿宋_GB2312" w:eastAsia="仿宋_GB2312" w:cs="仿宋_GB2312"/>
          <w:color w:val="auto"/>
          <w:kern w:val="2"/>
          <w:sz w:val="28"/>
          <w:szCs w:val="28"/>
          <w:highlight w:val="none"/>
          <w:u w:val="none"/>
          <w:lang w:val="en-US" w:eastAsia="zh-CN" w:bidi="ar-SA"/>
        </w:rPr>
        <w:t>1.2工程地点：【</w:t>
      </w:r>
      <w:r>
        <w:rPr>
          <w:rFonts w:hint="eastAsia" w:ascii="仿宋_GB2312" w:hAnsi="仿宋_GB2312" w:eastAsia="仿宋_GB2312" w:cs="仿宋_GB2312"/>
          <w:color w:val="auto"/>
          <w:sz w:val="28"/>
          <w:szCs w:val="28"/>
          <w:highlight w:val="none"/>
          <w:u w:val="none"/>
          <w:shd w:val="clear" w:color="auto" w:fill="FFFFFF"/>
          <w:lang w:val="en-US" w:eastAsia="zh-CN"/>
        </w:rPr>
        <w:t>南宁市大学东路100号广西大学校园内</w:t>
      </w:r>
      <w:r>
        <w:rPr>
          <w:rFonts w:hint="eastAsia" w:ascii="仿宋_GB2312" w:hAnsi="仿宋_GB2312" w:eastAsia="仿宋_GB2312" w:cs="仿宋_GB2312"/>
          <w:color w:val="auto"/>
          <w:kern w:val="2"/>
          <w:sz w:val="28"/>
          <w:szCs w:val="28"/>
          <w:highlight w:val="none"/>
          <w:u w:val="none"/>
          <w:lang w:val="en-US" w:eastAsia="zh-CN" w:bidi="ar-SA"/>
        </w:rPr>
        <w:t>】</w:t>
      </w:r>
    </w:p>
    <w:p w14:paraId="4039E990">
      <w:pPr>
        <w:pStyle w:val="10"/>
        <w:keepNext w:val="0"/>
        <w:keepLines w:val="0"/>
        <w:pageBreakBefore w:val="0"/>
        <w:widowControl w:val="0"/>
        <w:shd w:val="clear"/>
        <w:kinsoku/>
        <w:wordWrap/>
        <w:overflowPunct/>
        <w:topLinePunct w:val="0"/>
        <w:bidi w:val="0"/>
        <w:snapToGrid/>
        <w:spacing w:after="0" w:line="440" w:lineRule="exact"/>
        <w:ind w:left="0" w:leftChars="0"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kern w:val="2"/>
          <w:sz w:val="28"/>
          <w:szCs w:val="28"/>
          <w:highlight w:val="none"/>
          <w:u w:val="none"/>
          <w:lang w:val="en-US" w:eastAsia="zh-CN" w:bidi="ar-SA"/>
        </w:rPr>
        <w:t>1.3工程内容：【</w:t>
      </w:r>
      <w:r>
        <w:rPr>
          <w:rFonts w:hint="eastAsia" w:ascii="仿宋_GB2312" w:hAnsi="仿宋_GB2312" w:eastAsia="仿宋_GB2312" w:cs="仿宋_GB2312"/>
          <w:b w:val="0"/>
          <w:bCs w:val="0"/>
          <w:i w:val="0"/>
          <w:caps w:val="0"/>
          <w:color w:val="auto"/>
          <w:spacing w:val="0"/>
          <w:sz w:val="28"/>
          <w:szCs w:val="28"/>
          <w:highlight w:val="none"/>
          <w:u w:val="none"/>
          <w:lang w:val="en-US" w:eastAsia="zh-CN"/>
        </w:rPr>
        <w:t>广西大学机械教学实验中心大楼项目精装修工程</w:t>
      </w:r>
      <w:r>
        <w:rPr>
          <w:rFonts w:hint="eastAsia" w:ascii="仿宋_GB2312" w:hAnsi="仿宋_GB2312" w:eastAsia="仿宋_GB2312" w:cs="仿宋_GB2312"/>
          <w:color w:val="auto"/>
          <w:sz w:val="28"/>
          <w:szCs w:val="28"/>
          <w:highlight w:val="none"/>
          <w:u w:val="none"/>
          <w:lang w:eastAsia="zh-CN"/>
        </w:rPr>
        <w:t>全部相关工作内容</w:t>
      </w:r>
      <w:r>
        <w:rPr>
          <w:rFonts w:hint="eastAsia" w:ascii="仿宋_GB2312" w:hAnsi="仿宋_GB2312" w:eastAsia="仿宋_GB2312" w:cs="仿宋_GB2312"/>
          <w:color w:val="auto"/>
          <w:kern w:val="2"/>
          <w:sz w:val="28"/>
          <w:szCs w:val="28"/>
          <w:highlight w:val="none"/>
          <w:u w:val="none"/>
          <w:lang w:val="en-US" w:eastAsia="zh-CN" w:bidi="ar-SA"/>
        </w:rPr>
        <w:t>】</w:t>
      </w:r>
    </w:p>
    <w:p w14:paraId="2CCE4F69">
      <w:pPr>
        <w:keepNext w:val="0"/>
        <w:keepLines w:val="0"/>
        <w:pageBreakBefore w:val="0"/>
        <w:widowControl w:val="0"/>
        <w:shd w:val="clear"/>
        <w:kinsoku/>
        <w:wordWrap/>
        <w:overflowPunct/>
        <w:topLinePunct w:val="0"/>
        <w:bidi w:val="0"/>
        <w:snapToGrid/>
        <w:spacing w:line="440" w:lineRule="exact"/>
        <w:ind w:firstLine="562" w:firstLineChars="200"/>
        <w:jc w:val="both"/>
        <w:textAlignment w:val="auto"/>
        <w:rPr>
          <w:rFonts w:hint="eastAsia" w:ascii="仿宋_GB2312" w:hAnsi="仿宋_GB2312" w:eastAsia="仿宋_GB2312" w:cs="仿宋_GB2312"/>
          <w:b/>
          <w:bCs/>
          <w:color w:val="auto"/>
          <w:sz w:val="28"/>
          <w:szCs w:val="28"/>
          <w:highlight w:val="none"/>
          <w:u w:val="none"/>
        </w:rPr>
      </w:pPr>
      <w:r>
        <w:rPr>
          <w:rFonts w:hint="eastAsia" w:ascii="仿宋_GB2312" w:hAnsi="仿宋_GB2312" w:eastAsia="仿宋_GB2312" w:cs="仿宋_GB2312"/>
          <w:b/>
          <w:bCs/>
          <w:color w:val="auto"/>
          <w:sz w:val="28"/>
          <w:szCs w:val="28"/>
          <w:highlight w:val="none"/>
          <w:u w:val="none"/>
          <w:lang w:val="en-US" w:eastAsia="zh-CN"/>
        </w:rPr>
        <w:t>2.</w:t>
      </w:r>
      <w:r>
        <w:rPr>
          <w:rFonts w:hint="eastAsia" w:ascii="仿宋_GB2312" w:hAnsi="仿宋_GB2312" w:eastAsia="仿宋_GB2312" w:cs="仿宋_GB2312"/>
          <w:b/>
          <w:bCs/>
          <w:color w:val="auto"/>
          <w:sz w:val="28"/>
          <w:szCs w:val="28"/>
          <w:highlight w:val="none"/>
          <w:u w:val="none"/>
        </w:rPr>
        <w:t>管理目标</w:t>
      </w:r>
    </w:p>
    <w:p w14:paraId="6BFB427D">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b w:val="0"/>
          <w:bCs w:val="0"/>
          <w:color w:val="auto"/>
          <w:sz w:val="28"/>
          <w:szCs w:val="28"/>
          <w:highlight w:val="none"/>
          <w:u w:val="none"/>
          <w:lang w:val="en-US" w:eastAsia="zh-CN"/>
        </w:rPr>
      </w:pPr>
      <w:r>
        <w:rPr>
          <w:rFonts w:hint="eastAsia" w:ascii="仿宋_GB2312" w:hAnsi="仿宋_GB2312" w:eastAsia="仿宋_GB2312" w:cs="仿宋_GB2312"/>
          <w:b w:val="0"/>
          <w:bCs w:val="0"/>
          <w:color w:val="auto"/>
          <w:sz w:val="28"/>
          <w:szCs w:val="28"/>
          <w:highlight w:val="none"/>
          <w:u w:val="none"/>
          <w:lang w:val="en-US" w:eastAsia="zh-CN"/>
        </w:rPr>
        <w:t>2.1 现场杜绝重伤、死亡事故的发生；</w:t>
      </w:r>
    </w:p>
    <w:p w14:paraId="617D184B">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b w:val="0"/>
          <w:bCs w:val="0"/>
          <w:color w:val="auto"/>
          <w:sz w:val="28"/>
          <w:szCs w:val="28"/>
          <w:highlight w:val="none"/>
          <w:u w:val="none"/>
          <w:lang w:val="en-US" w:eastAsia="zh-CN"/>
        </w:rPr>
      </w:pPr>
      <w:r>
        <w:rPr>
          <w:rFonts w:hint="eastAsia" w:ascii="仿宋_GB2312" w:hAnsi="仿宋_GB2312" w:eastAsia="仿宋_GB2312" w:cs="仿宋_GB2312"/>
          <w:b w:val="0"/>
          <w:bCs w:val="0"/>
          <w:color w:val="auto"/>
          <w:sz w:val="28"/>
          <w:szCs w:val="28"/>
          <w:highlight w:val="none"/>
          <w:u w:val="none"/>
          <w:lang w:val="en-US" w:eastAsia="zh-CN"/>
        </w:rPr>
        <w:t>2.2 场内的安全隐患整改率保证在规定时限内达到100%，杜绝现场重大隐患、违章事件发生，严禁有触犯局十条零容忍和重大事故隐患判定标准的隐患；</w:t>
      </w:r>
    </w:p>
    <w:p w14:paraId="564A5698">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b w:val="0"/>
          <w:bCs w:val="0"/>
          <w:color w:val="auto"/>
          <w:sz w:val="28"/>
          <w:szCs w:val="28"/>
          <w:highlight w:val="none"/>
          <w:u w:val="none"/>
          <w:lang w:val="en-US" w:eastAsia="zh-CN"/>
        </w:rPr>
      </w:pPr>
      <w:r>
        <w:rPr>
          <w:rFonts w:hint="eastAsia" w:ascii="仿宋_GB2312" w:hAnsi="仿宋_GB2312" w:eastAsia="仿宋_GB2312" w:cs="仿宋_GB2312"/>
          <w:b w:val="0"/>
          <w:bCs w:val="0"/>
          <w:color w:val="auto"/>
          <w:sz w:val="28"/>
          <w:szCs w:val="28"/>
          <w:highlight w:val="none"/>
          <w:u w:val="none"/>
          <w:lang w:val="en-US" w:eastAsia="zh-CN"/>
        </w:rPr>
        <w:t>2.3 做好施工现场的卫生防疫和食品卫生工作，采取有效措施防止传染病和食物中毒事件发生，采购的肉质食品必须有合格证，且每日三餐必须进行菜品留样；</w:t>
      </w:r>
    </w:p>
    <w:p w14:paraId="578447B6">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b w:val="0"/>
          <w:bCs w:val="0"/>
          <w:color w:val="auto"/>
          <w:sz w:val="28"/>
          <w:szCs w:val="28"/>
          <w:highlight w:val="none"/>
          <w:u w:val="none"/>
          <w:lang w:val="en-US" w:eastAsia="zh-CN"/>
        </w:rPr>
      </w:pPr>
      <w:r>
        <w:rPr>
          <w:rFonts w:hint="eastAsia" w:ascii="仿宋_GB2312" w:hAnsi="仿宋_GB2312" w:eastAsia="仿宋_GB2312" w:cs="仿宋_GB2312"/>
          <w:b w:val="0"/>
          <w:bCs w:val="0"/>
          <w:color w:val="auto"/>
          <w:sz w:val="28"/>
          <w:szCs w:val="28"/>
          <w:highlight w:val="none"/>
          <w:u w:val="none"/>
          <w:lang w:val="en-US" w:eastAsia="zh-CN"/>
        </w:rPr>
        <w:t>2.4 确保符合甲方CI战略的要求；</w:t>
      </w:r>
    </w:p>
    <w:p w14:paraId="254B6BAD">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b w:val="0"/>
          <w:bCs w:val="0"/>
          <w:color w:val="auto"/>
          <w:sz w:val="28"/>
          <w:szCs w:val="28"/>
          <w:highlight w:val="none"/>
          <w:u w:val="none"/>
          <w:lang w:val="en-US" w:eastAsia="zh-CN"/>
        </w:rPr>
      </w:pPr>
      <w:r>
        <w:rPr>
          <w:rFonts w:hint="eastAsia" w:ascii="仿宋_GB2312" w:hAnsi="仿宋_GB2312" w:eastAsia="仿宋_GB2312" w:cs="仿宋_GB2312"/>
          <w:b w:val="0"/>
          <w:bCs w:val="0"/>
          <w:color w:val="auto"/>
          <w:sz w:val="28"/>
          <w:szCs w:val="28"/>
          <w:highlight w:val="none"/>
          <w:u w:val="none"/>
          <w:lang w:val="en-US" w:eastAsia="zh-CN"/>
        </w:rPr>
        <w:t>2.5 落实工程所在地政府治理大气污染、噪音固体废弃物等的措施，继续治理施工现场扬尘污染，共同实现治理目标；</w:t>
      </w:r>
    </w:p>
    <w:p w14:paraId="34AE1AD6">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b w:val="0"/>
          <w:bCs w:val="0"/>
          <w:color w:val="auto"/>
          <w:sz w:val="28"/>
          <w:szCs w:val="28"/>
          <w:highlight w:val="none"/>
          <w:u w:val="none"/>
          <w:lang w:val="en-US" w:eastAsia="zh-CN"/>
        </w:rPr>
      </w:pPr>
      <w:r>
        <w:rPr>
          <w:rFonts w:hint="eastAsia" w:ascii="仿宋_GB2312" w:hAnsi="仿宋_GB2312" w:eastAsia="仿宋_GB2312" w:cs="仿宋_GB2312"/>
          <w:b w:val="0"/>
          <w:bCs w:val="0"/>
          <w:color w:val="auto"/>
          <w:sz w:val="28"/>
          <w:szCs w:val="28"/>
          <w:highlight w:val="none"/>
          <w:u w:val="none"/>
          <w:lang w:val="en-US" w:eastAsia="zh-CN"/>
        </w:rPr>
        <w:t>2.6 严格施工现场明火作业制度，加强监管，施工现场不发生火灾火警事故。</w:t>
      </w:r>
    </w:p>
    <w:p w14:paraId="36A07E8B">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b w:val="0"/>
          <w:bCs w:val="0"/>
          <w:color w:val="auto"/>
          <w:sz w:val="28"/>
          <w:szCs w:val="28"/>
          <w:highlight w:val="none"/>
          <w:u w:val="none"/>
          <w:lang w:val="en-US" w:eastAsia="zh-CN"/>
        </w:rPr>
      </w:pPr>
      <w:r>
        <w:rPr>
          <w:rFonts w:hint="eastAsia" w:ascii="仿宋_GB2312" w:hAnsi="仿宋_GB2312" w:eastAsia="仿宋_GB2312" w:cs="仿宋_GB2312"/>
          <w:b w:val="0"/>
          <w:bCs w:val="0"/>
          <w:color w:val="auto"/>
          <w:sz w:val="28"/>
          <w:szCs w:val="28"/>
          <w:highlight w:val="none"/>
          <w:u w:val="none"/>
          <w:lang w:val="en-US" w:eastAsia="zh-CN"/>
        </w:rPr>
        <w:t>2.7 做好施工现场的保卫工作，杜绝重大刑事案件发生。</w:t>
      </w:r>
    </w:p>
    <w:p w14:paraId="0CFAFA3F">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b w:val="0"/>
          <w:bCs w:val="0"/>
          <w:color w:val="auto"/>
          <w:sz w:val="28"/>
          <w:szCs w:val="28"/>
          <w:highlight w:val="none"/>
          <w:u w:val="none"/>
          <w:lang w:val="en-US" w:eastAsia="zh-CN"/>
        </w:rPr>
      </w:pPr>
      <w:r>
        <w:rPr>
          <w:rFonts w:hint="eastAsia" w:ascii="仿宋_GB2312" w:hAnsi="仿宋_GB2312" w:eastAsia="仿宋_GB2312" w:cs="仿宋_GB2312"/>
          <w:b w:val="0"/>
          <w:bCs w:val="0"/>
          <w:color w:val="auto"/>
          <w:sz w:val="28"/>
          <w:szCs w:val="28"/>
          <w:highlight w:val="none"/>
          <w:u w:val="none"/>
          <w:lang w:val="en-US" w:eastAsia="zh-CN"/>
        </w:rPr>
        <w:t>2.8 乙方进入现场的工作人员三级安全教育率应达到100%。</w:t>
      </w:r>
    </w:p>
    <w:p w14:paraId="0AB82319">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b w:val="0"/>
          <w:bCs w:val="0"/>
          <w:color w:val="auto"/>
          <w:sz w:val="28"/>
          <w:szCs w:val="28"/>
          <w:highlight w:val="none"/>
          <w:u w:val="none"/>
          <w:lang w:val="en-US" w:eastAsia="zh-CN"/>
        </w:rPr>
      </w:pPr>
      <w:r>
        <w:rPr>
          <w:rFonts w:hint="eastAsia" w:ascii="仿宋_GB2312" w:hAnsi="仿宋_GB2312" w:eastAsia="仿宋_GB2312" w:cs="仿宋_GB2312"/>
          <w:b w:val="0"/>
          <w:bCs w:val="0"/>
          <w:color w:val="auto"/>
          <w:sz w:val="28"/>
          <w:szCs w:val="28"/>
          <w:highlight w:val="none"/>
          <w:u w:val="none"/>
          <w:lang w:val="en-US" w:eastAsia="zh-CN"/>
        </w:rPr>
        <w:t>2.9 确保施工现场临时用水、用电安全，规范施工用电、用水行为。</w:t>
      </w:r>
    </w:p>
    <w:p w14:paraId="18C6E3E0">
      <w:pPr>
        <w:keepNext w:val="0"/>
        <w:keepLines w:val="0"/>
        <w:pageBreakBefore w:val="0"/>
        <w:widowControl w:val="0"/>
        <w:shd w:val="clear"/>
        <w:kinsoku/>
        <w:wordWrap/>
        <w:overflowPunct/>
        <w:topLinePunct w:val="0"/>
        <w:bidi w:val="0"/>
        <w:snapToGrid/>
        <w:spacing w:line="440" w:lineRule="exact"/>
        <w:ind w:firstLine="562" w:firstLineChars="200"/>
        <w:jc w:val="both"/>
        <w:textAlignment w:val="auto"/>
        <w:rPr>
          <w:rFonts w:hint="eastAsia" w:ascii="仿宋_GB2312" w:hAnsi="仿宋_GB2312" w:eastAsia="仿宋_GB2312" w:cs="仿宋_GB2312"/>
          <w:b/>
          <w:bCs/>
          <w:color w:val="auto"/>
          <w:sz w:val="28"/>
          <w:szCs w:val="28"/>
          <w:highlight w:val="none"/>
          <w:u w:val="none"/>
        </w:rPr>
      </w:pPr>
      <w:r>
        <w:rPr>
          <w:rFonts w:hint="eastAsia" w:ascii="仿宋_GB2312" w:hAnsi="仿宋_GB2312" w:eastAsia="仿宋_GB2312" w:cs="仿宋_GB2312"/>
          <w:b/>
          <w:bCs/>
          <w:color w:val="auto"/>
          <w:sz w:val="28"/>
          <w:szCs w:val="28"/>
          <w:highlight w:val="none"/>
          <w:u w:val="none"/>
          <w:lang w:val="en-US" w:eastAsia="zh-CN"/>
        </w:rPr>
        <w:t>3.</w:t>
      </w:r>
      <w:r>
        <w:rPr>
          <w:rFonts w:hint="eastAsia" w:ascii="仿宋_GB2312" w:hAnsi="仿宋_GB2312" w:eastAsia="仿宋_GB2312" w:cs="仿宋_GB2312"/>
          <w:b/>
          <w:bCs/>
          <w:color w:val="auto"/>
          <w:sz w:val="28"/>
          <w:szCs w:val="28"/>
          <w:highlight w:val="none"/>
          <w:u w:val="none"/>
        </w:rPr>
        <w:t>安全生产要求和管理责任划分</w:t>
      </w:r>
    </w:p>
    <w:p w14:paraId="10014942">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 甲方对施工现场的安全生产负总责，承担管理工作；乙方在其分包工程施工范围内独自承担责任。乙方应当服从甲方的安全生产管理，乙方不服从管理导致生产安全事故的，由乙方承担全部责任。</w:t>
      </w:r>
    </w:p>
    <w:p w14:paraId="639A7804">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none"/>
        </w:rPr>
        <w:t>3.2 乙方必须取得安全生产许可证，具备相应资质，并按规定为本单位劳务作业人员办理合法用工手续和意外伤害保险。</w:t>
      </w:r>
    </w:p>
    <w:p w14:paraId="56D349BF">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3.3 乙方应遵守甲方对现场的统一布置，乙方在施工现场建临时库房、值班住宿、办公室等设施应提前向甲方提出申请，未经甲方批准，乙方一律不准私自搭建临时设施</w:t>
      </w:r>
      <w:r>
        <w:rPr>
          <w:rFonts w:hint="eastAsia" w:ascii="仿宋_GB2312" w:hAnsi="仿宋_GB2312" w:eastAsia="仿宋_GB2312" w:cs="仿宋_GB2312"/>
          <w:color w:val="auto"/>
          <w:sz w:val="28"/>
          <w:szCs w:val="28"/>
          <w:highlight w:val="none"/>
          <w:u w:val="none"/>
          <w:lang w:eastAsia="zh-CN"/>
        </w:rPr>
        <w:t>，搭建完成后由甲方和使用方、搭设方进行验收后才可使用</w:t>
      </w:r>
      <w:r>
        <w:rPr>
          <w:rFonts w:hint="eastAsia" w:ascii="仿宋_GB2312" w:hAnsi="仿宋_GB2312" w:eastAsia="仿宋_GB2312" w:cs="仿宋_GB2312"/>
          <w:color w:val="auto"/>
          <w:sz w:val="28"/>
          <w:szCs w:val="28"/>
          <w:highlight w:val="none"/>
          <w:u w:val="none"/>
        </w:rPr>
        <w:t>。</w:t>
      </w:r>
    </w:p>
    <w:p w14:paraId="36CEE791">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3.4 乙方投入到本工程中的全部机械设备及各类电动、手动工具必须是检验合格，符合国家、省、市及工程所在地等相关安全使用标准并检验合格后，并向甲方报送合格证明材料后</w:t>
      </w:r>
      <w:r>
        <w:rPr>
          <w:rFonts w:hint="eastAsia" w:ascii="仿宋_GB2312" w:hAnsi="仿宋_GB2312" w:eastAsia="仿宋_GB2312" w:cs="仿宋_GB2312"/>
          <w:color w:val="auto"/>
          <w:sz w:val="28"/>
          <w:szCs w:val="28"/>
          <w:highlight w:val="none"/>
          <w:u w:val="none"/>
          <w:lang w:eastAsia="zh-CN"/>
        </w:rPr>
        <w:t>，甲方管理人员现场验收合格方可投入使用，且所有从开关箱至手动工具的电缆线必须进行穿管。</w:t>
      </w:r>
      <w:r>
        <w:rPr>
          <w:rFonts w:hint="eastAsia" w:ascii="仿宋_GB2312" w:hAnsi="仿宋_GB2312" w:eastAsia="仿宋_GB2312" w:cs="仿宋_GB2312"/>
          <w:color w:val="auto"/>
          <w:sz w:val="28"/>
          <w:szCs w:val="28"/>
          <w:highlight w:val="none"/>
          <w:u w:val="none"/>
        </w:rPr>
        <w:t>若因乙方违反操作规程及使用不符合安全标准的各类机械设备或电动、手动工具，甲方将予以收缴，在操作过程中造成的一切人身伤害和其他安全事故责任均由乙方承担。</w:t>
      </w:r>
    </w:p>
    <w:p w14:paraId="39A211E8">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3.5 乙方应按规定负责其作业区域内的安全生产管理，并有责任维护防护设施的正常使用，不准任意移动、破坏防护设施（如电梯井门、护栏、安全网、坑道口盖板等），因施工作业必须改动时，需经甲方同意并提供临时防护设施才准改动，否则由乙方承担一切后果及责任</w:t>
      </w:r>
      <w:r>
        <w:rPr>
          <w:rFonts w:hint="eastAsia" w:ascii="仿宋_GB2312" w:hAnsi="仿宋_GB2312" w:eastAsia="仿宋_GB2312" w:cs="仿宋_GB2312"/>
          <w:color w:val="auto"/>
          <w:sz w:val="28"/>
          <w:szCs w:val="28"/>
          <w:highlight w:val="none"/>
          <w:u w:val="none"/>
          <w:lang w:val="en-US" w:eastAsia="zh-CN"/>
        </w:rPr>
        <w:t>且甲方提供的安全防护设施、安全标识标牌因乙方原因造成损坏的，由乙方进行赔偿</w:t>
      </w:r>
      <w:r>
        <w:rPr>
          <w:rFonts w:hint="eastAsia" w:ascii="仿宋_GB2312" w:hAnsi="仿宋_GB2312" w:eastAsia="仿宋_GB2312" w:cs="仿宋_GB2312"/>
          <w:color w:val="auto"/>
          <w:sz w:val="28"/>
          <w:szCs w:val="28"/>
          <w:highlight w:val="none"/>
          <w:u w:val="none"/>
        </w:rPr>
        <w:t>。</w:t>
      </w:r>
    </w:p>
    <w:p w14:paraId="5D7343D7">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3.6 乙方不得进行电气焊割与油漆、喷漆、防水、木工等交叉作业。因乙方违章指挥、违章作业造成火灾或人身伤害事故的，由乙方自行承担相关责任和经济损失。</w:t>
      </w:r>
    </w:p>
    <w:p w14:paraId="0029D924">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3.10 乙方必须执行甲方的下列安全管理制度：</w:t>
      </w:r>
    </w:p>
    <w:p w14:paraId="53FF6967">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3.10.1 安全技术方案报批制度：乙方必须执行甲方总体工程施工组织设计和安全技术方案。乙方自行编制的单项作业安全防护措施，须报甲方审批后方可执行，若改变原方案须重新报批。</w:t>
      </w:r>
    </w:p>
    <w:p w14:paraId="5F266625">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u w:val="none"/>
        </w:rPr>
        <w:t>3.10.2 乙方必须执行安全技术交底制度、每周安全例会制度与班前安全晨会制度，并做好跟踪检查管理工作。</w:t>
      </w:r>
    </w:p>
    <w:p w14:paraId="3677A579">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3.10.3 乙方必须执行各级安全教育培训以及持证上岗制度：</w:t>
      </w:r>
    </w:p>
    <w:p w14:paraId="7D39A947">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1</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乙方项目经理、主管生产经理、技术负责人、专职安全管理人员须持国家或工程所在地政府规定的有效证件方可进场组织施工</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乙方项目经理必须持注册单位为该劳务公司的安全生产考核合格证书B证；</w:t>
      </w:r>
    </w:p>
    <w:p w14:paraId="25A9B3F6">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2</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乙方的工长、技术员、机械、物资等部门负责人须接受甲方的安全培训，合格后，方可上岗；</w:t>
      </w:r>
    </w:p>
    <w:p w14:paraId="4357BAB6">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3</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乙方特种作业人员的配置必须满足施工需要，并持有有效证件上岗；</w:t>
      </w:r>
    </w:p>
    <w:p w14:paraId="2E7EFDA5">
      <w:pPr>
        <w:pStyle w:val="57"/>
        <w:keepNext w:val="0"/>
        <w:keepLines w:val="0"/>
        <w:pageBreakBefore w:val="0"/>
        <w:widowControl w:val="0"/>
        <w:shd w:val="clear"/>
        <w:kinsoku/>
        <w:wordWrap/>
        <w:overflowPunct/>
        <w:topLinePunct w:val="0"/>
        <w:bidi w:val="0"/>
        <w:snapToGrid/>
        <w:spacing w:line="440" w:lineRule="exac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u w:val="none"/>
          <w:lang w:val="en-US" w:eastAsia="zh-CN"/>
        </w:rPr>
        <w:t xml:space="preserve">    （4）乙方班组长每周需进行安全培训</w:t>
      </w:r>
    </w:p>
    <w:p w14:paraId="23DF31B1">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3.10.4 乙方中途进场人员需提前通知甲方，待进行三级安全教育及相应安全技术交底后才能进场作业，且所有进场人员必须持体检合格报告。，变换施工现场或工种时，要进行转场和转换工种教育。</w:t>
      </w:r>
    </w:p>
    <w:p w14:paraId="2B3F9352">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3.11安全检查制度</w:t>
      </w:r>
    </w:p>
    <w:p w14:paraId="1477E45C">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3.11.1 乙方应接受甲方及其上级主管部门和各级政府、发包人主管部门的安全生产检查，对不符合安全规定的，甲方有权要求停工和强行整改使之达到安全标准，所需费用从工程款中加倍扣除；</w:t>
      </w:r>
    </w:p>
    <w:p w14:paraId="28F388C9">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3.11.2 乙方应建立自身的周检、专项检查、节假日检查以及不定期检查制度，并参与甲方组织的各项检查</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且严格贯彻实施；</w:t>
      </w:r>
    </w:p>
    <w:p w14:paraId="414AA24A">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3.11.3 乙方应设立专职安全人员实施安全生产检查制度及安全巡查制度，生活区须设置专职的宿舍管理人员。</w:t>
      </w:r>
    </w:p>
    <w:p w14:paraId="02EAA7D4">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3.11.4乙方应严格执行安全检查整改消项制度，做到“定人、定时、定措施、定资金、定预案”整改。</w:t>
      </w:r>
    </w:p>
    <w:p w14:paraId="2777A488">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3.12 乙方应执行安全防护设施、设备验收制度和施工作业转换后的交接检验制度：</w:t>
      </w:r>
    </w:p>
    <w:p w14:paraId="33A31894">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3.12.1 乙方自带的各类施工机械设备，必须符合质量安全技术标准，且机械性能良好、各种安全防护装置齐全、灵敏、可靠；</w:t>
      </w:r>
    </w:p>
    <w:p w14:paraId="6763B617">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3.12.2 乙方的中小型机械设备的安装、布置必须符合现场安全管理规定，安全防护设施搭建完自检后报甲方验收合格后方可投入使用；</w:t>
      </w:r>
    </w:p>
    <w:p w14:paraId="433D770D">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3.12.3 乙方的大型防护设施和大型机械设备，在自检验收合格的基础上申报甲方，由甲方组织进行专业验收；乙方须按规定提供设备技术数据，防护装置技术性能，设备履历档案以及防护设施支搭（安装）方案，其方案必须满足工程所在地政府有关规定。</w:t>
      </w:r>
    </w:p>
    <w:p w14:paraId="4435BEA8">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3.13 乙方须预防和治理职业伤害与中毒事故。</w:t>
      </w:r>
    </w:p>
    <w:p w14:paraId="121CE9B7">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3.14 乙方须严格执行职工因工伤亡报告制度：</w:t>
      </w:r>
    </w:p>
    <w:p w14:paraId="2840F115">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1</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如果发生因工伤亡事故，乙方应立即通知甲方安全生产监督管理部或项目领导，报告事故的详情。同时积极开展抢救工作，并采取相应的措施保护现场。</w:t>
      </w:r>
    </w:p>
    <w:p w14:paraId="72A25563">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2</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因抢救伤员须移动现场设备、设施者的，应注意抢救过程安全，并做好相应的记录（或拍照），甲方为抢救提供必要的帮助。</w:t>
      </w:r>
    </w:p>
    <w:p w14:paraId="365960DA">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3</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乙方要积极配合甲方上级部门、政府部门对事故进行调查和现场勘查。凡因乙方隐瞒不报、做伪证或擅自拆毁事故现场，所造成的一切后果均由乙方承担。</w:t>
      </w:r>
    </w:p>
    <w:p w14:paraId="5FE716AB">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4</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乙方须承担因自身原因造成的安全事故的经济责任和法律责任；如因第三方对乙方现场人员造成伤亡事故的，甲方予以协调，乙方必须积极配合处理，如因乙方处理不当造成聚众闹事的乙方应按10000元/次承担违约责任，如因乙方处理不及时致使民工封堵项目的乙方应按20000元/次承担违约责任。</w:t>
      </w:r>
    </w:p>
    <w:p w14:paraId="4DB45C0E">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5</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如果发生因工伤亡事故，乙方应积极配合甲方做好事故的善后处理工作，伤亡人员为乙方人员的，乙方应直接负责伤亡者及其家属的接待善后工作，因此发生的资金费用由乙方支付，因不能积极配合甲方对事故进行善后处理而产生的一切后果由乙方自行承担。</w:t>
      </w:r>
    </w:p>
    <w:p w14:paraId="3FC228F8">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6）如果发生因工伤亡事故，乙方应积极配合甲方进行工伤保险、安责险申报工作，如因乙方不配合提供相关工伤保险、安责险办理手续资料，造成的经济损失由乙方直接承担。如果保险赔付金额不足以支付伤亡赔偿金，剩余不足部分由主要责任方全部承担。</w:t>
      </w:r>
    </w:p>
    <w:p w14:paraId="6906F65A">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3.15 乙方的分供商及其在现场雇佣的所有人员都应遵守项目相关管理规定；</w:t>
      </w:r>
    </w:p>
    <w:p w14:paraId="666BD644">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3.16 凡使用的劳动防护用品，应符合国家标准规定，乙方须通知甲方进行进场验收，未按规定通知甲方进行进场验收的防护用品在使用中所发生的安全事故或造成的经济损失由乙方自行承担；乙方对个人劳动防护用品发放应满足生产使用要求，并严格按规定要求配戴；若因使用伪劣产品或未按要求佩戴而发生事故或造成经济损失，由乙方自行承担责任；</w:t>
      </w:r>
    </w:p>
    <w:p w14:paraId="5ADCD3FE">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w:t>
      </w:r>
      <w:r>
        <w:rPr>
          <w:rFonts w:hint="eastAsia" w:ascii="仿宋_GB2312" w:hAnsi="仿宋_GB2312" w:eastAsia="仿宋_GB2312" w:cs="仿宋_GB2312"/>
          <w:color w:val="auto"/>
          <w:sz w:val="28"/>
          <w:szCs w:val="28"/>
          <w:highlight w:val="none"/>
          <w:u w:val="none"/>
          <w:lang w:val="en-US" w:eastAsia="zh-CN"/>
        </w:rPr>
        <w:t>7</w:t>
      </w:r>
      <w:r>
        <w:rPr>
          <w:rFonts w:hint="eastAsia" w:ascii="仿宋_GB2312" w:hAnsi="仿宋_GB2312" w:eastAsia="仿宋_GB2312" w:cs="仿宋_GB2312"/>
          <w:color w:val="auto"/>
          <w:sz w:val="28"/>
          <w:szCs w:val="28"/>
          <w:highlight w:val="none"/>
          <w:u w:val="none"/>
        </w:rPr>
        <w:t xml:space="preserve"> 乙方应执行发包人的安全防范制度（如有）。</w:t>
      </w:r>
    </w:p>
    <w:p w14:paraId="34F758E1">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w:t>
      </w:r>
      <w:r>
        <w:rPr>
          <w:rFonts w:hint="eastAsia" w:ascii="仿宋_GB2312" w:hAnsi="仿宋_GB2312" w:eastAsia="仿宋_GB2312" w:cs="仿宋_GB2312"/>
          <w:color w:val="auto"/>
          <w:sz w:val="28"/>
          <w:szCs w:val="28"/>
          <w:highlight w:val="none"/>
          <w:u w:val="none"/>
          <w:lang w:val="en-US" w:eastAsia="zh-CN"/>
        </w:rPr>
        <w:t>8</w:t>
      </w:r>
      <w:r>
        <w:rPr>
          <w:rFonts w:hint="eastAsia" w:ascii="仿宋_GB2312" w:hAnsi="仿宋_GB2312" w:eastAsia="仿宋_GB2312" w:cs="仿宋_GB2312"/>
          <w:color w:val="auto"/>
          <w:sz w:val="28"/>
          <w:szCs w:val="28"/>
          <w:highlight w:val="none"/>
          <w:u w:val="none"/>
        </w:rPr>
        <w:t xml:space="preserve"> 乙方施工应满足以下要求：</w:t>
      </w:r>
    </w:p>
    <w:p w14:paraId="4045D98D">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（1）电梯井每层采用硬防护，且不滞后于作业层2层。电梯井架应每步满铺钢笆片。</w:t>
      </w:r>
    </w:p>
    <w:p w14:paraId="7C4585DC">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2）外防护架体应搭设双排架，每步架应满铺钢笆网（内部必须铺设两根填心杆），立面每步间设置两道拦腰杆（60cm一道），内排架与结构间距大于20cm时，设置填心杆，且填心杆按每20cm一道设置，外架安全网质量必须符合国家要求。外架搭设必须设置安全带系挂生命绳（钢丝绳）。落地式脚手架二层、悬挑外架底层与结构之间必须使用模板进行硬封闭。外架横杆应统一外伸长度为10cm，外架顶部收口处立杆应平齐。</w:t>
      </w:r>
    </w:p>
    <w:p w14:paraId="35C2DDD9">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（3）高支模架体必须第二道横杆挂设第一道水平兜网，向上每3步架或4.5m设置一道水平兜网。</w:t>
      </w:r>
    </w:p>
    <w:p w14:paraId="44BEBBA3">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（4）框架梁、柱施工必须搭设操作架，并在架体上满铺脚手板作为操作平台；</w:t>
      </w:r>
    </w:p>
    <w:p w14:paraId="67460186">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（5）悬挑卸料平台底部封闭及护栏必须采用全钢板进行封闭。</w:t>
      </w:r>
    </w:p>
    <w:p w14:paraId="070CAF01">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（6）钢筋加工区域、木工加工区域、楼层通道进口防护区域、施工电梯进口防护区域必须采用定型化防护棚。施工现场主干道路，基坑临边应搭设定型化防护栏杆。</w:t>
      </w:r>
    </w:p>
    <w:p w14:paraId="59471E7B">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（7）主体结构施工阶段，外架从第二层开始，然后每隔4层设置水平防护网，外架下方应根据坠落半径，安装定型化防护栏杆设置防物体打击隔离区。</w:t>
      </w:r>
    </w:p>
    <w:p w14:paraId="0E2DC0E3">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（8）商业裙楼临边防护必须采用定型化防护围栏。飘窗处临边防护栏杆必须满足1.2m高要求。</w:t>
      </w:r>
    </w:p>
    <w:p w14:paraId="785208FA">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（9）内电梯井立面防护采用定型化防护护栏进行防护。</w:t>
      </w:r>
    </w:p>
    <w:p w14:paraId="67C20E49">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（10）现场由分包使用的材料吊斗（钢筋、砌体或其他材料）必须采用全钢板封闭的，不允许使用钢筋私自焊接。楼层内砌筑砂浆必须使用成品灰盆。</w:t>
      </w:r>
    </w:p>
    <w:p w14:paraId="2DF37749">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（11）楼层内预留洞口采取贯穿预留钢筋的方式进行水平防护（包括但不限于电梯井口、风井口等）。</w:t>
      </w:r>
    </w:p>
    <w:p w14:paraId="25EDA85E">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（12）塔吊附墙安装时的操作平台分包必须配合搭设，且搭设过人通道。</w:t>
      </w:r>
    </w:p>
    <w:p w14:paraId="19892A32">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（13）基础设施项目桥面临边必须安装定型化防护栏杆，墩柱钢模必须安装配套的承插固定式防护栏杆。</w:t>
      </w:r>
    </w:p>
    <w:p w14:paraId="367A92BE">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（14）基础设施项目桥面湿接缝必须采用钢板网进行封闭防护。</w:t>
      </w:r>
    </w:p>
    <w:p w14:paraId="30BBFE75">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（15）隧道二衬台车、挂布台车、开挖台车平台底部及平台临边必须设置防护栏杆。</w:t>
      </w:r>
    </w:p>
    <w:p w14:paraId="257CA088">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eastAsia="zh-CN"/>
        </w:rPr>
        <w:t>（16）钢结构安装作业必须在钢结构下方设置水平防护兜网，作业面必须设置安全带系挂生命绳（钢丝绳）。</w:t>
      </w:r>
      <w:r>
        <w:rPr>
          <w:rFonts w:hint="eastAsia" w:ascii="仿宋_GB2312" w:hAnsi="仿宋_GB2312" w:eastAsia="仿宋_GB2312" w:cs="仿宋_GB2312"/>
          <w:color w:val="auto"/>
          <w:sz w:val="28"/>
          <w:szCs w:val="28"/>
          <w:highlight w:val="none"/>
          <w:u w:val="none"/>
          <w:lang w:val="en-US" w:eastAsia="zh-CN"/>
        </w:rPr>
        <w:t>3.19 安全防护费用</w:t>
      </w:r>
    </w:p>
    <w:p w14:paraId="7E0329AB">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劳务分包单位施工区域内的安全防护（临边防护、洞口防护、安全通道、安全防护棚等）因施工需要或配合施工需要对安全防护设施需要多次拆搭的，甲方只计取一次费用；乙方应无条件执行二次搭拆，不得再次主张计取相关费用。</w:t>
      </w:r>
    </w:p>
    <w:p w14:paraId="3A5B62DE">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乙方因施工，需要对现场已做的安全防护设施临时拆除时，需报请甲方现场管理人员批准同意后方可拆除，且拆除期间乙方需专人负责该处安全，并在施工完成后及时恢复，恢复后报甲方批准人验收</w:t>
      </w:r>
    </w:p>
    <w:p w14:paraId="13C82C45">
      <w:pPr>
        <w:keepNext w:val="0"/>
        <w:keepLines w:val="0"/>
        <w:pageBreakBefore w:val="0"/>
        <w:widowControl w:val="0"/>
        <w:shd w:val="clear"/>
        <w:kinsoku/>
        <w:wordWrap/>
        <w:overflowPunct/>
        <w:topLinePunct w:val="0"/>
        <w:bidi w:val="0"/>
        <w:snapToGrid/>
        <w:spacing w:line="440" w:lineRule="exact"/>
        <w:ind w:firstLine="562" w:firstLineChars="200"/>
        <w:jc w:val="both"/>
        <w:textAlignment w:val="auto"/>
        <w:rPr>
          <w:rFonts w:hint="eastAsia" w:ascii="仿宋_GB2312" w:hAnsi="仿宋_GB2312" w:eastAsia="仿宋_GB2312" w:cs="仿宋_GB2312"/>
          <w:b/>
          <w:bCs/>
          <w:color w:val="auto"/>
          <w:sz w:val="28"/>
          <w:szCs w:val="28"/>
          <w:highlight w:val="none"/>
          <w:u w:val="none"/>
        </w:rPr>
      </w:pPr>
      <w:r>
        <w:rPr>
          <w:rFonts w:hint="eastAsia" w:ascii="仿宋_GB2312" w:hAnsi="仿宋_GB2312" w:eastAsia="仿宋_GB2312" w:cs="仿宋_GB2312"/>
          <w:b/>
          <w:bCs/>
          <w:color w:val="auto"/>
          <w:sz w:val="28"/>
          <w:szCs w:val="28"/>
          <w:highlight w:val="none"/>
          <w:u w:val="none"/>
          <w:lang w:val="en-US" w:eastAsia="zh-CN"/>
        </w:rPr>
        <w:t>4.</w:t>
      </w:r>
      <w:r>
        <w:rPr>
          <w:rFonts w:hint="eastAsia" w:ascii="仿宋_GB2312" w:hAnsi="仿宋_GB2312" w:eastAsia="仿宋_GB2312" w:cs="仿宋_GB2312"/>
          <w:b/>
          <w:bCs/>
          <w:color w:val="auto"/>
          <w:sz w:val="28"/>
          <w:szCs w:val="28"/>
          <w:highlight w:val="none"/>
          <w:u w:val="none"/>
        </w:rPr>
        <w:t>临时用水用电安全管理</w:t>
      </w:r>
    </w:p>
    <w:p w14:paraId="3ECBFD8F">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4.1 乙方必须配备满足现场施工需求的专业电工，电工持有效操作证上岗，乙方配备的开关箱必须为即插即用带工业插座式配电箱，现场可使用带漏保的插线排；临时用电线路必须进行穿管保护。在施工作业前必须熟悉临时用电施工方案，按方案要求布设临时用电线路，并按照规范要求布置配电箱及设计要求的电缆，严格遵守JGJ46-2005施工现场临时用电安全技术规范中的相关规定及公司相关要求执行，并对现场作业人员开展用电安全知识教育培训。</w:t>
      </w:r>
    </w:p>
    <w:p w14:paraId="46E72505">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4.2 乙方保证各种固定机械，三级配电箱必须有重复接地，接地应采用角钢，圆钢，圆钢的直经不小于12mm，不得采用螺纹钢，配电箱内必须清洁，各部件无损坏，配电箱必须有锁，有防雨措施，所以用电设置开关箱必须符合‘一机、一闸、一箱、一漏’标准，为了统一标准，乙方所使用的三级配电箱必须经甲方机电部验收合格方可使用。</w:t>
      </w:r>
    </w:p>
    <w:p w14:paraId="343281FA">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4.3 配电线路，移动三级配电箱配线长度不得≥30M，必须使用五芯线，不得使用老化，绝缘破坏的电缆线作为三级配电箱的电源线。开关箱离设备不得 ≥3M，箱体架设高度中心点离地面不得小于80CM，严禁把电缆绑扎在钢管和金属上。需要绑扎，必须要加绝缘子。</w:t>
      </w:r>
    </w:p>
    <w:p w14:paraId="24DA3931">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4.4 移动式用电工具必须安装微型漏电保护插座才可使用，小型机具的线路一律采用软质三芯橡皮线，严禁使用花线和两芯线。护套线作为移动照明，小型机械的配线，架设高度不得小于2.4M，必须加套管保护，移动照明的金属外壳必须接地。严禁用其它金属丝代替保险丝，各种施工机具，灯具的电源线严禁无插头裸线直接插入插座，保护线不得进入开关，工作零线和保护零线不得混接。</w:t>
      </w:r>
    </w:p>
    <w:p w14:paraId="2A55C81A">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4.5在潮湿场所和地下室必须使用安全电压小于36V以下。变压器采用隔离行灯变压器，禁止使用自耦变压器。</w:t>
      </w:r>
    </w:p>
    <w:p w14:paraId="5B11B3D2">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4.6小型机具进入施工现场，要向甲方机电部门申请登记，机电管理部门将对进场的机具进行检查，合格后才能进入工作，要保证机具完好无损，定期做绝缘电阻测试，做好测试记录，手持电动工具绝缘电阻必须达到规范要求。在潮湿场所使用时必须采用漏电开关，漏电电流小于15MA，漏电动作时间为0.1S的漏电开关进行保护。</w:t>
      </w:r>
    </w:p>
    <w:p w14:paraId="0815A4F4">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4.7移动电气设备，必须配设三级配电箱，开关箱致电气设备之间电源线不得大于3M。禁止使用倒顺开关，必须有保护接地保护接零，交流电焊机在使用时严禁使用刀闸开关，必须使用漏电开关，电焊机电源线不得超过5M。必须加装二次降压保护器，二次线路不得超过30M.中间严禁有接头。</w:t>
      </w:r>
    </w:p>
    <w:p w14:paraId="4D86187F">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4.8 现场施工照明夜间加班（除塔吊镝灯外）移动照明和塔吊大臂照明灯由乙方按规范实施设置。</w:t>
      </w:r>
    </w:p>
    <w:p w14:paraId="62C4465D">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4.9 乙方现场电工必须遵守安全生产六大纪律，经常定期不定期检查现场使用中的电缆、配电箱、设备。认真配合好各级安全组检查，对检查出来的安全隐患及时整改。并认真做好巡检整改回复记录各级作业人员按相关规范对漏电开关测试记录，安装拆除记录，绝缘电阻测试记录等资料。每月资料要定期上交甲方机电部存档备查。</w:t>
      </w:r>
    </w:p>
    <w:p w14:paraId="64E26EFC">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4.10 因乙方违规用电导致甲方被发包人、上级部门、政府部门等处罚的，所有处罚金额由乙方承担，且乙方按10000元/次支付违约金，甲方有权对乙方采取断电措施。</w:t>
      </w:r>
    </w:p>
    <w:p w14:paraId="25CC84F7">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4.11乙方违规用电导致的安全事故，一切责任由乙方承担，造成甲方损失的，甲方有权向乙方追究相关责任。</w:t>
      </w:r>
    </w:p>
    <w:p w14:paraId="5ABC3BA2">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4.12 对于施工现场加压水泵实行“谁使用、谁负责”，要求使用加压水泵的队伍在使用完毕后及时关闭加压水泵电源，避免水泵空转，同时，配合项目部电工对加压水泵运行情况进行日常巡查，发现情况，及时汇报至项目部，由项目部安排故障排查及维修。违规施工者按照每次1000元承担违约责任，造成水泵损坏的，由相关队伍负责维修费用。</w:t>
      </w:r>
    </w:p>
    <w:p w14:paraId="077FA081">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4.13 施工现场临时用水布置根据本项目施工用水用电施工方案，结合现场实际施工。各施工队对照各自负责的施工区域，对区域内水管管路和消防管路及消火栓、水龙带负责管理。正常情况下，不得随意使用消防用品。对于违反上述规定的情况，按照100~500元/次承担违约。</w:t>
      </w:r>
    </w:p>
    <w:p w14:paraId="5044C3EC">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4.14 施工现场临时用电、用水的管理由甲方统一协调，乙方不得擅自接驳临时用电、用水点，分包队伍进场后，必须通知项目部，由项目部根据现场实际情况划分接驳口，擅自接驳者按照偷水、偷电进行处理，按照5000元/次承担违约责任。乙方应对其施工范围内的临时用水管道及管道配件进行保护，严禁无故破坏用水设备及管道，违者按照每处每次200元承担违约责任。现场用水、用电不得肆意浪费，若发现违规者，浪费水量、电量按照5倍数量计算，且另行按2000元/次承担违约责任。</w:t>
      </w:r>
    </w:p>
    <w:p w14:paraId="2634368E">
      <w:pPr>
        <w:keepNext w:val="0"/>
        <w:keepLines w:val="0"/>
        <w:pageBreakBefore w:val="0"/>
        <w:widowControl w:val="0"/>
        <w:shd w:val="clear"/>
        <w:kinsoku/>
        <w:wordWrap/>
        <w:overflowPunct/>
        <w:topLinePunct w:val="0"/>
        <w:bidi w:val="0"/>
        <w:snapToGrid/>
        <w:spacing w:line="440" w:lineRule="exact"/>
        <w:ind w:firstLine="562" w:firstLineChars="200"/>
        <w:jc w:val="both"/>
        <w:textAlignment w:val="auto"/>
        <w:rPr>
          <w:rFonts w:hint="eastAsia" w:ascii="仿宋_GB2312" w:hAnsi="仿宋_GB2312" w:eastAsia="仿宋_GB2312" w:cs="仿宋_GB2312"/>
          <w:b/>
          <w:bCs/>
          <w:color w:val="auto"/>
          <w:sz w:val="28"/>
          <w:szCs w:val="28"/>
          <w:highlight w:val="none"/>
          <w:u w:val="none"/>
        </w:rPr>
      </w:pPr>
      <w:r>
        <w:rPr>
          <w:rFonts w:hint="eastAsia" w:ascii="仿宋_GB2312" w:hAnsi="仿宋_GB2312" w:eastAsia="仿宋_GB2312" w:cs="仿宋_GB2312"/>
          <w:b/>
          <w:bCs/>
          <w:color w:val="auto"/>
          <w:sz w:val="28"/>
          <w:szCs w:val="28"/>
          <w:highlight w:val="none"/>
          <w:u w:val="none"/>
          <w:lang w:val="en-US" w:eastAsia="zh-CN"/>
        </w:rPr>
        <w:t>5.</w:t>
      </w:r>
      <w:r>
        <w:rPr>
          <w:rFonts w:hint="eastAsia" w:ascii="仿宋_GB2312" w:hAnsi="仿宋_GB2312" w:eastAsia="仿宋_GB2312" w:cs="仿宋_GB2312"/>
          <w:b/>
          <w:bCs/>
          <w:color w:val="auto"/>
          <w:sz w:val="28"/>
          <w:szCs w:val="28"/>
          <w:highlight w:val="none"/>
          <w:u w:val="none"/>
        </w:rPr>
        <w:t>现场文明施工及其人员行为的管理</w:t>
      </w:r>
    </w:p>
    <w:p w14:paraId="5B5DA6FE">
      <w:pPr>
        <w:shd w:val="clear"/>
        <w:spacing w:line="400" w:lineRule="exact"/>
        <w:ind w:firstLine="560" w:firstLineChars="200"/>
        <w:rPr>
          <w:rFonts w:hint="default" w:ascii="宋体" w:hAnsi="宋体" w:eastAsia="宋体" w:cs="宋体"/>
          <w:color w:val="auto"/>
          <w:sz w:val="24"/>
          <w:highlight w:val="none"/>
          <w:lang w:val="en-US" w:eastAsia="zh-CN"/>
        </w:rPr>
      </w:pPr>
      <w:r>
        <w:rPr>
          <w:rFonts w:hint="eastAsia" w:ascii="仿宋_GB2312" w:hAnsi="仿宋_GB2312" w:eastAsia="仿宋_GB2312" w:cs="仿宋_GB2312"/>
          <w:color w:val="auto"/>
          <w:sz w:val="28"/>
          <w:szCs w:val="28"/>
          <w:highlight w:val="none"/>
          <w:u w:val="none"/>
        </w:rPr>
        <w:t>5.1 ：乙方应按下表要求配置持有安全C证的专职安全管理人员，纳入甲方安全管理体系合署办公，保证安全方案和措施得到实施，并在班组建立安全巡查员制度。乙方拟配备的安全员姓名：  证件编号：</w:t>
      </w:r>
    </w:p>
    <w:tbl>
      <w:tblPr>
        <w:tblStyle w:val="25"/>
        <w:tblW w:w="9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6"/>
        <w:gridCol w:w="3135"/>
        <w:gridCol w:w="4267"/>
      </w:tblGrid>
      <w:tr w14:paraId="6DB8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6" w:type="dxa"/>
            <w:vAlign w:val="top"/>
          </w:tcPr>
          <w:p w14:paraId="4ABF9243">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center"/>
              <w:textAlignment w:val="auto"/>
              <w:rPr>
                <w:rFonts w:hint="eastAsia" w:ascii="仿宋_GB2312" w:hAnsi="仿宋_GB2312" w:eastAsia="仿宋_GB2312" w:cs="仿宋_GB2312"/>
                <w:b/>
                <w:bCs/>
                <w:color w:val="auto"/>
                <w:kern w:val="2"/>
                <w:sz w:val="28"/>
                <w:szCs w:val="28"/>
                <w:highlight w:val="none"/>
                <w:u w:val="none"/>
              </w:rPr>
            </w:pPr>
            <w:r>
              <w:rPr>
                <w:rFonts w:hint="eastAsia" w:ascii="仿宋_GB2312" w:hAnsi="仿宋_GB2312" w:eastAsia="仿宋_GB2312" w:cs="仿宋_GB2312"/>
                <w:b/>
                <w:bCs/>
                <w:color w:val="auto"/>
                <w:kern w:val="2"/>
                <w:sz w:val="28"/>
                <w:szCs w:val="28"/>
                <w:highlight w:val="none"/>
                <w:u w:val="none"/>
                <w:lang w:eastAsia="zh-CN"/>
              </w:rPr>
              <w:t>乙方</w:t>
            </w:r>
            <w:r>
              <w:rPr>
                <w:rFonts w:hint="eastAsia" w:ascii="仿宋_GB2312" w:hAnsi="仿宋_GB2312" w:eastAsia="仿宋_GB2312" w:cs="仿宋_GB2312"/>
                <w:b/>
                <w:bCs/>
                <w:color w:val="auto"/>
                <w:kern w:val="2"/>
                <w:sz w:val="28"/>
                <w:szCs w:val="28"/>
                <w:highlight w:val="none"/>
                <w:u w:val="none"/>
              </w:rPr>
              <w:t>进场施工人数</w:t>
            </w:r>
          </w:p>
        </w:tc>
        <w:tc>
          <w:tcPr>
            <w:tcW w:w="3135" w:type="dxa"/>
            <w:vAlign w:val="top"/>
          </w:tcPr>
          <w:p w14:paraId="1DD82117">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center"/>
              <w:textAlignment w:val="auto"/>
              <w:rPr>
                <w:rFonts w:hint="eastAsia" w:ascii="仿宋_GB2312" w:hAnsi="仿宋_GB2312" w:eastAsia="仿宋_GB2312" w:cs="仿宋_GB2312"/>
                <w:b/>
                <w:bCs/>
                <w:color w:val="auto"/>
                <w:kern w:val="2"/>
                <w:sz w:val="28"/>
                <w:szCs w:val="28"/>
                <w:highlight w:val="none"/>
                <w:u w:val="none"/>
              </w:rPr>
            </w:pPr>
            <w:r>
              <w:rPr>
                <w:rFonts w:hint="eastAsia" w:ascii="仿宋_GB2312" w:hAnsi="仿宋_GB2312" w:eastAsia="仿宋_GB2312" w:cs="仿宋_GB2312"/>
                <w:b/>
                <w:bCs/>
                <w:color w:val="auto"/>
                <w:kern w:val="2"/>
                <w:sz w:val="28"/>
                <w:szCs w:val="28"/>
                <w:highlight w:val="none"/>
                <w:u w:val="none"/>
              </w:rPr>
              <w:t>应配置的专职安全管理人员</w:t>
            </w:r>
          </w:p>
        </w:tc>
        <w:tc>
          <w:tcPr>
            <w:tcW w:w="4267" w:type="dxa"/>
            <w:vAlign w:val="top"/>
          </w:tcPr>
          <w:p w14:paraId="4D60AF9E">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center"/>
              <w:textAlignment w:val="auto"/>
              <w:rPr>
                <w:rFonts w:hint="eastAsia" w:ascii="仿宋_GB2312" w:hAnsi="仿宋_GB2312" w:eastAsia="仿宋_GB2312" w:cs="仿宋_GB2312"/>
                <w:b/>
                <w:bCs/>
                <w:color w:val="auto"/>
                <w:kern w:val="2"/>
                <w:sz w:val="28"/>
                <w:szCs w:val="28"/>
                <w:highlight w:val="none"/>
                <w:u w:val="none"/>
              </w:rPr>
            </w:pPr>
            <w:r>
              <w:rPr>
                <w:rFonts w:hint="eastAsia" w:ascii="仿宋_GB2312" w:hAnsi="仿宋_GB2312" w:eastAsia="仿宋_GB2312" w:cs="仿宋_GB2312"/>
                <w:b/>
                <w:bCs/>
                <w:color w:val="auto"/>
                <w:kern w:val="2"/>
                <w:sz w:val="28"/>
                <w:szCs w:val="28"/>
                <w:highlight w:val="none"/>
                <w:u w:val="none"/>
              </w:rPr>
              <w:t>备注</w:t>
            </w:r>
          </w:p>
        </w:tc>
      </w:tr>
      <w:tr w14:paraId="46FE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2386" w:type="dxa"/>
            <w:vAlign w:val="top"/>
          </w:tcPr>
          <w:p w14:paraId="08DB41C5">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both"/>
              <w:textAlignment w:val="auto"/>
              <w:rPr>
                <w:rFonts w:hint="eastAsia" w:ascii="仿宋_GB2312" w:hAnsi="仿宋_GB2312" w:eastAsia="仿宋_GB2312" w:cs="仿宋_GB2312"/>
                <w:color w:val="auto"/>
                <w:kern w:val="2"/>
                <w:sz w:val="28"/>
                <w:szCs w:val="28"/>
                <w:highlight w:val="none"/>
                <w:u w:val="none"/>
              </w:rPr>
            </w:pPr>
            <w:r>
              <w:rPr>
                <w:rFonts w:hint="eastAsia" w:ascii="仿宋_GB2312" w:hAnsi="仿宋_GB2312" w:eastAsia="仿宋_GB2312" w:cs="仿宋_GB2312"/>
                <w:color w:val="auto"/>
                <w:kern w:val="2"/>
                <w:sz w:val="28"/>
                <w:szCs w:val="28"/>
                <w:highlight w:val="none"/>
                <w:u w:val="none"/>
              </w:rPr>
              <w:t>不超过50人</w:t>
            </w:r>
          </w:p>
        </w:tc>
        <w:tc>
          <w:tcPr>
            <w:tcW w:w="3135" w:type="dxa"/>
            <w:vAlign w:val="top"/>
          </w:tcPr>
          <w:p w14:paraId="09DDF0A2">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both"/>
              <w:textAlignment w:val="auto"/>
              <w:rPr>
                <w:rFonts w:hint="eastAsia" w:ascii="仿宋_GB2312" w:hAnsi="仿宋_GB2312" w:eastAsia="仿宋_GB2312" w:cs="仿宋_GB2312"/>
                <w:color w:val="auto"/>
                <w:kern w:val="2"/>
                <w:sz w:val="28"/>
                <w:szCs w:val="28"/>
                <w:highlight w:val="none"/>
                <w:u w:val="none"/>
              </w:rPr>
            </w:pPr>
            <w:r>
              <w:rPr>
                <w:rFonts w:hint="eastAsia" w:ascii="仿宋_GB2312" w:hAnsi="仿宋_GB2312" w:eastAsia="仿宋_GB2312" w:cs="仿宋_GB2312"/>
                <w:color w:val="auto"/>
                <w:kern w:val="2"/>
                <w:sz w:val="28"/>
                <w:szCs w:val="28"/>
                <w:highlight w:val="none"/>
                <w:u w:val="none"/>
              </w:rPr>
              <w:t>1人</w:t>
            </w:r>
          </w:p>
        </w:tc>
        <w:tc>
          <w:tcPr>
            <w:tcW w:w="4267" w:type="dxa"/>
            <w:vMerge w:val="restart"/>
            <w:vAlign w:val="top"/>
          </w:tcPr>
          <w:p w14:paraId="5394E8EC">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both"/>
              <w:textAlignment w:val="auto"/>
              <w:rPr>
                <w:rFonts w:hint="eastAsia" w:ascii="仿宋_GB2312" w:hAnsi="仿宋_GB2312" w:eastAsia="仿宋_GB2312" w:cs="仿宋_GB2312"/>
                <w:color w:val="auto"/>
                <w:kern w:val="2"/>
                <w:sz w:val="28"/>
                <w:szCs w:val="28"/>
                <w:highlight w:val="none"/>
                <w:u w:val="none"/>
              </w:rPr>
            </w:pPr>
            <w:r>
              <w:rPr>
                <w:rFonts w:hint="eastAsia" w:ascii="仿宋_GB2312" w:hAnsi="仿宋_GB2312" w:eastAsia="仿宋_GB2312" w:cs="仿宋_GB2312"/>
                <w:color w:val="auto"/>
                <w:kern w:val="2"/>
                <w:sz w:val="28"/>
                <w:szCs w:val="28"/>
                <w:highlight w:val="none"/>
                <w:u w:val="none"/>
                <w:lang w:eastAsia="zh-CN"/>
              </w:rPr>
              <w:t>乙方</w:t>
            </w:r>
            <w:r>
              <w:rPr>
                <w:rFonts w:hint="eastAsia" w:ascii="仿宋_GB2312" w:hAnsi="仿宋_GB2312" w:eastAsia="仿宋_GB2312" w:cs="仿宋_GB2312"/>
                <w:color w:val="auto"/>
                <w:kern w:val="2"/>
                <w:sz w:val="28"/>
                <w:szCs w:val="28"/>
                <w:highlight w:val="none"/>
                <w:u w:val="none"/>
              </w:rPr>
              <w:t>可根据所承担的分部分项工程施工危险实际情况进行增配，但不得少于工程施工人员总人数的5‰</w:t>
            </w:r>
          </w:p>
        </w:tc>
      </w:tr>
      <w:tr w14:paraId="6840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2386" w:type="dxa"/>
            <w:vAlign w:val="top"/>
          </w:tcPr>
          <w:p w14:paraId="0B4FE28E">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both"/>
              <w:textAlignment w:val="auto"/>
              <w:rPr>
                <w:rFonts w:hint="eastAsia" w:ascii="仿宋_GB2312" w:hAnsi="仿宋_GB2312" w:eastAsia="仿宋_GB2312" w:cs="仿宋_GB2312"/>
                <w:color w:val="auto"/>
                <w:kern w:val="2"/>
                <w:sz w:val="28"/>
                <w:szCs w:val="28"/>
                <w:highlight w:val="none"/>
                <w:u w:val="none"/>
              </w:rPr>
            </w:pPr>
            <w:r>
              <w:rPr>
                <w:rFonts w:hint="eastAsia" w:ascii="仿宋_GB2312" w:hAnsi="仿宋_GB2312" w:eastAsia="仿宋_GB2312" w:cs="仿宋_GB2312"/>
                <w:color w:val="auto"/>
                <w:kern w:val="2"/>
                <w:sz w:val="28"/>
                <w:szCs w:val="28"/>
                <w:highlight w:val="none"/>
                <w:u w:val="none"/>
              </w:rPr>
              <w:t>50-200人</w:t>
            </w:r>
          </w:p>
        </w:tc>
        <w:tc>
          <w:tcPr>
            <w:tcW w:w="3135" w:type="dxa"/>
            <w:vAlign w:val="top"/>
          </w:tcPr>
          <w:p w14:paraId="6867892A">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both"/>
              <w:textAlignment w:val="auto"/>
              <w:rPr>
                <w:rFonts w:hint="eastAsia" w:ascii="仿宋_GB2312" w:hAnsi="仿宋_GB2312" w:eastAsia="仿宋_GB2312" w:cs="仿宋_GB2312"/>
                <w:color w:val="auto"/>
                <w:kern w:val="2"/>
                <w:sz w:val="28"/>
                <w:szCs w:val="28"/>
                <w:highlight w:val="none"/>
                <w:u w:val="none"/>
              </w:rPr>
            </w:pPr>
            <w:r>
              <w:rPr>
                <w:rFonts w:hint="eastAsia" w:ascii="仿宋_GB2312" w:hAnsi="仿宋_GB2312" w:eastAsia="仿宋_GB2312" w:cs="仿宋_GB2312"/>
                <w:color w:val="auto"/>
                <w:kern w:val="2"/>
                <w:sz w:val="28"/>
                <w:szCs w:val="28"/>
                <w:highlight w:val="none"/>
                <w:u w:val="none"/>
              </w:rPr>
              <w:t>2人</w:t>
            </w:r>
          </w:p>
        </w:tc>
        <w:tc>
          <w:tcPr>
            <w:tcW w:w="4267" w:type="dxa"/>
            <w:vMerge w:val="continue"/>
            <w:vAlign w:val="top"/>
          </w:tcPr>
          <w:p w14:paraId="16E07ADB">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both"/>
              <w:textAlignment w:val="auto"/>
              <w:rPr>
                <w:rFonts w:hint="eastAsia" w:ascii="仿宋_GB2312" w:hAnsi="仿宋_GB2312" w:eastAsia="仿宋_GB2312" w:cs="仿宋_GB2312"/>
                <w:color w:val="auto"/>
                <w:kern w:val="2"/>
                <w:sz w:val="28"/>
                <w:szCs w:val="28"/>
                <w:highlight w:val="none"/>
                <w:u w:val="none"/>
              </w:rPr>
            </w:pPr>
          </w:p>
        </w:tc>
      </w:tr>
      <w:tr w14:paraId="49E5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6" w:type="dxa"/>
            <w:vAlign w:val="top"/>
          </w:tcPr>
          <w:p w14:paraId="2F53614F">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both"/>
              <w:textAlignment w:val="auto"/>
              <w:rPr>
                <w:rFonts w:hint="eastAsia" w:ascii="仿宋_GB2312" w:hAnsi="仿宋_GB2312" w:eastAsia="仿宋_GB2312" w:cs="仿宋_GB2312"/>
                <w:color w:val="auto"/>
                <w:kern w:val="2"/>
                <w:sz w:val="28"/>
                <w:szCs w:val="28"/>
                <w:highlight w:val="none"/>
                <w:u w:val="none"/>
              </w:rPr>
            </w:pPr>
            <w:r>
              <w:rPr>
                <w:rFonts w:hint="eastAsia" w:ascii="仿宋_GB2312" w:hAnsi="仿宋_GB2312" w:eastAsia="仿宋_GB2312" w:cs="仿宋_GB2312"/>
                <w:color w:val="auto"/>
                <w:kern w:val="2"/>
                <w:sz w:val="28"/>
                <w:szCs w:val="28"/>
                <w:highlight w:val="none"/>
                <w:u w:val="none"/>
              </w:rPr>
              <w:t>200人及以上</w:t>
            </w:r>
          </w:p>
        </w:tc>
        <w:tc>
          <w:tcPr>
            <w:tcW w:w="3135" w:type="dxa"/>
            <w:vAlign w:val="top"/>
          </w:tcPr>
          <w:p w14:paraId="423D4A19">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both"/>
              <w:textAlignment w:val="auto"/>
              <w:rPr>
                <w:rFonts w:hint="eastAsia" w:ascii="仿宋_GB2312" w:hAnsi="仿宋_GB2312" w:eastAsia="仿宋_GB2312" w:cs="仿宋_GB2312"/>
                <w:color w:val="auto"/>
                <w:kern w:val="2"/>
                <w:sz w:val="28"/>
                <w:szCs w:val="28"/>
                <w:highlight w:val="none"/>
                <w:u w:val="none"/>
              </w:rPr>
            </w:pPr>
            <w:r>
              <w:rPr>
                <w:rFonts w:hint="eastAsia" w:ascii="仿宋_GB2312" w:hAnsi="仿宋_GB2312" w:eastAsia="仿宋_GB2312" w:cs="仿宋_GB2312"/>
                <w:color w:val="auto"/>
                <w:kern w:val="2"/>
                <w:sz w:val="28"/>
                <w:szCs w:val="28"/>
                <w:highlight w:val="none"/>
                <w:u w:val="none"/>
              </w:rPr>
              <w:t>3名及以上</w:t>
            </w:r>
          </w:p>
        </w:tc>
        <w:tc>
          <w:tcPr>
            <w:tcW w:w="4267" w:type="dxa"/>
            <w:vMerge w:val="continue"/>
            <w:vAlign w:val="top"/>
          </w:tcPr>
          <w:p w14:paraId="6E416EE3">
            <w:pPr>
              <w:keepNext w:val="0"/>
              <w:keepLines w:val="0"/>
              <w:pageBreakBefore w:val="0"/>
              <w:widowControl w:val="0"/>
              <w:shd w:val="clear"/>
              <w:kinsoku/>
              <w:wordWrap/>
              <w:overflowPunct/>
              <w:topLinePunct w:val="0"/>
              <w:bidi w:val="0"/>
              <w:snapToGrid/>
              <w:spacing w:beforeAutospacing="0" w:after="0" w:afterAutospacing="0" w:line="440" w:lineRule="exact"/>
              <w:ind w:left="0" w:right="0"/>
              <w:jc w:val="both"/>
              <w:textAlignment w:val="auto"/>
              <w:rPr>
                <w:rFonts w:hint="eastAsia" w:ascii="仿宋_GB2312" w:hAnsi="仿宋_GB2312" w:eastAsia="仿宋_GB2312" w:cs="仿宋_GB2312"/>
                <w:color w:val="auto"/>
                <w:kern w:val="2"/>
                <w:sz w:val="28"/>
                <w:szCs w:val="28"/>
                <w:highlight w:val="none"/>
                <w:u w:val="none"/>
              </w:rPr>
            </w:pPr>
          </w:p>
        </w:tc>
      </w:tr>
    </w:tbl>
    <w:p w14:paraId="3CF4E24A">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5.2 乙方必须遵守现场安全文明施工的各项管理规定，在设施投入、现场布置、人员管理等方面应符合甲方CI管理要求，在施工过程中，按甲方的规定对其全体员工的服饰、安全帽等进行统一管理；</w:t>
      </w:r>
    </w:p>
    <w:p w14:paraId="7502C66B">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5.3 乙方应采取一切合理措施，防止其劳务作业人员发生任何违法或妨碍治安的行为，保持安定局面并且保护工程周围人员和财产不受上述行为的危害，否则由此造成的一切损失和费用均由乙方自行承担；</w:t>
      </w:r>
    </w:p>
    <w:p w14:paraId="6C3A6A89">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5.4 乙方必须严格执行保安制度、门卫管理制度，工人和管理人员要举止文明、行为规范、遵章守纪、对人有礼貌，禁止上班喝酒、寻衅闹事；</w:t>
      </w:r>
    </w:p>
    <w:p w14:paraId="4FD0F3EE">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5.5 乙方应严格执行国家的法律法规，采取适当的预防措施，以保证其劳务作业人员的安全、卫生、健康，在整个合同期间，自始自终在工人所在的施工现场和住所，并且采取适当的措施以预防传染病，并提供应有的福利以及卫生条件。</w:t>
      </w:r>
    </w:p>
    <w:p w14:paraId="09AD7226">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none"/>
        </w:rPr>
        <w:t>5.6 乙方应执行安全工作奖罚制度：教育和约束自己的职工严格遵守施工现场安全管理规定，对遵章守纪者给予表扬和奖励，对违章作业、违章指挥、违反劳动纪律和规章制度者给予处罚。</w:t>
      </w:r>
    </w:p>
    <w:p w14:paraId="37DD7245">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5.7乙方按甲方安全文明施工要求做好文明施工工作，材料堆放堆码应符合甲方文明施工及平面布置要求，做到每日“工完场清”，配合做好扬尘、降尘防护工作。乙方应配备洒水车，每日安排专人对场内道路进行不定时清扫及洒水降尘。</w:t>
      </w:r>
    </w:p>
    <w:p w14:paraId="66EE3003">
      <w:pPr>
        <w:keepNext w:val="0"/>
        <w:keepLines w:val="0"/>
        <w:pageBreakBefore w:val="0"/>
        <w:widowControl w:val="0"/>
        <w:shd w:val="clear"/>
        <w:kinsoku/>
        <w:wordWrap/>
        <w:overflowPunct/>
        <w:topLinePunct w:val="0"/>
        <w:bidi w:val="0"/>
        <w:snapToGrid/>
        <w:spacing w:line="440" w:lineRule="exact"/>
        <w:ind w:firstLine="562" w:firstLineChars="200"/>
        <w:jc w:val="both"/>
        <w:textAlignment w:val="auto"/>
        <w:rPr>
          <w:rFonts w:hint="eastAsia" w:ascii="仿宋_GB2312" w:hAnsi="仿宋_GB2312" w:eastAsia="仿宋_GB2312" w:cs="仿宋_GB2312"/>
          <w:b/>
          <w:bCs/>
          <w:color w:val="auto"/>
          <w:sz w:val="28"/>
          <w:szCs w:val="28"/>
          <w:highlight w:val="none"/>
          <w:u w:val="none"/>
        </w:rPr>
      </w:pPr>
      <w:r>
        <w:rPr>
          <w:rFonts w:hint="eastAsia" w:ascii="仿宋_GB2312" w:hAnsi="仿宋_GB2312" w:eastAsia="仿宋_GB2312" w:cs="仿宋_GB2312"/>
          <w:b/>
          <w:bCs/>
          <w:color w:val="auto"/>
          <w:sz w:val="28"/>
          <w:szCs w:val="28"/>
          <w:highlight w:val="none"/>
          <w:u w:val="none"/>
          <w:lang w:val="en-US" w:eastAsia="zh-CN"/>
        </w:rPr>
        <w:t>6.</w:t>
      </w:r>
      <w:r>
        <w:rPr>
          <w:rFonts w:hint="eastAsia" w:ascii="仿宋_GB2312" w:hAnsi="仿宋_GB2312" w:eastAsia="仿宋_GB2312" w:cs="仿宋_GB2312"/>
          <w:b/>
          <w:bCs/>
          <w:color w:val="auto"/>
          <w:sz w:val="28"/>
          <w:szCs w:val="28"/>
          <w:highlight w:val="none"/>
          <w:u w:val="none"/>
        </w:rPr>
        <w:t>安全奖罚</w:t>
      </w:r>
    </w:p>
    <w:p w14:paraId="69F5FAC7">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6.1 如因甲方或乙方违约造成安全事故，将按合同约定承担责任，并依法追究其刑事责任。由于乙方自身原因受到政府机关处罚的，由其自行承担因此产生的一切责任。</w:t>
      </w:r>
    </w:p>
    <w:p w14:paraId="1C49ABC4">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 违约责任</w:t>
      </w:r>
    </w:p>
    <w:p w14:paraId="3A78C5B7">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6.2.1 乙方在行政主管部门或甲方安全检查中出现安全不合格时甲方对分包人处20000~40000元违约金。</w:t>
      </w:r>
    </w:p>
    <w:p w14:paraId="368EEB8F">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6.2.2 乙方在地方安全部门、发包人、监理或甲方安全检查中发现安全防护设施缺项或不合格，同时，经过一次限期整改后复查都不合格的，甲方对分包人处以30000~50000元违约金。</w:t>
      </w:r>
    </w:p>
    <w:p w14:paraId="3030EC6D">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6.2.3 发生工伤事故，不上报相关单位，未妥善处理，工伤者投诉到有关主管部门，有损甲方形象和声誉的，甲方对分包人处以500000元以上（包括500000元）违约金。</w:t>
      </w:r>
    </w:p>
    <w:p w14:paraId="4E7394DA">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6.2.4 施工现场作业人员未正确佩戴安全帽的，每人次处以2000元违约金；</w:t>
      </w:r>
    </w:p>
    <w:p w14:paraId="23B06E5D">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6.2.5 施工现场高处作业，在无防护状态下未正确使用安全带，每人次处以1000元违约金；</w:t>
      </w:r>
    </w:p>
    <w:p w14:paraId="269B88FD">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6.2.6 劳务作业人员违章作业的，每一处处以1000元违约金；</w:t>
      </w:r>
    </w:p>
    <w:p w14:paraId="2EC084AB">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6.2.7 蓄意损坏安全防护设施和装置的，处以10000元违约金；</w:t>
      </w:r>
    </w:p>
    <w:p w14:paraId="70C4FD29">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6.2.8 穿拖鞋进入施工现场的，每人次处以2000元违约金；</w:t>
      </w:r>
    </w:p>
    <w:p w14:paraId="75F0A152">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6.2.9 酒后进行施工作业或进入施工现场的每人次处以20000元违约金；</w:t>
      </w:r>
    </w:p>
    <w:p w14:paraId="1CB88D2B">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6.2.10 不服从项目部安全管理人员管理的每人次处以2000元违约金。</w:t>
      </w:r>
    </w:p>
    <w:p w14:paraId="38BC48D4">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6.2.11 偷盗工地财物的，每人次处以20000元违约金，赔偿对方相应的损失，情节严重的移交相关司法机关处理。；</w:t>
      </w:r>
    </w:p>
    <w:p w14:paraId="79ED238D">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6.2.12 打架斗殴伤人的，每人次处以20000元违约金；</w:t>
      </w:r>
    </w:p>
    <w:p w14:paraId="3A0957C0">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none"/>
        </w:rPr>
        <w:t>6.2.13 无理取闹及煽动闹事的，每人次处以20000-50000元违约金；</w:t>
      </w:r>
    </w:p>
    <w:p w14:paraId="02695890">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6.2.14乙方未在规定时间内配备持有C证的专职安全管理人员的，处以每人每天1000元违约金或每月30000元违约金；</w:t>
      </w:r>
    </w:p>
    <w:p w14:paraId="7849053B">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6.2.15：乙方进场施工的作业人员未体检合格，未经三级安全教育培训的，处以每人1000元违约金；且因此发生的安全生产事故责任由乙方全部承担；</w:t>
      </w:r>
    </w:p>
    <w:p w14:paraId="38FAE504">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6.2.16：乙方进场施工的特种作业人员未持有效特种作业证件上岗，处以每人2000元违约金；且因乙方擅自组织未持特种作业证件的人员从事特种作业而发生安全事故，乙方承担所有责任；</w:t>
      </w:r>
    </w:p>
    <w:p w14:paraId="06DC89DB">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6.2.17：乙方拒不执行甲方相关安全管理制度，拒不执行甲方相关安全整改要求的，每次处以2000元违约金；且因此发生的安全生产事故责任由乙方全部承担；</w:t>
      </w:r>
    </w:p>
    <w:p w14:paraId="16145F15">
      <w:pPr>
        <w:keepNext w:val="0"/>
        <w:keepLines w:val="0"/>
        <w:pageBreakBefore w:val="0"/>
        <w:widowControl w:val="0"/>
        <w:shd w:val="clear"/>
        <w:kinsoku/>
        <w:wordWrap/>
        <w:overflowPunct/>
        <w:topLinePunct w:val="0"/>
        <w:bidi w:val="0"/>
        <w:snapToGri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6.3：乙方应确保安全文明施工费专款专用，足额投入；甲方根据《分包安全一体化管理实施细则》对乙方安全履约情况进行考核，如若乙方安全考核不满足要求，甲方将扣除相应安全文明施工费用。</w:t>
      </w:r>
    </w:p>
    <w:p w14:paraId="1E9D0700">
      <w:pPr>
        <w:keepNext w:val="0"/>
        <w:keepLines w:val="0"/>
        <w:pageBreakBefore w:val="0"/>
        <w:widowControl w:val="0"/>
        <w:shd w:val="clear"/>
        <w:kinsoku/>
        <w:wordWrap/>
        <w:overflowPunct/>
        <w:topLinePunct w:val="0"/>
        <w:bidi w:val="0"/>
        <w:snapToGrid/>
        <w:spacing w:line="440" w:lineRule="exact"/>
        <w:ind w:firstLine="562" w:firstLineChars="200"/>
        <w:jc w:val="both"/>
        <w:textAlignment w:val="auto"/>
        <w:rPr>
          <w:rFonts w:hint="eastAsia" w:ascii="仿宋_GB2312" w:hAnsi="仿宋_GB2312" w:eastAsia="仿宋_GB2312" w:cs="仿宋_GB2312"/>
          <w:b/>
          <w:bCs/>
          <w:color w:val="auto"/>
          <w:sz w:val="28"/>
          <w:szCs w:val="28"/>
          <w:highlight w:val="none"/>
          <w:u w:val="none"/>
          <w:lang w:eastAsia="zh-CN"/>
        </w:rPr>
      </w:pPr>
      <w:r>
        <w:rPr>
          <w:rFonts w:hint="eastAsia" w:ascii="仿宋_GB2312" w:hAnsi="仿宋_GB2312" w:eastAsia="仿宋_GB2312" w:cs="仿宋_GB2312"/>
          <w:b/>
          <w:bCs/>
          <w:color w:val="auto"/>
          <w:sz w:val="28"/>
          <w:szCs w:val="28"/>
          <w:highlight w:val="none"/>
          <w:u w:val="none"/>
          <w:lang w:val="en-US" w:eastAsia="zh-CN"/>
        </w:rPr>
        <w:t>7.其他</w:t>
      </w:r>
    </w:p>
    <w:p w14:paraId="1963FBEC">
      <w:pPr>
        <w:keepNext w:val="0"/>
        <w:keepLines w:val="0"/>
        <w:pageBreakBefore w:val="0"/>
        <w:widowControl w:val="0"/>
        <w:shd w:val="clear"/>
        <w:kinsoku/>
        <w:wordWrap/>
        <w:overflowPunct/>
        <w:topLinePunct w:val="0"/>
        <w:bidi w:val="0"/>
        <w:snapToGrid/>
        <w:spacing w:line="440" w:lineRule="exact"/>
        <w:ind w:firstLine="560" w:firstLineChars="200"/>
        <w:contextualSpacing w:val="0"/>
        <w:jc w:val="left"/>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rPr>
        <w:t>本协议为合同的附件，与合同具有同等法律效力，经合同双方</w:t>
      </w:r>
      <w:r>
        <w:rPr>
          <w:rFonts w:hint="eastAsia" w:ascii="仿宋_GB2312" w:hAnsi="仿宋_GB2312" w:eastAsia="仿宋_GB2312" w:cs="仿宋_GB2312"/>
          <w:color w:val="auto"/>
          <w:sz w:val="28"/>
          <w:szCs w:val="28"/>
          <w:highlight w:val="none"/>
          <w:lang w:val="en-US" w:eastAsia="zh-CN"/>
        </w:rPr>
        <w:t>盖章</w:t>
      </w:r>
      <w:r>
        <w:rPr>
          <w:rFonts w:hint="eastAsia" w:ascii="仿宋_GB2312" w:hAnsi="仿宋_GB2312" w:eastAsia="仿宋_GB2312" w:cs="仿宋_GB2312"/>
          <w:color w:val="auto"/>
          <w:sz w:val="28"/>
          <w:szCs w:val="28"/>
          <w:highlight w:val="none"/>
        </w:rPr>
        <w:t>后生效</w:t>
      </w:r>
      <w:r>
        <w:rPr>
          <w:rFonts w:hint="eastAsia" w:ascii="仿宋_GB2312" w:hAnsi="仿宋_GB2312" w:eastAsia="仿宋_GB2312" w:cs="仿宋_GB2312"/>
          <w:color w:val="auto"/>
          <w:sz w:val="28"/>
          <w:szCs w:val="28"/>
          <w:highlight w:val="none"/>
          <w:u w:val="none"/>
          <w:lang w:val="en-US" w:eastAsia="zh-CN"/>
        </w:rPr>
        <w:t>。</w:t>
      </w:r>
    </w:p>
    <w:p w14:paraId="337CB2FF">
      <w:pPr>
        <w:pStyle w:val="57"/>
        <w:keepNext w:val="0"/>
        <w:keepLines w:val="0"/>
        <w:pageBreakBefore w:val="0"/>
        <w:widowControl w:val="0"/>
        <w:shd w:val="clear"/>
        <w:kinsoku/>
        <w:wordWrap/>
        <w:overflowPunct/>
        <w:topLinePunct w:val="0"/>
        <w:bidi w:val="0"/>
        <w:snapToGrid/>
        <w:spacing w:line="440" w:lineRule="exac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w:t>
      </w:r>
    </w:p>
    <w:tbl>
      <w:tblPr>
        <w:tblStyle w:val="25"/>
        <w:tblpPr w:leftFromText="180" w:rightFromText="180" w:vertAnchor="text" w:horzAnchor="page" w:tblpX="1693" w:tblpY="131"/>
        <w:tblOverlap w:val="never"/>
        <w:tblW w:w="8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9"/>
        <w:gridCol w:w="4243"/>
      </w:tblGrid>
      <w:tr w14:paraId="0EC27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0" w:hRule="atLeast"/>
        </w:trPr>
        <w:tc>
          <w:tcPr>
            <w:tcW w:w="4419" w:type="dxa"/>
            <w:tcBorders>
              <w:tl2br w:val="nil"/>
              <w:tr2bl w:val="nil"/>
            </w:tcBorders>
            <w:vAlign w:val="top"/>
          </w:tcPr>
          <w:p w14:paraId="2F702B52">
            <w:pPr>
              <w:keepNext w:val="0"/>
              <w:keepLines w:val="0"/>
              <w:pageBreakBefore w:val="0"/>
              <w:widowControl w:val="0"/>
              <w:shd w:val="clear"/>
              <w:kinsoku/>
              <w:wordWrap/>
              <w:overflowPunct/>
              <w:topLinePunct w:val="0"/>
              <w:bidi w:val="0"/>
              <w:snapToGrid/>
              <w:spacing w:line="440" w:lineRule="exact"/>
              <w:jc w:val="left"/>
              <w:textAlignment w:val="auto"/>
              <w:rPr>
                <w:rFonts w:hint="eastAsia" w:ascii="仿宋_GB2312" w:hAnsi="仿宋_GB2312" w:eastAsia="仿宋_GB2312" w:cs="仿宋_GB2312"/>
                <w:b/>
                <w:bCs/>
                <w:color w:val="auto"/>
                <w:sz w:val="28"/>
                <w:szCs w:val="28"/>
                <w:highlight w:val="none"/>
              </w:rPr>
            </w:pPr>
          </w:p>
          <w:p w14:paraId="45AF6AB3">
            <w:pPr>
              <w:keepNext w:val="0"/>
              <w:keepLines w:val="0"/>
              <w:pageBreakBefore w:val="0"/>
              <w:widowControl w:val="0"/>
              <w:shd w:val="clear"/>
              <w:kinsoku/>
              <w:wordWrap/>
              <w:overflowPunct/>
              <w:topLinePunct w:val="0"/>
              <w:bidi w:val="0"/>
              <w:snapToGrid/>
              <w:spacing w:line="440" w:lineRule="exact"/>
              <w:jc w:val="left"/>
              <w:textAlignment w:val="auto"/>
              <w:rPr>
                <w:rFonts w:hint="eastAsia" w:ascii="仿宋_GB2312" w:hAnsi="仿宋_GB2312" w:eastAsia="仿宋_GB2312" w:cs="仿宋_GB2312"/>
                <w:b/>
                <w:bCs/>
                <w:color w:val="auto"/>
                <w:sz w:val="28"/>
                <w:szCs w:val="28"/>
                <w:highlight w:val="none"/>
                <w:vertAlign w:val="baseline"/>
              </w:rPr>
            </w:pPr>
            <w:r>
              <w:rPr>
                <w:rFonts w:hint="eastAsia" w:ascii="仿宋_GB2312" w:hAnsi="仿宋_GB2312" w:eastAsia="仿宋_GB2312" w:cs="仿宋_GB2312"/>
                <w:b/>
                <w:bCs/>
                <w:color w:val="auto"/>
                <w:sz w:val="28"/>
                <w:szCs w:val="28"/>
                <w:highlight w:val="none"/>
              </w:rPr>
              <w:t>甲方（盖章）：</w:t>
            </w:r>
          </w:p>
        </w:tc>
        <w:tc>
          <w:tcPr>
            <w:tcW w:w="4243" w:type="dxa"/>
            <w:tcBorders>
              <w:tl2br w:val="nil"/>
              <w:tr2bl w:val="nil"/>
            </w:tcBorders>
            <w:vAlign w:val="top"/>
          </w:tcPr>
          <w:p w14:paraId="7593FE73">
            <w:pPr>
              <w:keepNext w:val="0"/>
              <w:keepLines w:val="0"/>
              <w:pageBreakBefore w:val="0"/>
              <w:widowControl w:val="0"/>
              <w:shd w:val="clear"/>
              <w:kinsoku/>
              <w:wordWrap/>
              <w:overflowPunct/>
              <w:topLinePunct w:val="0"/>
              <w:bidi w:val="0"/>
              <w:snapToGrid/>
              <w:spacing w:line="440" w:lineRule="exact"/>
              <w:jc w:val="lef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 xml:space="preserve"> </w:t>
            </w:r>
          </w:p>
          <w:p w14:paraId="7ECAA564">
            <w:pPr>
              <w:keepNext w:val="0"/>
              <w:keepLines w:val="0"/>
              <w:pageBreakBefore w:val="0"/>
              <w:widowControl w:val="0"/>
              <w:shd w:val="clear"/>
              <w:kinsoku/>
              <w:wordWrap/>
              <w:overflowPunct/>
              <w:topLinePunct w:val="0"/>
              <w:bidi w:val="0"/>
              <w:snapToGrid/>
              <w:spacing w:line="440" w:lineRule="exact"/>
              <w:jc w:val="left"/>
              <w:textAlignment w:val="auto"/>
              <w:rPr>
                <w:rFonts w:hint="eastAsia" w:ascii="仿宋_GB2312" w:hAnsi="仿宋_GB2312" w:eastAsia="仿宋_GB2312" w:cs="仿宋_GB2312"/>
                <w:b/>
                <w:bCs/>
                <w:color w:val="auto"/>
                <w:sz w:val="28"/>
                <w:szCs w:val="28"/>
                <w:highlight w:val="none"/>
                <w:vertAlign w:val="baseline"/>
              </w:rPr>
            </w:pPr>
            <w:r>
              <w:rPr>
                <w:rFonts w:hint="eastAsia" w:ascii="仿宋_GB2312" w:hAnsi="仿宋_GB2312" w:eastAsia="仿宋_GB2312" w:cs="仿宋_GB2312"/>
                <w:b/>
                <w:bCs/>
                <w:color w:val="auto"/>
                <w:sz w:val="28"/>
                <w:szCs w:val="28"/>
                <w:highlight w:val="none"/>
              </w:rPr>
              <w:t>乙方 （盖章）：</w:t>
            </w:r>
          </w:p>
        </w:tc>
      </w:tr>
    </w:tbl>
    <w:p w14:paraId="08CD9BDE">
      <w:pPr>
        <w:keepNext w:val="0"/>
        <w:keepLines w:val="0"/>
        <w:pageBreakBefore w:val="0"/>
        <w:widowControl w:val="0"/>
        <w:shd w:val="clear"/>
        <w:kinsoku/>
        <w:wordWrap/>
        <w:overflowPunct/>
        <w:topLinePunct w:val="0"/>
        <w:bidi w:val="0"/>
        <w:snapToGrid/>
        <w:spacing w:line="440" w:lineRule="exact"/>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全员证件：</w:t>
      </w:r>
    </w:p>
    <w:p w14:paraId="6430F4D7">
      <w:pPr>
        <w:keepNext w:val="0"/>
        <w:keepLines w:val="0"/>
        <w:pageBreakBefore w:val="0"/>
        <w:widowControl w:val="0"/>
        <w:shd w:val="clear"/>
        <w:kinsoku/>
        <w:wordWrap/>
        <w:overflowPunct/>
        <w:topLinePunct w:val="0"/>
        <w:bidi w:val="0"/>
        <w:snapToGrid/>
        <w:spacing w:line="440" w:lineRule="exact"/>
        <w:jc w:val="left"/>
        <w:textAlignment w:val="auto"/>
        <w:rPr>
          <w:rFonts w:hint="eastAsia" w:ascii="仿宋_GB2312" w:hAnsi="仿宋_GB2312" w:eastAsia="仿宋_GB2312" w:cs="仿宋_GB2312"/>
          <w:color w:val="auto"/>
          <w:sz w:val="28"/>
          <w:szCs w:val="28"/>
          <w:highlight w:val="none"/>
          <w:lang w:val="en-US" w:eastAsia="zh-CN"/>
        </w:rPr>
      </w:pPr>
    </w:p>
    <w:p w14:paraId="2BA13993">
      <w:pPr>
        <w:shd w:val="clear"/>
        <w:spacing w:line="480" w:lineRule="exact"/>
        <w:jc w:val="left"/>
        <w:rPr>
          <w:rFonts w:hint="eastAsia" w:ascii="黑体" w:hAnsi="黑体" w:eastAsia="黑体" w:cs="黑体"/>
          <w:color w:val="auto"/>
          <w:sz w:val="28"/>
          <w:szCs w:val="28"/>
          <w:highlight w:val="none"/>
          <w:lang w:val="en-US" w:eastAsia="zh-CN"/>
        </w:rPr>
      </w:pPr>
    </w:p>
    <w:p w14:paraId="60373B24">
      <w:pPr>
        <w:shd w:val="clear"/>
        <w:spacing w:line="480" w:lineRule="exact"/>
        <w:jc w:val="left"/>
        <w:rPr>
          <w:rFonts w:hint="eastAsia" w:ascii="黑体" w:hAnsi="黑体" w:eastAsia="黑体" w:cs="黑体"/>
          <w:color w:val="auto"/>
          <w:sz w:val="28"/>
          <w:szCs w:val="28"/>
          <w:highlight w:val="none"/>
          <w:lang w:val="en-US" w:eastAsia="zh-CN"/>
        </w:rPr>
      </w:pPr>
    </w:p>
    <w:p w14:paraId="6BC6883E">
      <w:pPr>
        <w:shd w:val="clear"/>
        <w:spacing w:line="480" w:lineRule="exact"/>
        <w:jc w:val="left"/>
        <w:rPr>
          <w:rFonts w:hint="eastAsia" w:ascii="黑体" w:hAnsi="黑体" w:eastAsia="黑体" w:cs="黑体"/>
          <w:color w:val="auto"/>
          <w:sz w:val="28"/>
          <w:szCs w:val="28"/>
          <w:highlight w:val="none"/>
          <w:lang w:val="en-US" w:eastAsia="zh-CN"/>
        </w:rPr>
      </w:pPr>
    </w:p>
    <w:p w14:paraId="4969D6C0">
      <w:pPr>
        <w:shd w:val="clear"/>
        <w:spacing w:line="480" w:lineRule="exact"/>
        <w:jc w:val="left"/>
        <w:rPr>
          <w:rFonts w:hint="eastAsia" w:ascii="黑体" w:hAnsi="黑体" w:eastAsia="黑体" w:cs="黑体"/>
          <w:color w:val="auto"/>
          <w:sz w:val="28"/>
          <w:szCs w:val="28"/>
          <w:highlight w:val="none"/>
          <w:lang w:val="en-US" w:eastAsia="zh-CN"/>
        </w:rPr>
      </w:pPr>
    </w:p>
    <w:p w14:paraId="2D9ECB96">
      <w:pPr>
        <w:shd w:val="clear"/>
        <w:spacing w:line="480" w:lineRule="exact"/>
        <w:jc w:val="left"/>
        <w:rPr>
          <w:rFonts w:hint="eastAsia" w:ascii="黑体" w:hAnsi="黑体" w:eastAsia="黑体" w:cs="黑体"/>
          <w:color w:val="auto"/>
          <w:sz w:val="28"/>
          <w:szCs w:val="28"/>
          <w:highlight w:val="none"/>
          <w:lang w:val="en-US" w:eastAsia="zh-CN"/>
        </w:rPr>
      </w:pPr>
    </w:p>
    <w:p w14:paraId="630D86AA">
      <w:pPr>
        <w:shd w:val="clear"/>
        <w:spacing w:line="480" w:lineRule="exact"/>
        <w:jc w:val="left"/>
        <w:rPr>
          <w:rFonts w:hint="eastAsia" w:ascii="黑体" w:hAnsi="黑体" w:eastAsia="黑体" w:cs="黑体"/>
          <w:color w:val="auto"/>
          <w:sz w:val="28"/>
          <w:szCs w:val="28"/>
          <w:highlight w:val="none"/>
          <w:lang w:val="en-US" w:eastAsia="zh-CN"/>
        </w:rPr>
      </w:pPr>
    </w:p>
    <w:p w14:paraId="13C3B28C">
      <w:pPr>
        <w:shd w:val="clear"/>
        <w:spacing w:line="480" w:lineRule="exact"/>
        <w:jc w:val="left"/>
        <w:rPr>
          <w:rFonts w:hint="eastAsia" w:ascii="黑体" w:hAnsi="黑体" w:eastAsia="黑体" w:cs="黑体"/>
          <w:color w:val="auto"/>
          <w:sz w:val="28"/>
          <w:szCs w:val="28"/>
          <w:highlight w:val="none"/>
          <w:lang w:val="en-US" w:eastAsia="zh-CN"/>
        </w:rPr>
      </w:pPr>
    </w:p>
    <w:p w14:paraId="7E9045ED">
      <w:pPr>
        <w:shd w:val="clear"/>
        <w:spacing w:line="480" w:lineRule="exact"/>
        <w:jc w:val="left"/>
        <w:rPr>
          <w:rFonts w:hint="eastAsia" w:ascii="黑体" w:hAnsi="黑体" w:eastAsia="黑体" w:cs="黑体"/>
          <w:color w:val="auto"/>
          <w:sz w:val="28"/>
          <w:szCs w:val="28"/>
          <w:highlight w:val="none"/>
          <w:lang w:val="en-US" w:eastAsia="zh-CN"/>
        </w:rPr>
      </w:pPr>
    </w:p>
    <w:p w14:paraId="7FDA1A68">
      <w:pPr>
        <w:shd w:val="clear"/>
        <w:spacing w:line="480" w:lineRule="exact"/>
        <w:jc w:val="left"/>
        <w:rPr>
          <w:rFonts w:hint="eastAsia" w:ascii="黑体" w:hAnsi="黑体" w:eastAsia="黑体" w:cs="黑体"/>
          <w:color w:val="auto"/>
          <w:sz w:val="28"/>
          <w:szCs w:val="28"/>
          <w:highlight w:val="none"/>
          <w:lang w:val="en-US" w:eastAsia="zh-CN"/>
        </w:rPr>
      </w:pPr>
    </w:p>
    <w:p w14:paraId="05C82B7B">
      <w:pPr>
        <w:shd w:val="clear"/>
        <w:spacing w:line="480" w:lineRule="exact"/>
        <w:jc w:val="left"/>
        <w:rPr>
          <w:rFonts w:hint="eastAsia" w:ascii="黑体" w:hAnsi="黑体" w:eastAsia="黑体" w:cs="黑体"/>
          <w:color w:val="auto"/>
          <w:sz w:val="28"/>
          <w:szCs w:val="28"/>
          <w:highlight w:val="none"/>
          <w:lang w:val="en-US" w:eastAsia="zh-CN"/>
        </w:rPr>
      </w:pPr>
    </w:p>
    <w:p w14:paraId="7313B196">
      <w:pPr>
        <w:shd w:val="clear"/>
        <w:spacing w:line="480" w:lineRule="exact"/>
        <w:jc w:val="left"/>
        <w:rPr>
          <w:rFonts w:hint="eastAsia" w:ascii="黑体" w:hAnsi="黑体" w:eastAsia="黑体" w:cs="黑体"/>
          <w:color w:val="auto"/>
          <w:sz w:val="28"/>
          <w:szCs w:val="28"/>
          <w:highlight w:val="none"/>
          <w:lang w:val="en-US" w:eastAsia="zh-CN"/>
        </w:rPr>
      </w:pPr>
    </w:p>
    <w:p w14:paraId="2EDDB0CD">
      <w:pPr>
        <w:shd w:val="clear"/>
        <w:spacing w:line="480" w:lineRule="exact"/>
        <w:jc w:val="left"/>
        <w:rPr>
          <w:rFonts w:hint="eastAsia" w:ascii="黑体" w:hAnsi="黑体" w:eastAsia="黑体" w:cs="黑体"/>
          <w:color w:val="auto"/>
          <w:sz w:val="28"/>
          <w:szCs w:val="28"/>
          <w:highlight w:val="none"/>
          <w:lang w:val="en-US" w:eastAsia="zh-CN"/>
        </w:rPr>
      </w:pPr>
    </w:p>
    <w:p w14:paraId="79D24BB5">
      <w:pPr>
        <w:shd w:val="clear"/>
        <w:spacing w:line="480" w:lineRule="exact"/>
        <w:jc w:val="left"/>
        <w:rPr>
          <w:rFonts w:hint="eastAsia" w:ascii="黑体" w:hAnsi="黑体" w:eastAsia="黑体" w:cs="黑体"/>
          <w:color w:val="auto"/>
          <w:sz w:val="28"/>
          <w:szCs w:val="28"/>
          <w:highlight w:val="none"/>
          <w:lang w:val="en-US" w:eastAsia="zh-CN"/>
        </w:rPr>
      </w:pPr>
    </w:p>
    <w:p w14:paraId="17B0CFB3">
      <w:pPr>
        <w:shd w:val="clear"/>
        <w:spacing w:line="480" w:lineRule="exact"/>
        <w:jc w:val="left"/>
        <w:rPr>
          <w:rFonts w:hint="eastAsia" w:ascii="黑体" w:hAnsi="黑体" w:eastAsia="黑体" w:cs="黑体"/>
          <w:color w:val="auto"/>
          <w:sz w:val="28"/>
          <w:szCs w:val="28"/>
          <w:highlight w:val="none"/>
          <w:lang w:val="en-US" w:eastAsia="zh-CN"/>
        </w:rPr>
      </w:pPr>
    </w:p>
    <w:p w14:paraId="1AD98F03">
      <w:pPr>
        <w:shd w:val="clear"/>
        <w:spacing w:line="480" w:lineRule="exact"/>
        <w:jc w:val="left"/>
        <w:rPr>
          <w:rFonts w:hint="eastAsia" w:ascii="黑体" w:hAnsi="黑体" w:eastAsia="黑体" w:cs="黑体"/>
          <w:color w:val="auto"/>
          <w:sz w:val="28"/>
          <w:szCs w:val="28"/>
          <w:highlight w:val="none"/>
          <w:lang w:val="en-US" w:eastAsia="zh-CN"/>
        </w:rPr>
      </w:pPr>
    </w:p>
    <w:p w14:paraId="4F34E748">
      <w:pPr>
        <w:shd w:val="clear"/>
        <w:spacing w:line="480" w:lineRule="exact"/>
        <w:jc w:val="left"/>
        <w:rPr>
          <w:rFonts w:hint="eastAsia" w:ascii="黑体" w:hAnsi="黑体" w:eastAsia="黑体" w:cs="黑体"/>
          <w:color w:val="auto"/>
          <w:sz w:val="28"/>
          <w:szCs w:val="28"/>
          <w:highlight w:val="none"/>
          <w:lang w:val="en-US" w:eastAsia="zh-CN"/>
        </w:rPr>
      </w:pPr>
    </w:p>
    <w:p w14:paraId="3E71598E">
      <w:pPr>
        <w:shd w:val="clear"/>
        <w:spacing w:line="480" w:lineRule="exact"/>
        <w:jc w:val="left"/>
        <w:rPr>
          <w:rFonts w:hint="eastAsia" w:ascii="黑体" w:hAnsi="黑体" w:eastAsia="黑体" w:cs="黑体"/>
          <w:color w:val="auto"/>
          <w:sz w:val="28"/>
          <w:szCs w:val="28"/>
          <w:highlight w:val="none"/>
          <w:lang w:val="en-US" w:eastAsia="zh-CN"/>
        </w:rPr>
      </w:pPr>
    </w:p>
    <w:p w14:paraId="758183C2">
      <w:pPr>
        <w:shd w:val="clear"/>
        <w:spacing w:line="480" w:lineRule="exact"/>
        <w:jc w:val="left"/>
        <w:rPr>
          <w:rFonts w:hint="eastAsia" w:ascii="黑体" w:hAnsi="黑体" w:eastAsia="黑体" w:cs="黑体"/>
          <w:color w:val="auto"/>
          <w:sz w:val="28"/>
          <w:szCs w:val="28"/>
          <w:highlight w:val="none"/>
          <w:lang w:val="en-US" w:eastAsia="zh-CN"/>
        </w:rPr>
      </w:pPr>
    </w:p>
    <w:p w14:paraId="1DD4DC91">
      <w:pPr>
        <w:shd w:val="clear"/>
        <w:spacing w:line="480" w:lineRule="exact"/>
        <w:jc w:val="left"/>
        <w:rPr>
          <w:rFonts w:hint="eastAsia" w:ascii="黑体" w:hAnsi="黑体" w:eastAsia="黑体" w:cs="黑体"/>
          <w:color w:val="auto"/>
          <w:sz w:val="28"/>
          <w:szCs w:val="28"/>
          <w:highlight w:val="none"/>
          <w:lang w:val="en-US" w:eastAsia="zh-CN"/>
        </w:rPr>
      </w:pPr>
    </w:p>
    <w:p w14:paraId="55E350FB">
      <w:pPr>
        <w:shd w:val="clear"/>
        <w:spacing w:line="480" w:lineRule="exact"/>
        <w:jc w:val="left"/>
        <w:rPr>
          <w:rFonts w:hint="eastAsia" w:ascii="黑体" w:hAnsi="黑体" w:eastAsia="黑体" w:cs="黑体"/>
          <w:color w:val="auto"/>
          <w:sz w:val="28"/>
          <w:szCs w:val="28"/>
          <w:highlight w:val="none"/>
          <w:lang w:val="en-US" w:eastAsia="zh-CN"/>
        </w:rPr>
      </w:pPr>
    </w:p>
    <w:p w14:paraId="69EDFAF9">
      <w:pPr>
        <w:shd w:val="clear"/>
        <w:spacing w:line="480" w:lineRule="exact"/>
        <w:jc w:val="left"/>
        <w:rPr>
          <w:rFonts w:hint="eastAsia" w:ascii="黑体" w:hAnsi="黑体" w:eastAsia="黑体" w:cs="黑体"/>
          <w:color w:val="auto"/>
          <w:sz w:val="28"/>
          <w:szCs w:val="28"/>
          <w:highlight w:val="none"/>
          <w:lang w:val="en-US" w:eastAsia="zh-CN"/>
        </w:rPr>
      </w:pPr>
    </w:p>
    <w:p w14:paraId="66E29385">
      <w:pPr>
        <w:shd w:val="clear"/>
        <w:spacing w:line="480" w:lineRule="exact"/>
        <w:jc w:val="left"/>
        <w:rPr>
          <w:rFonts w:hint="eastAsia" w:ascii="黑体" w:hAnsi="黑体" w:eastAsia="黑体" w:cs="黑体"/>
          <w:color w:val="auto"/>
          <w:sz w:val="28"/>
          <w:szCs w:val="28"/>
          <w:highlight w:val="none"/>
          <w:lang w:val="en-US" w:eastAsia="zh-CN"/>
        </w:rPr>
      </w:pPr>
    </w:p>
    <w:p w14:paraId="102F9DFE">
      <w:pPr>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br w:type="page"/>
      </w:r>
    </w:p>
    <w:p w14:paraId="51AA51A7">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rPr>
        <w:t>附件</w:t>
      </w:r>
      <w:r>
        <w:rPr>
          <w:rFonts w:hint="eastAsia" w:ascii="黑体" w:hAnsi="黑体" w:eastAsia="黑体" w:cs="黑体"/>
          <w:color w:val="auto"/>
          <w:sz w:val="28"/>
          <w:szCs w:val="28"/>
          <w:highlight w:val="none"/>
          <w:lang w:val="en-US" w:eastAsia="zh-CN"/>
        </w:rPr>
        <w:t>9</w:t>
      </w:r>
    </w:p>
    <w:p w14:paraId="4EDDFDC8">
      <w:pPr>
        <w:shd w:val="clear"/>
        <w:snapToGrid w:val="0"/>
        <w:spacing w:line="400" w:lineRule="exact"/>
        <w:contextualSpacing/>
        <w:jc w:val="center"/>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工程质量保修书</w:t>
      </w:r>
    </w:p>
    <w:p w14:paraId="0D1BF23D">
      <w:pPr>
        <w:shd w:val="clear"/>
        <w:spacing w:line="480" w:lineRule="exact"/>
        <w:rPr>
          <w:rFonts w:hint="eastAsia" w:ascii="仿宋_GB2312" w:hAnsi="仿宋_GB2312" w:eastAsia="仿宋_GB2312" w:cs="仿宋_GB2312"/>
          <w:b/>
          <w:color w:val="auto"/>
          <w:sz w:val="28"/>
          <w:szCs w:val="28"/>
          <w:highlight w:val="none"/>
        </w:rPr>
      </w:pPr>
    </w:p>
    <w:p w14:paraId="47CD61B6">
      <w:pPr>
        <w:shd w:val="clea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甲方（承包人）：【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7476B3E6">
      <w:pPr>
        <w:shd w:val="clear"/>
        <w:spacing w:line="480" w:lineRule="exact"/>
        <w:jc w:val="left"/>
        <w:rPr>
          <w:rFonts w:ascii="仿宋_GB2312" w:eastAsia="仿宋_GB2312" w:hAnsiTheme="minorEastAsia" w:cstheme="minorEastAsia"/>
          <w:color w:val="auto"/>
          <w:sz w:val="28"/>
          <w:szCs w:val="28"/>
          <w:highlight w:val="none"/>
        </w:rPr>
      </w:pPr>
      <w:r>
        <w:rPr>
          <w:rFonts w:hint="eastAsia" w:ascii="仿宋_GB2312" w:hAnsi="仿宋_GB2312" w:eastAsia="仿宋_GB2312" w:cs="仿宋_GB2312"/>
          <w:b/>
          <w:color w:val="auto"/>
          <w:sz w:val="28"/>
          <w:szCs w:val="28"/>
          <w:highlight w:val="none"/>
        </w:rPr>
        <w:t>乙方（分包人）：【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79154C0E">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u w:val="none"/>
        </w:rPr>
      </w:pPr>
    </w:p>
    <w:p w14:paraId="2C9C9636">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甲方和乙方根据《中华人民共和国建筑法》和《建设工程质量管理条例》，经协商一致就</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b w:val="0"/>
          <w:bCs w:val="0"/>
          <w:color w:val="auto"/>
          <w:spacing w:val="0"/>
          <w:sz w:val="28"/>
          <w:szCs w:val="28"/>
          <w:highlight w:val="none"/>
          <w:u w:val="none"/>
          <w:lang w:eastAsia="zh-CN"/>
        </w:rPr>
        <w:t>广西大学机械教学实验中心大楼项目精装修工程</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签订工程质量保修书。</w:t>
      </w:r>
    </w:p>
    <w:p w14:paraId="62E865B1">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一、工程质量保修范围和内容</w:t>
      </w:r>
    </w:p>
    <w:p w14:paraId="236A3D03">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乙方在保修期内，按照有关法律规定和合同约定，承担工程质量保修责任。质量保修范围和内容：</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b w:val="0"/>
          <w:bCs w:val="0"/>
          <w:color w:val="auto"/>
          <w:spacing w:val="0"/>
          <w:sz w:val="28"/>
          <w:szCs w:val="28"/>
          <w:highlight w:val="none"/>
          <w:u w:val="none"/>
          <w:lang w:eastAsia="zh-CN"/>
        </w:rPr>
        <w:t>广西大学机械教学实验中心大楼项目精装修工程</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w:t>
      </w:r>
    </w:p>
    <w:p w14:paraId="0F6E1AEF">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二、保修期</w:t>
      </w:r>
    </w:p>
    <w:p w14:paraId="2C7969DF">
      <w:pPr>
        <w:keepNext w:val="0"/>
        <w:keepLines w:val="0"/>
        <w:pageBreakBefore w:val="0"/>
        <w:widowControl/>
        <w:shd w:val="clea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根据《建设工程质量管理条例》及有关规定，分包工程的保修期如下：</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rPr>
        <w:t>2年</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。保修期自</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kern w:val="2"/>
          <w:sz w:val="28"/>
          <w:szCs w:val="28"/>
          <w:highlight w:val="none"/>
          <w:u w:val="none"/>
          <w:lang w:val="en-US" w:eastAsia="zh-CN" w:bidi="ar"/>
        </w:rPr>
        <w:t>自分包工程竣工验收合格之日</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起计算。</w:t>
      </w:r>
    </w:p>
    <w:p w14:paraId="41644663">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三、缺陷责任期</w:t>
      </w:r>
    </w:p>
    <w:p w14:paraId="3514175F">
      <w:pPr>
        <w:keepNext w:val="0"/>
        <w:keepLines w:val="0"/>
        <w:pageBreakBefore w:val="0"/>
        <w:widowControl/>
        <w:shd w:val="clea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分包工程缺陷责任期为</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24</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个月，缺陷责任期自</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kern w:val="2"/>
          <w:sz w:val="28"/>
          <w:szCs w:val="28"/>
          <w:highlight w:val="none"/>
          <w:u w:val="none"/>
          <w:lang w:val="en-US" w:eastAsia="zh-CN" w:bidi="ar"/>
        </w:rPr>
        <w:t>自分包工程竣工验收合格之日</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起计算。缺陷责任期终止后，分包人应按照确定的质量保修期承担保修责任。</w:t>
      </w:r>
    </w:p>
    <w:p w14:paraId="7303BB1F">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四、质量保修责任</w:t>
      </w:r>
    </w:p>
    <w:p w14:paraId="1CE56DE3">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1．属于保修范围、内容的项目，乙方应当在接到保修通知之日起</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天内派人保修，并于甲方要求的时限内完成保修。乙方不在约定期限内派人保修或未按甲方要求的时限完成保修的，甲方可以委托他人修理。</w:t>
      </w:r>
    </w:p>
    <w:p w14:paraId="72A66080">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2．发生紧急事故需抢修的，乙方在接到事故通知后，应当立即到达事故现场抢修。</w:t>
      </w:r>
    </w:p>
    <w:p w14:paraId="02F84690">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对于涉及结构安全的质量问题，乙方应当按照《建设工程质量管理条例》的规定，立即向当地建设行政主管部门和有关部门报告，采取安全防范措施，并由原设计人或者具有相应资质等级的设计人提出保修方案，乙方实施保修。</w:t>
      </w:r>
    </w:p>
    <w:p w14:paraId="630FBF47">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4．质量保修完成后，由甲方组织验收。</w:t>
      </w:r>
    </w:p>
    <w:p w14:paraId="7298D293">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五、保修费用</w:t>
      </w:r>
    </w:p>
    <w:p w14:paraId="49C5ACC7">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保修费用由造成质量缺陷的责任方承担。</w:t>
      </w:r>
    </w:p>
    <w:p w14:paraId="034A4B33">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rPr>
        <w:t>六、双方约定的其他工程质量保修事项：</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w:t>
      </w:r>
      <w:r>
        <w:rPr>
          <w:rFonts w:hint="eastAsia" w:ascii="仿宋_GB2312" w:hAnsi="仿宋_GB2312" w:eastAsia="仿宋_GB2312" w:cs="仿宋_GB2312"/>
          <w:color w:val="auto"/>
          <w:sz w:val="28"/>
          <w:szCs w:val="28"/>
          <w:highlight w:val="none"/>
          <w:u w:val="none"/>
          <w:lang w:eastAsia="zh-CN"/>
        </w:rPr>
        <w:t>】</w:t>
      </w:r>
    </w:p>
    <w:p w14:paraId="1B1DBEC6">
      <w:pPr>
        <w:keepNext w:val="0"/>
        <w:keepLines w:val="0"/>
        <w:pageBreakBefore w:val="0"/>
        <w:shd w:val="clear"/>
        <w:kinsoku/>
        <w:wordWrap w:val="0"/>
        <w:overflowPunct/>
        <w:topLinePunct w:val="0"/>
        <w:autoSpaceDE/>
        <w:autoSpaceDN/>
        <w:bidi w:val="0"/>
        <w:adjustRightInd/>
        <w:snapToGrid/>
        <w:spacing w:line="440" w:lineRule="exact"/>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none"/>
        </w:rPr>
        <w:t>工程质量保修书由甲方、乙方在工程</w:t>
      </w:r>
      <w:r>
        <w:rPr>
          <w:rFonts w:hint="eastAsia" w:ascii="仿宋_GB2312" w:hAnsi="仿宋_GB2312" w:eastAsia="仿宋_GB2312" w:cs="仿宋_GB2312"/>
          <w:color w:val="auto"/>
          <w:sz w:val="28"/>
          <w:szCs w:val="28"/>
          <w:highlight w:val="none"/>
          <w:u w:val="none"/>
          <w:lang w:val="en-US" w:eastAsia="zh-CN"/>
        </w:rPr>
        <w:t>完工</w:t>
      </w:r>
      <w:r>
        <w:rPr>
          <w:rFonts w:hint="eastAsia" w:ascii="仿宋_GB2312" w:hAnsi="仿宋_GB2312" w:eastAsia="仿宋_GB2312" w:cs="仿宋_GB2312"/>
          <w:color w:val="auto"/>
          <w:sz w:val="28"/>
          <w:szCs w:val="28"/>
          <w:highlight w:val="none"/>
          <w:u w:val="none"/>
        </w:rPr>
        <w:t>验收前共同签署，作为分包合同的附件，其有效期限至保修期满。</w:t>
      </w:r>
    </w:p>
    <w:p w14:paraId="3B9AC7DD">
      <w:pPr>
        <w:keepNext w:val="0"/>
        <w:keepLines w:val="0"/>
        <w:pageBreakBefore w:val="0"/>
        <w:shd w:val="clear"/>
        <w:kinsoku/>
        <w:wordWrap w:val="0"/>
        <w:overflowPunct/>
        <w:topLinePunct w:val="0"/>
        <w:autoSpaceDE/>
        <w:autoSpaceDN/>
        <w:bidi w:val="0"/>
        <w:adjustRightInd/>
        <w:snapToGrid/>
        <w:spacing w:line="440" w:lineRule="exact"/>
        <w:textAlignment w:val="auto"/>
        <w:outlineLvl w:val="1"/>
        <w:rPr>
          <w:rFonts w:hint="eastAsia" w:ascii="仿宋" w:hAnsi="仿宋" w:eastAsia="仿宋" w:cs="仿宋"/>
          <w:b/>
          <w:bCs/>
          <w:color w:val="auto"/>
          <w:sz w:val="28"/>
          <w:szCs w:val="28"/>
          <w:highlight w:val="none"/>
        </w:rPr>
      </w:pPr>
    </w:p>
    <w:p w14:paraId="4A02DAE7">
      <w:pPr>
        <w:keepNext w:val="0"/>
        <w:keepLines w:val="0"/>
        <w:pageBreakBefore w:val="0"/>
        <w:shd w:val="clear"/>
        <w:kinsoku/>
        <w:wordWrap w:val="0"/>
        <w:overflowPunct/>
        <w:topLinePunct w:val="0"/>
        <w:autoSpaceDE/>
        <w:autoSpaceDN/>
        <w:bidi w:val="0"/>
        <w:adjustRightInd/>
        <w:snapToGrid/>
        <w:spacing w:line="440" w:lineRule="exact"/>
        <w:textAlignment w:val="auto"/>
        <w:outlineLvl w:val="1"/>
        <w:rPr>
          <w:rFonts w:hint="eastAsia" w:ascii="仿宋" w:hAnsi="仿宋" w:eastAsia="仿宋" w:cs="仿宋"/>
          <w:b/>
          <w:bCs/>
          <w:color w:val="auto"/>
          <w:sz w:val="28"/>
          <w:szCs w:val="28"/>
          <w:highlight w:val="none"/>
        </w:rPr>
      </w:pPr>
    </w:p>
    <w:p w14:paraId="6D173E5F">
      <w:pPr>
        <w:keepNext w:val="0"/>
        <w:keepLines w:val="0"/>
        <w:pageBreakBefore w:val="0"/>
        <w:shd w:val="clear"/>
        <w:kinsoku/>
        <w:wordWrap w:val="0"/>
        <w:overflowPunct/>
        <w:topLinePunct w:val="0"/>
        <w:autoSpaceDE/>
        <w:autoSpaceDN/>
        <w:bidi w:val="0"/>
        <w:adjustRightInd/>
        <w:snapToGrid/>
        <w:spacing w:line="44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甲方（盖章）：</w:t>
      </w:r>
      <w:r>
        <w:rPr>
          <w:rFonts w:hint="eastAsia" w:ascii="仿宋" w:hAnsi="仿宋" w:eastAsia="仿宋" w:cs="仿宋"/>
          <w:b/>
          <w:bCs/>
          <w:color w:val="auto"/>
          <w:sz w:val="28"/>
          <w:szCs w:val="28"/>
          <w:highlight w:val="none"/>
          <w:lang w:val="en-US" w:eastAsia="zh-CN"/>
        </w:rPr>
        <w:t xml:space="preserve">                 </w:t>
      </w:r>
      <w:r>
        <w:rPr>
          <w:rFonts w:hint="eastAsia" w:ascii="仿宋" w:hAnsi="仿宋" w:eastAsia="仿宋" w:cs="仿宋"/>
          <w:b/>
          <w:bCs/>
          <w:color w:val="auto"/>
          <w:sz w:val="28"/>
          <w:szCs w:val="28"/>
          <w:highlight w:val="none"/>
        </w:rPr>
        <w:t>乙方 （盖章）：</w:t>
      </w:r>
    </w:p>
    <w:p w14:paraId="0ACF5610">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0C2D9D73">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2AB7C3A4">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6337DE76">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4C34CA7F">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1ED9BA5C">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72A1F4D7">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0C80B098">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1EF6508A">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0065A666">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3F6BDB40">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389EE19B">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7795F215">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4A06837B">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29825F45">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15497AEA">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3C8A0BB0">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077A9FB6">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0AB35A0A">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7CC979FE">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7DDBEE20">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0152D7CF">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44C9FCD6">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3884F3BA">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4735B4CC">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5B5CF018">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254F0938">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5A456AF2">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5D9E30B7">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5247EE00">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p>
    <w:p w14:paraId="3DE39ACB">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附件10</w:t>
      </w:r>
    </w:p>
    <w:p w14:paraId="52318E30">
      <w:pPr>
        <w:shd w:val="clear"/>
        <w:snapToGrid w:val="0"/>
        <w:spacing w:line="400" w:lineRule="exact"/>
        <w:contextualSpacing/>
        <w:jc w:val="center"/>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工期履约管理协议书</w:t>
      </w:r>
    </w:p>
    <w:p w14:paraId="64924265">
      <w:pPr>
        <w:pStyle w:val="11"/>
        <w:shd w:val="clear"/>
        <w:rPr>
          <w:rFonts w:hint="eastAsia" w:ascii="黑体" w:hAnsi="黑体" w:eastAsia="黑体" w:cs="黑体"/>
          <w:color w:val="auto"/>
          <w:sz w:val="28"/>
          <w:szCs w:val="28"/>
          <w:highlight w:val="none"/>
          <w:lang w:val="en-US" w:eastAsia="zh-CN"/>
        </w:rPr>
      </w:pPr>
    </w:p>
    <w:p w14:paraId="20789E42">
      <w:pPr>
        <w:pageBreakBefore w:val="0"/>
        <w:widowControl/>
        <w:shd w:val="clear"/>
        <w:kinsoku/>
        <w:wordWrap/>
        <w:overflowPunct/>
        <w:topLinePunct w:val="0"/>
        <w:autoSpaceDE/>
        <w:autoSpaceDN/>
        <w:bidi w:val="0"/>
        <w:spacing w:line="44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为进一步加强项目工期履约管理，依照相关法律文件、中建集团、中建四局、分公司等有关规定，逐级落实工期管理责任制，促进施工生产顺利进行。遵循公平、守法、诚信的原则，双方就本工程工期管理事项协商一致，订立本协议书。</w:t>
      </w:r>
    </w:p>
    <w:p w14:paraId="78985FBD">
      <w:pPr>
        <w:pageBreakBefore w:val="0"/>
        <w:shd w:val="clear"/>
        <w:kinsoku/>
        <w:wordWrap/>
        <w:overflowPunct/>
        <w:topLinePunct w:val="0"/>
        <w:autoSpaceDE/>
        <w:autoSpaceDN/>
        <w:bidi w:val="0"/>
        <w:spacing w:line="440" w:lineRule="exact"/>
        <w:ind w:firstLine="482"/>
        <w:rPr>
          <w:rFonts w:hint="eastAsia" w:ascii="仿宋_GB2312" w:hAnsi="仿宋_GB2312" w:eastAsia="仿宋_GB2312" w:cs="仿宋_GB2312"/>
          <w:color w:val="auto"/>
          <w:sz w:val="28"/>
          <w:szCs w:val="28"/>
          <w:highlight w:val="none"/>
        </w:rPr>
      </w:pPr>
    </w:p>
    <w:p w14:paraId="6C66989C">
      <w:pPr>
        <w:pageBreakBefore w:val="0"/>
        <w:shd w:val="clear"/>
        <w:kinsoku/>
        <w:wordWrap/>
        <w:overflowPunct/>
        <w:topLinePunct w:val="0"/>
        <w:autoSpaceDE/>
        <w:autoSpaceDN/>
        <w:bidi w:val="0"/>
        <w:spacing w:line="440" w:lineRule="exac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甲方（承包人）：【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694D8211">
      <w:pPr>
        <w:pageBreakBefore w:val="0"/>
        <w:shd w:val="clear"/>
        <w:kinsoku/>
        <w:wordWrap/>
        <w:overflowPunct/>
        <w:topLinePunct w:val="0"/>
        <w:autoSpaceDE/>
        <w:autoSpaceDN/>
        <w:bidi w:val="0"/>
        <w:spacing w:line="440" w:lineRule="exact"/>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乙方（分包人）：【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28440F7A">
      <w:pPr>
        <w:keepNext w:val="0"/>
        <w:keepLines w:val="0"/>
        <w:pageBreakBefore w:val="0"/>
        <w:shd w:val="clear"/>
        <w:kinsoku/>
        <w:wordWrap/>
        <w:overflowPunct/>
        <w:topLinePunct w:val="0"/>
        <w:autoSpaceDE/>
        <w:autoSpaceDN/>
        <w:bidi w:val="0"/>
        <w:spacing w:line="440" w:lineRule="exact"/>
        <w:ind w:firstLine="482"/>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一、工程概况</w:t>
      </w:r>
    </w:p>
    <w:p w14:paraId="13726D17">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1.1工程名称：</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广西大学机械教学实验中心大楼项目精装修工程</w:t>
      </w:r>
    </w:p>
    <w:p w14:paraId="008BD61A">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1.2工程地点：</w:t>
      </w:r>
      <w:r>
        <w:rPr>
          <w:rFonts w:hint="eastAsia" w:ascii="仿宋_GB2312" w:hAnsi="仿宋_GB2312" w:eastAsia="仿宋_GB2312" w:cs="仿宋_GB2312"/>
          <w:color w:val="auto"/>
          <w:sz w:val="28"/>
          <w:szCs w:val="28"/>
          <w:highlight w:val="none"/>
          <w:u w:val="single"/>
          <w:lang w:eastAsia="zh-CN"/>
        </w:rPr>
        <w:t>南宁市大学东路100号广西大学校园内</w:t>
      </w:r>
    </w:p>
    <w:p w14:paraId="77D30753">
      <w:pPr>
        <w:pageBreakBefore w:val="0"/>
        <w:shd w:val="clear"/>
        <w:kinsoku/>
        <w:wordWrap/>
        <w:overflowPunct/>
        <w:topLinePunct w:val="0"/>
        <w:autoSpaceDE/>
        <w:autoSpaceDN/>
        <w:bidi w:val="0"/>
        <w:spacing w:line="440" w:lineRule="exact"/>
        <w:ind w:firstLine="482"/>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1.3分承包形式：</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包工包料</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除甲供材</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 □包工不包料   </w:t>
      </w:r>
    </w:p>
    <w:p w14:paraId="031AEA13">
      <w:pPr>
        <w:pageBreakBefore w:val="0"/>
        <w:shd w:val="clear"/>
        <w:kinsoku/>
        <w:wordWrap/>
        <w:overflowPunct/>
        <w:topLinePunct w:val="0"/>
        <w:autoSpaceDE/>
        <w:autoSpaceDN/>
        <w:bidi w:val="0"/>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□包工包主要施工材料 </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包设备安装 </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包设备拆除  </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包材料供应</w:t>
      </w:r>
    </w:p>
    <w:p w14:paraId="51A28049">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1.4分承包范围：</w:t>
      </w:r>
      <w:r>
        <w:rPr>
          <w:rFonts w:hint="eastAsia" w:ascii="仿宋_GB2312" w:hAnsi="仿宋_GB2312" w:eastAsia="仿宋_GB2312" w:cs="仿宋_GB2312"/>
          <w:color w:val="auto"/>
          <w:sz w:val="28"/>
          <w:szCs w:val="28"/>
          <w:highlight w:val="none"/>
          <w:u w:val="single"/>
          <w:lang w:eastAsia="zh-CN"/>
        </w:rPr>
        <w:t>广西大学机械教学实验中心大楼项目精装修工程</w:t>
      </w:r>
      <w:r>
        <w:rPr>
          <w:rFonts w:hint="eastAsia" w:ascii="仿宋_GB2312" w:hAnsi="仿宋_GB2312" w:eastAsia="仿宋_GB2312" w:cs="仿宋_GB2312"/>
          <w:color w:val="auto"/>
          <w:sz w:val="28"/>
          <w:szCs w:val="28"/>
          <w:highlight w:val="none"/>
          <w:u w:val="single"/>
        </w:rPr>
        <w:t>，包括但不限于根据承包人提供的工程施工图、有关设计文件、设计说明及施工过程中下发的设计变更、图纸会审、工程联系单、会议记要、记录等规定内容。工程范围不明确的，以承包人提供的承包范围内的图纸和相关书面通知为准。对于上述承包范围，根据分包人的履约情况，承包人有权进行调整和另行分包，分包单价亦不予调整，分包人无权向承包人主张任何赔偿，分包人对此无异议。本工程若因建设单位原因取消原属于承包人工作之内容，分包人应给与理解，不因工程量增减而影响施工。</w:t>
      </w:r>
    </w:p>
    <w:p w14:paraId="7883C2AA">
      <w:pPr>
        <w:keepNext/>
        <w:keepLines/>
        <w:pageBreakBefore w:val="0"/>
        <w:shd w:val="clear"/>
        <w:kinsoku/>
        <w:wordWrap/>
        <w:overflowPunct/>
        <w:topLinePunct w:val="0"/>
        <w:autoSpaceDE/>
        <w:autoSpaceDN/>
        <w:bidi w:val="0"/>
        <w:spacing w:line="440" w:lineRule="exact"/>
        <w:outlineLvl w:val="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二、合同工期</w:t>
      </w:r>
    </w:p>
    <w:p w14:paraId="78D65757">
      <w:pPr>
        <w:pageBreakBefore w:val="0"/>
        <w:shd w:val="clear"/>
        <w:kinsoku/>
        <w:wordWrap/>
        <w:overflowPunct/>
        <w:topLinePunct w:val="0"/>
        <w:autoSpaceDE/>
        <w:autoSpaceDN/>
        <w:bidi w:val="0"/>
        <w:adjustRightInd w:val="0"/>
        <w:snapToGrid w:val="0"/>
        <w:spacing w:line="44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2.1计划开工日期：本分包工程暂定于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2025</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6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日开工，具体开工时间以</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通知（开工令）为准。</w:t>
      </w:r>
    </w:p>
    <w:p w14:paraId="115EB648">
      <w:pPr>
        <w:pageBreakBefore w:val="0"/>
        <w:shd w:val="clear"/>
        <w:kinsoku/>
        <w:wordWrap/>
        <w:overflowPunct/>
        <w:topLinePunct w:val="0"/>
        <w:autoSpaceDE/>
        <w:autoSpaceDN/>
        <w:bidi w:val="0"/>
        <w:spacing w:line="44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2.2计划完工日期：本分包工程暂定于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2025</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12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日完工，具体以</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要求工期节点为准。</w:t>
      </w:r>
    </w:p>
    <w:p w14:paraId="3851AA4C">
      <w:pPr>
        <w:pageBreakBefore w:val="0"/>
        <w:shd w:val="clear"/>
        <w:kinsoku/>
        <w:wordWrap/>
        <w:overflowPunct/>
        <w:topLinePunct w:val="0"/>
        <w:autoSpaceDE/>
        <w:autoSpaceDN/>
        <w:bidi w:val="0"/>
        <w:spacing w:line="44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2.3总工期：</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194</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日历天。总工期与前述计划开始、完工日期计算的天数不一致的，以总工期为准。</w:t>
      </w:r>
    </w:p>
    <w:p w14:paraId="6A50769A">
      <w:pPr>
        <w:pageBreakBefore w:val="0"/>
        <w:shd w:val="clear"/>
        <w:kinsoku/>
        <w:wordWrap/>
        <w:overflowPunct/>
        <w:topLinePunct w:val="0"/>
        <w:autoSpaceDE/>
        <w:autoSpaceDN/>
        <w:bidi w:val="0"/>
        <w:spacing w:line="44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2.4主要节点及劳动力要求：</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1"/>
        <w:gridCol w:w="2475"/>
        <w:gridCol w:w="2201"/>
        <w:gridCol w:w="2917"/>
      </w:tblGrid>
      <w:tr w14:paraId="6A254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147" w:type="pct"/>
            <w:vAlign w:val="center"/>
          </w:tcPr>
          <w:p w14:paraId="0B763641">
            <w:pPr>
              <w:pageBreakBefore w:val="0"/>
              <w:shd w:val="clear"/>
              <w:kinsoku/>
              <w:wordWrap/>
              <w:overflowPunct/>
              <w:topLinePunct w:val="0"/>
              <w:autoSpaceDE/>
              <w:autoSpaceDN/>
              <w:bidi w:val="0"/>
              <w:spacing w:line="440" w:lineRule="exact"/>
              <w:jc w:val="center"/>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主要节点名称</w:t>
            </w:r>
          </w:p>
        </w:tc>
        <w:tc>
          <w:tcPr>
            <w:tcW w:w="1256" w:type="pct"/>
            <w:vAlign w:val="center"/>
          </w:tcPr>
          <w:p w14:paraId="612F422A">
            <w:pPr>
              <w:pageBreakBefore w:val="0"/>
              <w:shd w:val="clear"/>
              <w:kinsoku/>
              <w:wordWrap/>
              <w:overflowPunct/>
              <w:topLinePunct w:val="0"/>
              <w:autoSpaceDE/>
              <w:autoSpaceDN/>
              <w:bidi w:val="0"/>
              <w:spacing w:line="440" w:lineRule="exact"/>
              <w:jc w:val="center"/>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开始时间</w:t>
            </w:r>
          </w:p>
        </w:tc>
        <w:tc>
          <w:tcPr>
            <w:tcW w:w="1117" w:type="pct"/>
          </w:tcPr>
          <w:p w14:paraId="053B1BDC">
            <w:pPr>
              <w:pageBreakBefore w:val="0"/>
              <w:shd w:val="clear"/>
              <w:kinsoku/>
              <w:wordWrap/>
              <w:overflowPunct/>
              <w:topLinePunct w:val="0"/>
              <w:autoSpaceDE/>
              <w:autoSpaceDN/>
              <w:bidi w:val="0"/>
              <w:spacing w:line="440" w:lineRule="exact"/>
              <w:jc w:val="center"/>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完成时间</w:t>
            </w:r>
          </w:p>
        </w:tc>
        <w:tc>
          <w:tcPr>
            <w:tcW w:w="1477" w:type="pct"/>
            <w:vAlign w:val="center"/>
          </w:tcPr>
          <w:p w14:paraId="7CE9F922">
            <w:pPr>
              <w:pageBreakBefore w:val="0"/>
              <w:shd w:val="clear"/>
              <w:kinsoku/>
              <w:wordWrap/>
              <w:overflowPunct/>
              <w:topLinePunct w:val="0"/>
              <w:autoSpaceDE/>
              <w:autoSpaceDN/>
              <w:bidi w:val="0"/>
              <w:spacing w:line="440" w:lineRule="exact"/>
              <w:jc w:val="center"/>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配套劳动力需求</w:t>
            </w:r>
          </w:p>
        </w:tc>
      </w:tr>
      <w:tr w14:paraId="6FF4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147" w:type="pct"/>
            <w:vAlign w:val="center"/>
          </w:tcPr>
          <w:p w14:paraId="395294D3">
            <w:pPr>
              <w:keepNext w:val="0"/>
              <w:keepLines w:val="0"/>
              <w:pageBreakBefore w:val="0"/>
              <w:widowControl/>
              <w:suppressLineNumbers w:val="0"/>
              <w:shd w:val="clear"/>
              <w:kinsoku/>
              <w:wordWrap/>
              <w:overflowPunct/>
              <w:topLinePunct w:val="0"/>
              <w:autoSpaceDE/>
              <w:autoSpaceDN/>
              <w:bidi w:val="0"/>
              <w:spacing w:line="440" w:lineRule="exact"/>
              <w:jc w:val="center"/>
              <w:textAlignment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i w:val="0"/>
                <w:iCs w:val="0"/>
                <w:color w:val="auto"/>
                <w:kern w:val="0"/>
                <w:sz w:val="28"/>
                <w:szCs w:val="28"/>
                <w:highlight w:val="none"/>
                <w:u w:val="none"/>
                <w:lang w:val="en-US" w:eastAsia="zh-CN" w:bidi="ar"/>
              </w:rPr>
              <w:t>精装修工程</w:t>
            </w:r>
          </w:p>
        </w:tc>
        <w:tc>
          <w:tcPr>
            <w:tcW w:w="1256" w:type="pct"/>
            <w:vAlign w:val="center"/>
          </w:tcPr>
          <w:p w14:paraId="5ABAB86D">
            <w:pPr>
              <w:keepNext w:val="0"/>
              <w:keepLines w:val="0"/>
              <w:pageBreakBefore w:val="0"/>
              <w:widowControl/>
              <w:suppressLineNumbers w:val="0"/>
              <w:shd w:val="clear"/>
              <w:kinsoku/>
              <w:wordWrap/>
              <w:overflowPunct/>
              <w:topLinePunct w:val="0"/>
              <w:autoSpaceDE/>
              <w:autoSpaceDN/>
              <w:bidi w:val="0"/>
              <w:spacing w:line="440" w:lineRule="exact"/>
              <w:jc w:val="center"/>
              <w:textAlignment w:val="center"/>
              <w:rPr>
                <w:rFonts w:hint="default" w:ascii="仿宋_GB2312" w:hAnsi="仿宋_GB2312" w:eastAsia="仿宋_GB2312" w:cs="仿宋_GB2312"/>
                <w:color w:val="auto"/>
                <w:kern w:val="0"/>
                <w:sz w:val="28"/>
                <w:szCs w:val="28"/>
                <w:highlight w:val="none"/>
                <w:u w:val="none"/>
                <w:lang w:val="en-US" w:eastAsia="zh-CN" w:bidi="ar"/>
              </w:rPr>
            </w:pPr>
            <w:r>
              <w:rPr>
                <w:rFonts w:hint="eastAsia" w:ascii="仿宋_GB2312" w:hAnsi="仿宋_GB2312" w:eastAsia="仿宋_GB2312" w:cs="仿宋_GB2312"/>
                <w:color w:val="auto"/>
                <w:kern w:val="0"/>
                <w:sz w:val="28"/>
                <w:szCs w:val="28"/>
                <w:highlight w:val="none"/>
                <w:u w:val="none"/>
                <w:lang w:val="en-US" w:eastAsia="zh-CN" w:bidi="ar"/>
              </w:rPr>
              <w:t xml:space="preserve">2025/6/ </w:t>
            </w:r>
          </w:p>
        </w:tc>
        <w:tc>
          <w:tcPr>
            <w:tcW w:w="1117" w:type="pct"/>
            <w:vAlign w:val="center"/>
          </w:tcPr>
          <w:p w14:paraId="3E124155">
            <w:pPr>
              <w:keepNext w:val="0"/>
              <w:keepLines w:val="0"/>
              <w:pageBreakBefore w:val="0"/>
              <w:widowControl/>
              <w:suppressLineNumbers w:val="0"/>
              <w:shd w:val="clear"/>
              <w:kinsoku/>
              <w:wordWrap/>
              <w:overflowPunct/>
              <w:topLinePunct w:val="0"/>
              <w:autoSpaceDE/>
              <w:autoSpaceDN/>
              <w:bidi w:val="0"/>
              <w:spacing w:line="440" w:lineRule="exact"/>
              <w:jc w:val="center"/>
              <w:textAlignment w:val="center"/>
              <w:rPr>
                <w:rFonts w:hint="default" w:ascii="仿宋_GB2312" w:hAnsi="仿宋_GB2312" w:eastAsia="仿宋_GB2312" w:cs="仿宋_GB2312"/>
                <w:color w:val="auto"/>
                <w:kern w:val="0"/>
                <w:sz w:val="28"/>
                <w:szCs w:val="28"/>
                <w:highlight w:val="none"/>
                <w:u w:val="none"/>
                <w:lang w:val="en-US" w:eastAsia="zh-CN" w:bidi="ar"/>
              </w:rPr>
            </w:pPr>
            <w:r>
              <w:rPr>
                <w:rFonts w:hint="eastAsia" w:ascii="仿宋_GB2312" w:hAnsi="仿宋_GB2312" w:eastAsia="仿宋_GB2312" w:cs="仿宋_GB2312"/>
                <w:color w:val="auto"/>
                <w:kern w:val="0"/>
                <w:sz w:val="28"/>
                <w:szCs w:val="28"/>
                <w:highlight w:val="none"/>
                <w:u w:val="none"/>
                <w:lang w:val="en-US" w:eastAsia="zh-CN" w:bidi="ar"/>
              </w:rPr>
              <w:t xml:space="preserve">2025/12/ </w:t>
            </w:r>
          </w:p>
        </w:tc>
        <w:tc>
          <w:tcPr>
            <w:tcW w:w="1477" w:type="pct"/>
            <w:vAlign w:val="center"/>
          </w:tcPr>
          <w:p w14:paraId="6297E92E">
            <w:pPr>
              <w:keepNext w:val="0"/>
              <w:keepLines w:val="0"/>
              <w:pageBreakBefore w:val="0"/>
              <w:widowControl/>
              <w:suppressLineNumbers w:val="0"/>
              <w:shd w:val="clear"/>
              <w:kinsoku/>
              <w:wordWrap/>
              <w:overflowPunct/>
              <w:topLinePunct w:val="0"/>
              <w:autoSpaceDE/>
              <w:autoSpaceDN/>
              <w:bidi w:val="0"/>
              <w:spacing w:line="440" w:lineRule="exact"/>
              <w:jc w:val="center"/>
              <w:textAlignment w:val="center"/>
              <w:rPr>
                <w:rFonts w:hint="eastAsia" w:ascii="仿宋_GB2312" w:hAnsi="仿宋_GB2312" w:eastAsia="仿宋_GB2312" w:cs="仿宋_GB2312"/>
                <w:color w:val="auto"/>
                <w:kern w:val="2"/>
                <w:sz w:val="28"/>
                <w:szCs w:val="28"/>
                <w:highlight w:val="none"/>
                <w:lang w:val="en-US" w:eastAsia="zh-CN" w:bidi="ar"/>
              </w:rPr>
            </w:pPr>
            <w:r>
              <w:rPr>
                <w:rFonts w:hint="eastAsia" w:ascii="仿宋_GB2312" w:hAnsi="仿宋_GB2312" w:eastAsia="仿宋_GB2312" w:cs="仿宋_GB2312"/>
                <w:color w:val="auto"/>
                <w:sz w:val="28"/>
                <w:szCs w:val="28"/>
                <w:highlight w:val="none"/>
                <w:u w:val="none"/>
                <w:lang w:val="en-US" w:eastAsia="zh-CN" w:bidi="ar"/>
              </w:rPr>
              <w:t>满足现场施工进度需求</w:t>
            </w:r>
          </w:p>
        </w:tc>
      </w:tr>
      <w:tr w14:paraId="6A13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5000" w:type="pct"/>
            <w:gridSpan w:val="4"/>
            <w:vAlign w:val="center"/>
          </w:tcPr>
          <w:p w14:paraId="466C206F">
            <w:pPr>
              <w:pageBreakBefore w:val="0"/>
              <w:shd w:val="clear"/>
              <w:kinsoku/>
              <w:wordWrap/>
              <w:overflowPunct/>
              <w:topLinePunct w:val="0"/>
              <w:autoSpaceDE/>
              <w:autoSpaceDN/>
              <w:bidi w:val="0"/>
              <w:adjustRightInd w:val="0"/>
              <w:snapToGrid w:val="0"/>
              <w:spacing w:line="440" w:lineRule="exact"/>
              <w:textAlignment w:val="baseline"/>
              <w:rPr>
                <w:rFonts w:hint="eastAsia" w:ascii="仿宋_GB2312" w:hAnsi="仿宋_GB2312" w:eastAsia="仿宋_GB2312" w:cs="仿宋_GB2312"/>
                <w:bCs/>
                <w:color w:val="auto"/>
                <w:kern w:val="0"/>
                <w:sz w:val="28"/>
                <w:szCs w:val="28"/>
                <w:highlight w:val="none"/>
              </w:rPr>
            </w:pPr>
            <w:r>
              <w:rPr>
                <w:rFonts w:hint="eastAsia" w:ascii="仿宋_GB2312" w:hAnsi="仿宋_GB2312" w:eastAsia="仿宋_GB2312" w:cs="仿宋_GB2312"/>
                <w:bCs/>
                <w:color w:val="auto"/>
                <w:kern w:val="0"/>
                <w:sz w:val="28"/>
                <w:szCs w:val="28"/>
                <w:highlight w:val="none"/>
              </w:rPr>
              <w:t>备注：以上劳动力为最低需求，具体以项目过程要求为准。</w:t>
            </w:r>
          </w:p>
        </w:tc>
      </w:tr>
    </w:tbl>
    <w:p w14:paraId="14B9FFB1">
      <w:pPr>
        <w:keepNext/>
        <w:keepLines/>
        <w:pageBreakBefore w:val="0"/>
        <w:shd w:val="clear"/>
        <w:kinsoku/>
        <w:wordWrap/>
        <w:overflowPunct/>
        <w:topLinePunct w:val="0"/>
        <w:autoSpaceDE/>
        <w:autoSpaceDN/>
        <w:bidi w:val="0"/>
        <w:spacing w:before="0" w:line="440" w:lineRule="exact"/>
        <w:outlineLvl w:val="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三、管理责任</w:t>
      </w:r>
    </w:p>
    <w:p w14:paraId="5537E497">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3.1施工准备</w:t>
      </w:r>
    </w:p>
    <w:p w14:paraId="3EA8696E">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3.1.1</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应自中标通知发出3日内做好施工准备，提前组织项目负责人、生产经理、技术员等主要管理人员进场，完成场地、材料、机械布置等施工准备工作。</w:t>
      </w:r>
    </w:p>
    <w:p w14:paraId="099F4AA1">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3.1.2</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管理人员配备应与投标文件保持一致，正式进场施工前，由</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报送拟派管理人员名单，通过</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项目部面试后方可用于本项目，无变更手续不得随意更换或离场，否则按照人员无故离岗处理。</w:t>
      </w:r>
    </w:p>
    <w:p w14:paraId="0A1F2CC7">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3.2过程管理</w:t>
      </w:r>
    </w:p>
    <w:p w14:paraId="2906AFF6">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3.2.1</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必须切实执行</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根据一、二级节点编制的月、周进度计划及各类专项进度计划。</w:t>
      </w:r>
    </w:p>
    <w:p w14:paraId="56000804">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3.2.2</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的管理人员、劳动力、材料、机械等资源必须按</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的要求配备，满足现场施工进度要求。</w:t>
      </w:r>
    </w:p>
    <w:p w14:paraId="25547344">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3.2.3</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根据工程进度情况，有对进度进行调整的权利，包括对关键工序的关键工期的合理调整。若因</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原因导致工期滞后，</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须采取一切措施赶工，并不得提出与此有关的费用要求。若非</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的原因而导致工期滞后，确需赶工的，</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须全力配合，赶工相关事宜由</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与</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按照合同约定协商解决。若由于</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原因致使节点工期延误造成</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大型设备、周转材料超期租赁或第三方对</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的索赔，</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由此造成的损失将由</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进行承担，</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有权根据损失情况清退</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w:t>
      </w:r>
    </w:p>
    <w:p w14:paraId="1CEE7D74">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3.2.4针对施工期间出现的设计变更或施工内容增加，</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接到</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施工指令后，不得以任何理由拒绝施工，否则由此造成的工期延后由</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负责。如若属于合同外内容，由</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与</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根据合同约定和</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公司相关制度解决。</w:t>
      </w:r>
    </w:p>
    <w:p w14:paraId="026646F0">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3.2.5</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在施工期间因自身质量不达标返工或安全文明施工不达标导致停工整改的，工期不得顺延。若由此造成</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或其他单位成本增加的，由</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承担。</w:t>
      </w:r>
    </w:p>
    <w:p w14:paraId="6E0235E0">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3.3工程收尾</w:t>
      </w:r>
    </w:p>
    <w:p w14:paraId="2D114EA2">
      <w:pPr>
        <w:pageBreakBefore w:val="0"/>
        <w:shd w:val="clear"/>
        <w:kinsoku/>
        <w:wordWrap/>
        <w:overflowPunct/>
        <w:topLinePunct w:val="0"/>
        <w:autoSpaceDE/>
        <w:autoSpaceDN/>
        <w:bidi w:val="0"/>
        <w:spacing w:line="440" w:lineRule="exact"/>
        <w:ind w:firstLine="482"/>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3.3.1</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应在合同约定下，按照</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要求完成收尾阶段各项现场施工内容，工程未竣工验收或交付前，</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需保证按</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要求配置管理人员和劳动力，不得擅自减少人员投入，若有人员退场需求，向</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申请通过后方可离开，否则按照人员无故离岗加倍处罚。</w:t>
      </w:r>
    </w:p>
    <w:p w14:paraId="3D20647F">
      <w:pPr>
        <w:pageBreakBefore w:val="0"/>
        <w:shd w:val="clear"/>
        <w:kinsoku/>
        <w:wordWrap/>
        <w:overflowPunct/>
        <w:topLinePunct w:val="0"/>
        <w:autoSpaceDE/>
        <w:autoSpaceDN/>
        <w:bidi w:val="0"/>
        <w:spacing w:line="440" w:lineRule="exact"/>
        <w:ind w:firstLine="482"/>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3.3.2</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应严格按照</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要求，配合</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完成现场验收、资料移交以及竣工结算工作。</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应按照</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交付标准进行施工，确保工程顺利工程交付。因</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原因导致项目无法竣工验收或者交付，视为未按照合同工期完工处罚。</w:t>
      </w:r>
    </w:p>
    <w:p w14:paraId="0D4ACCD5">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3.4工程延期</w:t>
      </w:r>
    </w:p>
    <w:p w14:paraId="72D83DDB">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3.4.1</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应在合同约定完工日期或依合同顺延后的完工日期前完成本工程的所有施工内容，并通过专项验收或竣工验收。</w:t>
      </w:r>
    </w:p>
    <w:p w14:paraId="589C885E">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3.4.2因业主或</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原因引起的设计变更及外部其他因素，导致工程延期开工或造成关键线路工程的工期延误，</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须在事件发生后7天内以书面形式报告</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，并附上相应的证据资料。经</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审核确认后，按</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批准时间顺延总工期或阶段工期。若本条所述审核需建设单位审批的，则以建设单位审核结果为准。</w:t>
      </w:r>
    </w:p>
    <w:p w14:paraId="4A9699C2">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3.4.3除本条所述原因外其他情况导致的工期延误，及</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未在上述规定期限内向</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提出书面报告的，视为不影响分包工程工期，也不涉及任何费用的增加。</w:t>
      </w:r>
    </w:p>
    <w:p w14:paraId="2B9E7477">
      <w:pPr>
        <w:keepNext/>
        <w:keepLines/>
        <w:pageBreakBefore w:val="0"/>
        <w:shd w:val="clear"/>
        <w:kinsoku/>
        <w:wordWrap/>
        <w:overflowPunct/>
        <w:topLinePunct w:val="0"/>
        <w:autoSpaceDE/>
        <w:autoSpaceDN/>
        <w:bidi w:val="0"/>
        <w:spacing w:before="0" w:line="440" w:lineRule="exact"/>
        <w:outlineLvl w:val="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四、违约责任</w:t>
      </w:r>
    </w:p>
    <w:p w14:paraId="2FFDC3F7">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4.1</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执行</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编制的施工进度计划，</w:t>
      </w:r>
      <w:r>
        <w:rPr>
          <w:rFonts w:hint="eastAsia" w:ascii="仿宋_GB2312" w:hAnsi="仿宋_GB2312" w:eastAsia="仿宋_GB2312" w:cs="仿宋_GB2312"/>
          <w:color w:val="auto"/>
          <w:sz w:val="28"/>
          <w:szCs w:val="28"/>
          <w:highlight w:val="none"/>
          <w:u w:val="single"/>
        </w:rPr>
        <w:t>如周计划及专项计划不能按时完成，每拖延一天则按300-500元/天·节点进行处罚。若月进度计划不能按时完成，则在当月底按500-1000元/天·节点的过程工期罚款对</w:t>
      </w:r>
      <w:r>
        <w:rPr>
          <w:rFonts w:hint="eastAsia" w:ascii="仿宋_GB2312" w:hAnsi="仿宋_GB2312" w:eastAsia="仿宋_GB2312" w:cs="仿宋_GB2312"/>
          <w:color w:val="auto"/>
          <w:sz w:val="28"/>
          <w:szCs w:val="28"/>
          <w:highlight w:val="none"/>
          <w:u w:val="single"/>
          <w:lang w:eastAsia="zh-CN"/>
        </w:rPr>
        <w:t>分包人</w:t>
      </w:r>
      <w:r>
        <w:rPr>
          <w:rFonts w:hint="eastAsia" w:ascii="仿宋_GB2312" w:hAnsi="仿宋_GB2312" w:eastAsia="仿宋_GB2312" w:cs="仿宋_GB2312"/>
          <w:color w:val="auto"/>
          <w:sz w:val="28"/>
          <w:szCs w:val="28"/>
          <w:highlight w:val="none"/>
          <w:u w:val="single"/>
        </w:rPr>
        <w:t>进行处罚，若因</w:t>
      </w:r>
      <w:r>
        <w:rPr>
          <w:rFonts w:hint="eastAsia" w:ascii="仿宋_GB2312" w:hAnsi="仿宋_GB2312" w:eastAsia="仿宋_GB2312" w:cs="仿宋_GB2312"/>
          <w:color w:val="auto"/>
          <w:sz w:val="28"/>
          <w:szCs w:val="28"/>
          <w:highlight w:val="none"/>
          <w:u w:val="single"/>
          <w:lang w:eastAsia="zh-CN"/>
        </w:rPr>
        <w:t>分包人</w:t>
      </w:r>
      <w:r>
        <w:rPr>
          <w:rFonts w:hint="eastAsia" w:ascii="仿宋_GB2312" w:hAnsi="仿宋_GB2312" w:eastAsia="仿宋_GB2312" w:cs="仿宋_GB2312"/>
          <w:color w:val="auto"/>
          <w:sz w:val="28"/>
          <w:szCs w:val="28"/>
          <w:highlight w:val="none"/>
          <w:u w:val="single"/>
        </w:rPr>
        <w:t>原因影响</w:t>
      </w:r>
      <w:r>
        <w:rPr>
          <w:rFonts w:hint="eastAsia" w:ascii="仿宋_GB2312" w:hAnsi="仿宋_GB2312" w:eastAsia="仿宋_GB2312" w:cs="仿宋_GB2312"/>
          <w:color w:val="auto"/>
          <w:sz w:val="28"/>
          <w:szCs w:val="28"/>
          <w:highlight w:val="none"/>
          <w:u w:val="single"/>
          <w:lang w:eastAsia="zh-CN"/>
        </w:rPr>
        <w:t>承包人</w:t>
      </w:r>
      <w:r>
        <w:rPr>
          <w:rFonts w:hint="eastAsia" w:ascii="仿宋_GB2312" w:hAnsi="仿宋_GB2312" w:eastAsia="仿宋_GB2312" w:cs="仿宋_GB2312"/>
          <w:color w:val="auto"/>
          <w:sz w:val="28"/>
          <w:szCs w:val="28"/>
          <w:highlight w:val="none"/>
          <w:u w:val="single"/>
        </w:rPr>
        <w:t>一级节点及里程碑节点按照1000元-5000元/天·节点进行处罚。若</w:t>
      </w:r>
      <w:r>
        <w:rPr>
          <w:rFonts w:hint="eastAsia" w:ascii="仿宋_GB2312" w:hAnsi="仿宋_GB2312" w:eastAsia="仿宋_GB2312" w:cs="仿宋_GB2312"/>
          <w:color w:val="auto"/>
          <w:sz w:val="28"/>
          <w:szCs w:val="28"/>
          <w:highlight w:val="none"/>
          <w:u w:val="single"/>
          <w:lang w:eastAsia="zh-CN"/>
        </w:rPr>
        <w:t>分包人</w:t>
      </w:r>
      <w:r>
        <w:rPr>
          <w:rFonts w:hint="eastAsia" w:ascii="仿宋_GB2312" w:hAnsi="仿宋_GB2312" w:eastAsia="仿宋_GB2312" w:cs="仿宋_GB2312"/>
          <w:color w:val="auto"/>
          <w:sz w:val="28"/>
          <w:szCs w:val="28"/>
          <w:highlight w:val="none"/>
          <w:u w:val="single"/>
        </w:rPr>
        <w:t>采取措施，当月追回每周滞后的过程节点，且不影响</w:t>
      </w:r>
      <w:r>
        <w:rPr>
          <w:rFonts w:hint="eastAsia" w:ascii="仿宋_GB2312" w:hAnsi="仿宋_GB2312" w:eastAsia="仿宋_GB2312" w:cs="仿宋_GB2312"/>
          <w:color w:val="auto"/>
          <w:sz w:val="28"/>
          <w:szCs w:val="28"/>
          <w:highlight w:val="none"/>
          <w:u w:val="single"/>
          <w:lang w:eastAsia="zh-CN"/>
        </w:rPr>
        <w:t>承包人</w:t>
      </w:r>
      <w:r>
        <w:rPr>
          <w:rFonts w:hint="eastAsia" w:ascii="仿宋_GB2312" w:hAnsi="仿宋_GB2312" w:eastAsia="仿宋_GB2312" w:cs="仿宋_GB2312"/>
          <w:color w:val="auto"/>
          <w:sz w:val="28"/>
          <w:szCs w:val="28"/>
          <w:highlight w:val="none"/>
          <w:u w:val="single"/>
        </w:rPr>
        <w:t>一</w:t>
      </w:r>
      <w:r>
        <w:rPr>
          <w:rFonts w:hint="eastAsia" w:ascii="仿宋_GB2312" w:hAnsi="仿宋_GB2312" w:eastAsia="仿宋_GB2312" w:cs="仿宋_GB2312"/>
          <w:color w:val="auto"/>
          <w:sz w:val="28"/>
          <w:szCs w:val="28"/>
          <w:highlight w:val="none"/>
        </w:rPr>
        <w:t>二级节点及其他分包工期，可视情况在当月考核期内取消对应每周节点的工期处罚。</w:t>
      </w:r>
      <w:r>
        <w:rPr>
          <w:rFonts w:hint="eastAsia" w:ascii="仿宋_GB2312" w:hAnsi="仿宋_GB2312" w:eastAsia="仿宋_GB2312" w:cs="仿宋_GB2312"/>
          <w:color w:val="auto"/>
          <w:sz w:val="28"/>
          <w:szCs w:val="28"/>
          <w:highlight w:val="none"/>
          <w:lang w:eastAsia="zh-CN"/>
        </w:rPr>
        <w:t>承包人</w:t>
      </w:r>
      <w:r>
        <w:rPr>
          <w:rFonts w:hint="eastAsia" w:ascii="仿宋_GB2312" w:hAnsi="仿宋_GB2312" w:eastAsia="仿宋_GB2312" w:cs="仿宋_GB2312"/>
          <w:color w:val="auto"/>
          <w:sz w:val="28"/>
          <w:szCs w:val="28"/>
          <w:highlight w:val="none"/>
        </w:rPr>
        <w:t>对</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工期节点按月考核，针对工期罚款在当月工程进度款扣除。</w:t>
      </w:r>
    </w:p>
    <w:p w14:paraId="2F3DDE3C">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4.2甩项代工违约责任：</w:t>
      </w:r>
      <w:r>
        <w:rPr>
          <w:rFonts w:hint="eastAsia" w:ascii="仿宋_GB2312" w:hAnsi="仿宋_GB2312" w:eastAsia="仿宋_GB2312" w:cs="仿宋_GB2312"/>
          <w:color w:val="auto"/>
          <w:sz w:val="28"/>
          <w:szCs w:val="28"/>
          <w:highlight w:val="none"/>
          <w:u w:val="single"/>
        </w:rPr>
        <w:t>本合同所确定的承包范围的工作内容，</w:t>
      </w:r>
      <w:r>
        <w:rPr>
          <w:rFonts w:hint="eastAsia" w:ascii="仿宋_GB2312" w:hAnsi="仿宋_GB2312" w:eastAsia="仿宋_GB2312" w:cs="仿宋_GB2312"/>
          <w:color w:val="auto"/>
          <w:sz w:val="28"/>
          <w:szCs w:val="28"/>
          <w:highlight w:val="none"/>
          <w:u w:val="single"/>
          <w:lang w:eastAsia="zh-CN"/>
        </w:rPr>
        <w:t>分包人</w:t>
      </w:r>
      <w:r>
        <w:rPr>
          <w:rFonts w:hint="eastAsia" w:ascii="仿宋_GB2312" w:hAnsi="仿宋_GB2312" w:eastAsia="仿宋_GB2312" w:cs="仿宋_GB2312"/>
          <w:color w:val="auto"/>
          <w:sz w:val="28"/>
          <w:szCs w:val="28"/>
          <w:highlight w:val="none"/>
          <w:u w:val="single"/>
        </w:rPr>
        <w:t>应无条件完成。如因</w:t>
      </w:r>
      <w:r>
        <w:rPr>
          <w:rFonts w:hint="eastAsia" w:ascii="仿宋_GB2312" w:hAnsi="仿宋_GB2312" w:eastAsia="仿宋_GB2312" w:cs="仿宋_GB2312"/>
          <w:color w:val="auto"/>
          <w:sz w:val="28"/>
          <w:szCs w:val="28"/>
          <w:highlight w:val="none"/>
          <w:u w:val="single"/>
          <w:lang w:eastAsia="zh-CN"/>
        </w:rPr>
        <w:t>分包人</w:t>
      </w:r>
      <w:r>
        <w:rPr>
          <w:rFonts w:hint="eastAsia" w:ascii="仿宋_GB2312" w:hAnsi="仿宋_GB2312" w:eastAsia="仿宋_GB2312" w:cs="仿宋_GB2312"/>
          <w:color w:val="auto"/>
          <w:sz w:val="28"/>
          <w:szCs w:val="28"/>
          <w:highlight w:val="none"/>
          <w:u w:val="single"/>
        </w:rPr>
        <w:t>原因某部分施工不能满足合同要求，</w:t>
      </w:r>
      <w:r>
        <w:rPr>
          <w:rFonts w:hint="eastAsia" w:ascii="仿宋_GB2312" w:hAnsi="仿宋_GB2312" w:eastAsia="仿宋_GB2312" w:cs="仿宋_GB2312"/>
          <w:color w:val="auto"/>
          <w:sz w:val="28"/>
          <w:szCs w:val="28"/>
          <w:highlight w:val="none"/>
          <w:u w:val="single"/>
          <w:lang w:eastAsia="zh-CN"/>
        </w:rPr>
        <w:t>承包人</w:t>
      </w:r>
      <w:r>
        <w:rPr>
          <w:rFonts w:hint="eastAsia" w:ascii="仿宋_GB2312" w:hAnsi="仿宋_GB2312" w:eastAsia="仿宋_GB2312" w:cs="仿宋_GB2312"/>
          <w:color w:val="auto"/>
          <w:sz w:val="28"/>
          <w:szCs w:val="28"/>
          <w:highlight w:val="none"/>
          <w:u w:val="single"/>
        </w:rPr>
        <w:t>有权另作发包。该部分施工内容相对原工程价款及增加的额外费用由</w:t>
      </w:r>
      <w:r>
        <w:rPr>
          <w:rFonts w:hint="eastAsia" w:ascii="仿宋_GB2312" w:hAnsi="仿宋_GB2312" w:eastAsia="仿宋_GB2312" w:cs="仿宋_GB2312"/>
          <w:color w:val="auto"/>
          <w:sz w:val="28"/>
          <w:szCs w:val="28"/>
          <w:highlight w:val="none"/>
          <w:u w:val="single"/>
          <w:lang w:eastAsia="zh-CN"/>
        </w:rPr>
        <w:t>分包人</w:t>
      </w:r>
      <w:r>
        <w:rPr>
          <w:rFonts w:hint="eastAsia" w:ascii="仿宋_GB2312" w:hAnsi="仿宋_GB2312" w:eastAsia="仿宋_GB2312" w:cs="仿宋_GB2312"/>
          <w:color w:val="auto"/>
          <w:sz w:val="28"/>
          <w:szCs w:val="28"/>
          <w:highlight w:val="none"/>
          <w:u w:val="single"/>
        </w:rPr>
        <w:t>承担，并且</w:t>
      </w:r>
      <w:r>
        <w:rPr>
          <w:rFonts w:hint="eastAsia" w:ascii="仿宋_GB2312" w:hAnsi="仿宋_GB2312" w:eastAsia="仿宋_GB2312" w:cs="仿宋_GB2312"/>
          <w:color w:val="auto"/>
          <w:sz w:val="28"/>
          <w:szCs w:val="28"/>
          <w:highlight w:val="none"/>
          <w:u w:val="single"/>
          <w:lang w:eastAsia="zh-CN"/>
        </w:rPr>
        <w:t>分包人</w:t>
      </w:r>
      <w:r>
        <w:rPr>
          <w:rFonts w:hint="eastAsia" w:ascii="仿宋_GB2312" w:hAnsi="仿宋_GB2312" w:eastAsia="仿宋_GB2312" w:cs="仿宋_GB2312"/>
          <w:color w:val="auto"/>
          <w:sz w:val="28"/>
          <w:szCs w:val="28"/>
          <w:highlight w:val="none"/>
          <w:u w:val="single"/>
        </w:rPr>
        <w:t>需向</w:t>
      </w:r>
      <w:r>
        <w:rPr>
          <w:rFonts w:hint="eastAsia" w:ascii="仿宋_GB2312" w:hAnsi="仿宋_GB2312" w:eastAsia="仿宋_GB2312" w:cs="仿宋_GB2312"/>
          <w:color w:val="auto"/>
          <w:sz w:val="28"/>
          <w:szCs w:val="28"/>
          <w:highlight w:val="none"/>
          <w:u w:val="single"/>
          <w:lang w:eastAsia="zh-CN"/>
        </w:rPr>
        <w:t>承包人</w:t>
      </w:r>
      <w:r>
        <w:rPr>
          <w:rFonts w:hint="eastAsia" w:ascii="仿宋_GB2312" w:hAnsi="仿宋_GB2312" w:eastAsia="仿宋_GB2312" w:cs="仿宋_GB2312"/>
          <w:color w:val="auto"/>
          <w:sz w:val="28"/>
          <w:szCs w:val="28"/>
          <w:highlight w:val="none"/>
          <w:u w:val="single"/>
        </w:rPr>
        <w:t>支付未完成部分工程量价款的</w:t>
      </w:r>
      <w:r>
        <w:rPr>
          <w:rFonts w:hint="eastAsia" w:ascii="仿宋_GB2312" w:hAnsi="仿宋_GB2312" w:eastAsia="仿宋_GB2312" w:cs="仿宋_GB2312"/>
          <w:color w:val="auto"/>
          <w:sz w:val="28"/>
          <w:szCs w:val="28"/>
          <w:highlight w:val="none"/>
          <w:u w:val="single"/>
          <w:lang w:val="en-US" w:eastAsia="zh-CN"/>
        </w:rPr>
        <w:t>2</w:t>
      </w:r>
      <w:r>
        <w:rPr>
          <w:rFonts w:hint="eastAsia" w:ascii="仿宋_GB2312" w:hAnsi="仿宋_GB2312" w:eastAsia="仿宋_GB2312" w:cs="仿宋_GB2312"/>
          <w:color w:val="auto"/>
          <w:sz w:val="28"/>
          <w:szCs w:val="28"/>
          <w:highlight w:val="none"/>
          <w:u w:val="single"/>
        </w:rPr>
        <w:t>0%作为违约金。</w:t>
      </w:r>
    </w:p>
    <w:p w14:paraId="5B4C3B64">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4.3</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最终未按合同工期或延长工期完工的，每延误一天，承担的违约责任为：</w:t>
      </w:r>
      <w:r>
        <w:rPr>
          <w:rFonts w:hint="eastAsia" w:ascii="仿宋_GB2312" w:hAnsi="仿宋_GB2312" w:eastAsia="仿宋_GB2312" w:cs="仿宋_GB2312"/>
          <w:color w:val="auto"/>
          <w:sz w:val="28"/>
          <w:szCs w:val="28"/>
          <w:highlight w:val="none"/>
          <w:u w:val="single"/>
        </w:rPr>
        <w:t>违约金为</w:t>
      </w:r>
      <w:r>
        <w:rPr>
          <w:rFonts w:hint="eastAsia" w:ascii="仿宋_GB2312" w:hAnsi="仿宋_GB2312" w:eastAsia="仿宋_GB2312" w:cs="仿宋_GB2312"/>
          <w:color w:val="auto"/>
          <w:sz w:val="28"/>
          <w:szCs w:val="28"/>
          <w:highlight w:val="none"/>
          <w:u w:val="single"/>
          <w:lang w:val="en-US" w:eastAsia="zh-CN"/>
        </w:rPr>
        <w:t>10000</w:t>
      </w:r>
      <w:r>
        <w:rPr>
          <w:rFonts w:hint="eastAsia" w:ascii="仿宋_GB2312" w:hAnsi="仿宋_GB2312" w:eastAsia="仿宋_GB2312" w:cs="仿宋_GB2312"/>
          <w:color w:val="auto"/>
          <w:sz w:val="28"/>
          <w:szCs w:val="28"/>
          <w:highlight w:val="none"/>
          <w:u w:val="single"/>
        </w:rPr>
        <w:t>元/天，另外超过合同约定工期的各种材料、设备租赁费、相关人工费用、违约金、业主的有关经济处罚及其它</w:t>
      </w:r>
      <w:r>
        <w:rPr>
          <w:rFonts w:hint="eastAsia" w:ascii="仿宋_GB2312" w:hAnsi="仿宋_GB2312" w:eastAsia="仿宋_GB2312" w:cs="仿宋_GB2312"/>
          <w:color w:val="auto"/>
          <w:sz w:val="28"/>
          <w:szCs w:val="28"/>
          <w:highlight w:val="none"/>
          <w:u w:val="single"/>
          <w:lang w:eastAsia="zh-CN"/>
        </w:rPr>
        <w:t>承包人</w:t>
      </w:r>
      <w:r>
        <w:rPr>
          <w:rFonts w:hint="eastAsia" w:ascii="仿宋_GB2312" w:hAnsi="仿宋_GB2312" w:eastAsia="仿宋_GB2312" w:cs="仿宋_GB2312"/>
          <w:color w:val="auto"/>
          <w:sz w:val="28"/>
          <w:szCs w:val="28"/>
          <w:highlight w:val="none"/>
          <w:u w:val="single"/>
        </w:rPr>
        <w:t>损失均由</w:t>
      </w:r>
      <w:r>
        <w:rPr>
          <w:rFonts w:hint="eastAsia" w:ascii="仿宋_GB2312" w:hAnsi="仿宋_GB2312" w:eastAsia="仿宋_GB2312" w:cs="仿宋_GB2312"/>
          <w:color w:val="auto"/>
          <w:sz w:val="28"/>
          <w:szCs w:val="28"/>
          <w:highlight w:val="none"/>
          <w:u w:val="single"/>
          <w:lang w:eastAsia="zh-CN"/>
        </w:rPr>
        <w:t>分包人</w:t>
      </w:r>
      <w:r>
        <w:rPr>
          <w:rFonts w:hint="eastAsia" w:ascii="仿宋_GB2312" w:hAnsi="仿宋_GB2312" w:eastAsia="仿宋_GB2312" w:cs="仿宋_GB2312"/>
          <w:color w:val="auto"/>
          <w:sz w:val="28"/>
          <w:szCs w:val="28"/>
          <w:highlight w:val="none"/>
          <w:u w:val="single"/>
        </w:rPr>
        <w:t>承担。</w:t>
      </w:r>
    </w:p>
    <w:p w14:paraId="2D42343A">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4.4针对</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施工期间的履约情况，严格按照公司《分供方履约考核实施细则》落实月度考核，如同一问题反复出现则加倍扣分。</w:t>
      </w:r>
    </w:p>
    <w:p w14:paraId="384C8D77">
      <w:pPr>
        <w:keepNext/>
        <w:keepLines/>
        <w:pageBreakBefore w:val="0"/>
        <w:shd w:val="clear"/>
        <w:kinsoku/>
        <w:wordWrap/>
        <w:overflowPunct/>
        <w:topLinePunct w:val="0"/>
        <w:autoSpaceDE/>
        <w:autoSpaceDN/>
        <w:bidi w:val="0"/>
        <w:spacing w:line="440" w:lineRule="exact"/>
        <w:outlineLvl w:val="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五、协议生效与终止</w:t>
      </w:r>
    </w:p>
    <w:p w14:paraId="5C283279">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5.1本协议的签订并不免除</w:t>
      </w:r>
      <w:r>
        <w:rPr>
          <w:rFonts w:hint="eastAsia" w:ascii="仿宋_GB2312" w:hAnsi="仿宋_GB2312" w:eastAsia="仿宋_GB2312" w:cs="仿宋_GB2312"/>
          <w:color w:val="auto"/>
          <w:sz w:val="28"/>
          <w:szCs w:val="28"/>
          <w:highlight w:val="none"/>
          <w:lang w:eastAsia="zh-CN"/>
        </w:rPr>
        <w:t>分包人</w:t>
      </w:r>
      <w:r>
        <w:rPr>
          <w:rFonts w:hint="eastAsia" w:ascii="仿宋_GB2312" w:hAnsi="仿宋_GB2312" w:eastAsia="仿宋_GB2312" w:cs="仿宋_GB2312"/>
          <w:color w:val="auto"/>
          <w:sz w:val="28"/>
          <w:szCs w:val="28"/>
          <w:highlight w:val="none"/>
        </w:rPr>
        <w:t>应承担的协议中没有提及而政府法律、法规有相关规定的责任。</w:t>
      </w:r>
    </w:p>
    <w:p w14:paraId="477DEE63">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5.2本协议书一式两份，具有同等效力，由双方各持一份。</w:t>
      </w:r>
    </w:p>
    <w:p w14:paraId="2E2089D0">
      <w:pPr>
        <w:pageBreakBefore w:val="0"/>
        <w:shd w:val="clear"/>
        <w:kinsoku/>
        <w:wordWrap/>
        <w:overflowPunct/>
        <w:topLinePunct w:val="0"/>
        <w:autoSpaceDE/>
        <w:autoSpaceDN/>
        <w:bidi w:val="0"/>
        <w:spacing w:line="440" w:lineRule="exact"/>
        <w:ind w:firstLine="48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5.3本协议书自签订之日起生效。</w:t>
      </w:r>
    </w:p>
    <w:p w14:paraId="77071A48">
      <w:pPr>
        <w:pStyle w:val="24"/>
        <w:pageBreakBefore w:val="0"/>
        <w:shd w:val="clear"/>
        <w:kinsoku/>
        <w:wordWrap/>
        <w:overflowPunct/>
        <w:topLinePunct w:val="0"/>
        <w:autoSpaceDE/>
        <w:autoSpaceDN/>
        <w:bidi w:val="0"/>
        <w:spacing w:line="440" w:lineRule="exact"/>
        <w:rPr>
          <w:rFonts w:hint="eastAsia" w:ascii="仿宋_GB2312" w:hAnsi="仿宋_GB2312" w:eastAsia="仿宋_GB2312" w:cs="仿宋_GB2312"/>
          <w:color w:val="auto"/>
          <w:sz w:val="28"/>
          <w:szCs w:val="28"/>
          <w:highlight w:val="none"/>
        </w:rPr>
      </w:pPr>
    </w:p>
    <w:p w14:paraId="25246959">
      <w:pPr>
        <w:pStyle w:val="24"/>
        <w:pageBreakBefore w:val="0"/>
        <w:shd w:val="clear"/>
        <w:kinsoku/>
        <w:wordWrap/>
        <w:overflowPunct/>
        <w:topLinePunct w:val="0"/>
        <w:autoSpaceDE/>
        <w:autoSpaceDN/>
        <w:bidi w:val="0"/>
        <w:spacing w:line="440" w:lineRule="exact"/>
        <w:rPr>
          <w:rFonts w:hint="eastAsia" w:ascii="仿宋_GB2312" w:hAnsi="仿宋_GB2312" w:eastAsia="仿宋_GB2312" w:cs="仿宋_GB2312"/>
          <w:color w:val="auto"/>
          <w:sz w:val="28"/>
          <w:szCs w:val="28"/>
          <w:highlight w:val="none"/>
        </w:rPr>
      </w:pPr>
    </w:p>
    <w:p w14:paraId="3DA45E84">
      <w:pPr>
        <w:pStyle w:val="24"/>
        <w:pageBreakBefore w:val="0"/>
        <w:shd w:val="clear"/>
        <w:kinsoku/>
        <w:wordWrap/>
        <w:overflowPunct/>
        <w:topLinePunct w:val="0"/>
        <w:autoSpaceDE/>
        <w:autoSpaceDN/>
        <w:bidi w:val="0"/>
        <w:spacing w:line="440" w:lineRule="exact"/>
        <w:rPr>
          <w:rFonts w:hint="eastAsia" w:ascii="仿宋_GB2312" w:hAnsi="仿宋_GB2312" w:eastAsia="仿宋_GB2312" w:cs="仿宋_GB2312"/>
          <w:color w:val="auto"/>
          <w:sz w:val="28"/>
          <w:szCs w:val="28"/>
          <w:highlight w:val="none"/>
        </w:rPr>
      </w:pPr>
    </w:p>
    <w:p w14:paraId="45D96506">
      <w:pPr>
        <w:pStyle w:val="24"/>
        <w:pageBreakBefore w:val="0"/>
        <w:shd w:val="clear"/>
        <w:kinsoku/>
        <w:wordWrap/>
        <w:overflowPunct/>
        <w:topLinePunct w:val="0"/>
        <w:autoSpaceDE/>
        <w:autoSpaceDN/>
        <w:bidi w:val="0"/>
        <w:spacing w:line="440" w:lineRule="exact"/>
        <w:rPr>
          <w:rFonts w:hint="eastAsia" w:ascii="仿宋_GB2312" w:hAnsi="仿宋_GB2312" w:eastAsia="仿宋_GB2312" w:cs="仿宋_GB2312"/>
          <w:color w:val="auto"/>
          <w:sz w:val="28"/>
          <w:szCs w:val="28"/>
          <w:highlight w:val="none"/>
        </w:rPr>
      </w:pPr>
    </w:p>
    <w:p w14:paraId="21530CB6">
      <w:pPr>
        <w:pageBreakBefore w:val="0"/>
        <w:shd w:val="clear"/>
        <w:kinsoku/>
        <w:wordWrap/>
        <w:overflowPunct/>
        <w:topLinePunct w:val="0"/>
        <w:autoSpaceDE/>
        <w:autoSpaceDN/>
        <w:bidi w:val="0"/>
        <w:spacing w:line="440" w:lineRule="exact"/>
        <w:ind w:left="735" w:hanging="980" w:hangingChars="350"/>
        <w:outlineLvl w:val="0"/>
        <w:rPr>
          <w:rFonts w:hint="eastAsia" w:ascii="仿宋_GB2312" w:hAnsi="仿宋_GB2312" w:eastAsia="仿宋_GB2312" w:cs="仿宋_GB2312"/>
          <w:color w:val="auto"/>
          <w:kern w:val="10"/>
          <w:sz w:val="28"/>
          <w:szCs w:val="28"/>
          <w:highlight w:val="none"/>
          <w:u w:val="single"/>
          <w:lang w:val="en-US" w:eastAsia="zh-CN" w:bidi="en-US"/>
        </w:rPr>
      </w:pPr>
      <w:r>
        <w:rPr>
          <w:rFonts w:hint="eastAsia" w:ascii="仿宋_GB2312" w:hAnsi="仿宋_GB2312" w:eastAsia="仿宋_GB2312" w:cs="仿宋_GB2312"/>
          <w:color w:val="auto"/>
          <w:sz w:val="28"/>
          <w:szCs w:val="28"/>
          <w:highlight w:val="none"/>
          <w:lang w:val="en-US" w:eastAsia="zh-CN"/>
        </w:rPr>
        <w:t>承包人</w:t>
      </w:r>
      <w:r>
        <w:rPr>
          <w:rFonts w:hint="eastAsia" w:ascii="仿宋_GB2312" w:hAnsi="仿宋_GB2312" w:eastAsia="仿宋_GB2312" w:cs="仿宋_GB2312"/>
          <w:color w:val="auto"/>
          <w:sz w:val="28"/>
          <w:szCs w:val="28"/>
          <w:highlight w:val="none"/>
          <w:lang w:eastAsia="zh-CN"/>
        </w:rPr>
        <w:t>（盖章）：</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kern w:val="10"/>
          <w:sz w:val="28"/>
          <w:szCs w:val="28"/>
          <w:highlight w:val="none"/>
          <w:lang w:val="en-US" w:eastAsia="zh-CN" w:bidi="en-US"/>
        </w:rPr>
        <w:t>分包人</w:t>
      </w:r>
      <w:r>
        <w:rPr>
          <w:rFonts w:hint="eastAsia" w:ascii="仿宋_GB2312" w:hAnsi="仿宋_GB2312" w:eastAsia="仿宋_GB2312" w:cs="仿宋_GB2312"/>
          <w:color w:val="auto"/>
          <w:sz w:val="28"/>
          <w:szCs w:val="28"/>
          <w:highlight w:val="none"/>
          <w:lang w:eastAsia="zh-CN"/>
        </w:rPr>
        <w:t>（盖章）：</w:t>
      </w:r>
    </w:p>
    <w:p w14:paraId="6EEC87E3">
      <w:pPr>
        <w:pageBreakBefore w:val="0"/>
        <w:shd w:val="clear"/>
        <w:kinsoku/>
        <w:wordWrap/>
        <w:overflowPunct/>
        <w:topLinePunct w:val="0"/>
        <w:autoSpaceDE/>
        <w:autoSpaceDN/>
        <w:bidi w:val="0"/>
        <w:spacing w:line="440" w:lineRule="exact"/>
        <w:ind w:left="735" w:hanging="980" w:hangingChars="350"/>
        <w:outlineLvl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法定代表人或</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法定代表人或</w:t>
      </w:r>
    </w:p>
    <w:p w14:paraId="6F74727A">
      <w:pPr>
        <w:pageBreakBefore w:val="0"/>
        <w:shd w:val="clear"/>
        <w:kinsoku/>
        <w:wordWrap/>
        <w:overflowPunct/>
        <w:topLinePunct w:val="0"/>
        <w:autoSpaceDE/>
        <w:autoSpaceDN/>
        <w:bidi w:val="0"/>
        <w:spacing w:line="440" w:lineRule="exact"/>
        <w:ind w:left="735" w:hanging="980" w:hangingChars="350"/>
        <w:outlineLvl w:val="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 xml:space="preserve">委托代理人（签字）：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 xml:space="preserve">委托代理人（签字）：             </w:t>
      </w:r>
    </w:p>
    <w:p w14:paraId="6E971D7B">
      <w:pPr>
        <w:pageBreakBefore w:val="0"/>
        <w:shd w:val="clear"/>
        <w:kinsoku/>
        <w:wordWrap/>
        <w:overflowPunct/>
        <w:topLinePunct w:val="0"/>
        <w:autoSpaceDE/>
        <w:autoSpaceDN/>
        <w:bidi w:val="0"/>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2025年6月18日</w:t>
      </w:r>
      <w:r>
        <w:rPr>
          <w:rFonts w:hint="eastAsia" w:ascii="仿宋_GB2312" w:hAnsi="仿宋_GB2312" w:eastAsia="仿宋_GB2312" w:cs="仿宋_GB2312"/>
          <w:color w:val="auto"/>
          <w:sz w:val="28"/>
          <w:szCs w:val="28"/>
          <w:highlight w:val="none"/>
          <w:lang w:eastAsia="zh-CN"/>
        </w:rPr>
        <w:t xml:space="preserve">                </w:t>
      </w:r>
      <w:r>
        <w:rPr>
          <w:rFonts w:hint="eastAsia" w:ascii="仿宋_GB2312" w:hAnsi="仿宋_GB2312" w:eastAsia="仿宋_GB2312" w:cs="仿宋_GB2312"/>
          <w:color w:val="auto"/>
          <w:sz w:val="28"/>
          <w:szCs w:val="28"/>
          <w:highlight w:val="none"/>
          <w:lang w:val="en-US" w:eastAsia="zh-CN"/>
        </w:rPr>
        <w:t>2025年6月18日</w:t>
      </w:r>
    </w:p>
    <w:p w14:paraId="130978C1">
      <w:pPr>
        <w:pStyle w:val="11"/>
        <w:pageBreakBefore w:val="0"/>
        <w:shd w:val="clear"/>
        <w:kinsoku/>
        <w:wordWrap/>
        <w:overflowPunct/>
        <w:topLinePunct w:val="0"/>
        <w:autoSpaceDE/>
        <w:autoSpaceDN/>
        <w:bidi w:val="0"/>
        <w:spacing w:line="440" w:lineRule="exact"/>
        <w:rPr>
          <w:rFonts w:hint="eastAsia" w:ascii="仿宋_GB2312" w:hAnsi="仿宋_GB2312" w:eastAsia="仿宋_GB2312" w:cs="仿宋_GB2312"/>
          <w:color w:val="auto"/>
          <w:sz w:val="28"/>
          <w:szCs w:val="28"/>
          <w:highlight w:val="none"/>
          <w:lang w:val="en-US" w:eastAsia="zh-CN"/>
        </w:rPr>
      </w:pPr>
    </w:p>
    <w:p w14:paraId="4EF41610">
      <w:pPr>
        <w:pStyle w:val="11"/>
        <w:shd w:val="clear"/>
        <w:rPr>
          <w:rFonts w:hint="eastAsia" w:ascii="黑体" w:hAnsi="黑体" w:eastAsia="黑体" w:cs="黑体"/>
          <w:color w:val="auto"/>
          <w:sz w:val="28"/>
          <w:szCs w:val="28"/>
          <w:highlight w:val="none"/>
          <w:lang w:val="en-US" w:eastAsia="zh-CN"/>
        </w:rPr>
      </w:pPr>
    </w:p>
    <w:p w14:paraId="2043B8D9">
      <w:pPr>
        <w:pStyle w:val="11"/>
        <w:shd w:val="clear"/>
        <w:rPr>
          <w:rFonts w:hint="eastAsia" w:ascii="黑体" w:hAnsi="黑体" w:eastAsia="黑体" w:cs="黑体"/>
          <w:color w:val="auto"/>
          <w:sz w:val="28"/>
          <w:szCs w:val="28"/>
          <w:highlight w:val="none"/>
          <w:lang w:val="en-US" w:eastAsia="zh-CN"/>
        </w:rPr>
      </w:pPr>
    </w:p>
    <w:p w14:paraId="4365B470">
      <w:pPr>
        <w:pStyle w:val="11"/>
        <w:shd w:val="clear"/>
        <w:rPr>
          <w:rFonts w:hint="eastAsia" w:ascii="黑体" w:hAnsi="黑体" w:eastAsia="黑体" w:cs="黑体"/>
          <w:color w:val="auto"/>
          <w:sz w:val="28"/>
          <w:szCs w:val="28"/>
          <w:highlight w:val="none"/>
          <w:lang w:val="en-US" w:eastAsia="zh-CN"/>
        </w:rPr>
      </w:pPr>
    </w:p>
    <w:p w14:paraId="3B454EE0">
      <w:pPr>
        <w:pStyle w:val="11"/>
        <w:shd w:val="clear"/>
        <w:rPr>
          <w:rFonts w:hint="eastAsia" w:ascii="黑体" w:hAnsi="黑体" w:eastAsia="黑体" w:cs="黑体"/>
          <w:color w:val="auto"/>
          <w:sz w:val="28"/>
          <w:szCs w:val="28"/>
          <w:highlight w:val="none"/>
          <w:lang w:val="en-US" w:eastAsia="zh-CN"/>
        </w:rPr>
      </w:pPr>
    </w:p>
    <w:p w14:paraId="6FA514B0">
      <w:pPr>
        <w:pStyle w:val="11"/>
        <w:shd w:val="clear"/>
        <w:rPr>
          <w:rFonts w:hint="eastAsia" w:ascii="黑体" w:hAnsi="黑体" w:eastAsia="黑体" w:cs="黑体"/>
          <w:color w:val="auto"/>
          <w:sz w:val="28"/>
          <w:szCs w:val="28"/>
          <w:highlight w:val="none"/>
          <w:lang w:val="en-US" w:eastAsia="zh-CN"/>
        </w:rPr>
      </w:pPr>
    </w:p>
    <w:p w14:paraId="566FD0F9">
      <w:pPr>
        <w:pStyle w:val="11"/>
        <w:shd w:val="clear"/>
        <w:rPr>
          <w:rFonts w:hint="eastAsia" w:ascii="黑体" w:hAnsi="黑体" w:eastAsia="黑体" w:cs="黑体"/>
          <w:color w:val="auto"/>
          <w:sz w:val="28"/>
          <w:szCs w:val="28"/>
          <w:highlight w:val="none"/>
          <w:lang w:val="en-US" w:eastAsia="zh-CN"/>
        </w:rPr>
      </w:pPr>
    </w:p>
    <w:p w14:paraId="1B973AE3">
      <w:pPr>
        <w:pStyle w:val="11"/>
        <w:shd w:val="clear"/>
        <w:rPr>
          <w:rFonts w:hint="eastAsia" w:ascii="黑体" w:hAnsi="黑体" w:eastAsia="黑体" w:cs="黑体"/>
          <w:color w:val="auto"/>
          <w:sz w:val="28"/>
          <w:szCs w:val="28"/>
          <w:highlight w:val="none"/>
          <w:lang w:val="en-US" w:eastAsia="zh-CN"/>
        </w:rPr>
      </w:pPr>
    </w:p>
    <w:p w14:paraId="16DE14F7">
      <w:pPr>
        <w:pStyle w:val="11"/>
        <w:shd w:val="clear"/>
        <w:rPr>
          <w:rFonts w:hint="eastAsia" w:ascii="黑体" w:hAnsi="黑体" w:eastAsia="黑体" w:cs="黑体"/>
          <w:color w:val="auto"/>
          <w:sz w:val="28"/>
          <w:szCs w:val="28"/>
          <w:highlight w:val="none"/>
          <w:lang w:val="en-US" w:eastAsia="zh-CN"/>
        </w:rPr>
      </w:pPr>
    </w:p>
    <w:p w14:paraId="110D4CAC">
      <w:pPr>
        <w:pStyle w:val="11"/>
        <w:shd w:val="clear"/>
        <w:rPr>
          <w:rFonts w:hint="eastAsia" w:ascii="黑体" w:hAnsi="黑体" w:eastAsia="黑体" w:cs="黑体"/>
          <w:color w:val="auto"/>
          <w:sz w:val="28"/>
          <w:szCs w:val="28"/>
          <w:highlight w:val="none"/>
          <w:lang w:val="en-US" w:eastAsia="zh-CN"/>
        </w:rPr>
      </w:pPr>
    </w:p>
    <w:p w14:paraId="76D9CA17">
      <w:pPr>
        <w:shd w:val="clear"/>
        <w:snapToGrid w:val="0"/>
        <w:spacing w:line="400" w:lineRule="exact"/>
        <w:contextualSpacing/>
        <w:jc w:val="left"/>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附件11</w:t>
      </w:r>
    </w:p>
    <w:p w14:paraId="17C164F0">
      <w:pPr>
        <w:shd w:val="clear"/>
        <w:snapToGrid w:val="0"/>
        <w:spacing w:line="400" w:lineRule="exact"/>
        <w:contextualSpacing/>
        <w:jc w:val="center"/>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劳务实名制管理协议</w:t>
      </w:r>
    </w:p>
    <w:p w14:paraId="32BA4704">
      <w:pPr>
        <w:keepNext w:val="0"/>
        <w:keepLines w:val="0"/>
        <w:pageBreakBefore w:val="0"/>
        <w:widowControl w:val="0"/>
        <w:shd w:val="clear"/>
        <w:kinsoku/>
        <w:wordWrap/>
        <w:overflowPunct/>
        <w:topLinePunct w:val="0"/>
        <w:autoSpaceDE/>
        <w:autoSpaceDN/>
        <w:bidi w:val="0"/>
        <w:adjustRightInd/>
        <w:spacing w:line="440" w:lineRule="exact"/>
        <w:textAlignment w:val="auto"/>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甲方（承包人）：【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2A664464">
      <w:pPr>
        <w:keepNext w:val="0"/>
        <w:keepLines w:val="0"/>
        <w:pageBreakBefore w:val="0"/>
        <w:widowControl w:val="0"/>
        <w:shd w:val="clear"/>
        <w:kinsoku/>
        <w:wordWrap/>
        <w:overflowPunct/>
        <w:topLinePunct w:val="0"/>
        <w:autoSpaceDE/>
        <w:autoSpaceDN/>
        <w:bidi w:val="0"/>
        <w:adjustRightInd/>
        <w:spacing w:line="440" w:lineRule="exact"/>
        <w:jc w:val="left"/>
        <w:textAlignment w:val="auto"/>
        <w:rPr>
          <w:rFonts w:ascii="仿宋_GB2312" w:eastAsia="仿宋_GB2312" w:hAnsiTheme="minorEastAsia" w:cstheme="minorEastAsia"/>
          <w:color w:val="auto"/>
          <w:sz w:val="28"/>
          <w:szCs w:val="28"/>
          <w:highlight w:val="none"/>
        </w:rPr>
      </w:pPr>
      <w:r>
        <w:rPr>
          <w:rFonts w:hint="eastAsia" w:ascii="仿宋_GB2312" w:hAnsi="仿宋_GB2312" w:eastAsia="仿宋_GB2312" w:cs="仿宋_GB2312"/>
          <w:b/>
          <w:color w:val="auto"/>
          <w:sz w:val="28"/>
          <w:szCs w:val="28"/>
          <w:highlight w:val="none"/>
        </w:rPr>
        <w:t>乙方（分包人）：【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01F51CC0">
      <w:pPr>
        <w:keepNext w:val="0"/>
        <w:keepLines w:val="0"/>
        <w:pageBreakBefore w:val="0"/>
        <w:widowControl w:val="0"/>
        <w:shd w:val="clear"/>
        <w:kinsoku/>
        <w:wordWrap/>
        <w:overflowPunct/>
        <w:topLinePunct w:val="0"/>
        <w:autoSpaceDE/>
        <w:autoSpaceDN/>
        <w:bidi w:val="0"/>
        <w:adjustRightInd/>
        <w:snapToGrid w:val="0"/>
        <w:spacing w:line="440" w:lineRule="exact"/>
        <w:contextualSpacing/>
        <w:jc w:val="center"/>
        <w:textAlignment w:val="auto"/>
        <w:rPr>
          <w:rFonts w:hint="eastAsia" w:ascii="黑体" w:hAnsi="黑体" w:eastAsia="黑体" w:cs="黑体"/>
          <w:color w:val="auto"/>
          <w:sz w:val="28"/>
          <w:szCs w:val="28"/>
          <w:highlight w:val="none"/>
        </w:rPr>
      </w:pPr>
    </w:p>
    <w:p w14:paraId="17157A8B">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b w:val="0"/>
          <w:bCs w:val="0"/>
          <w:color w:val="auto"/>
          <w:sz w:val="28"/>
          <w:szCs w:val="28"/>
          <w:highlight w:val="none"/>
          <w:u w:val="none"/>
          <w:lang w:val="en-US" w:eastAsia="zh-CN"/>
        </w:rPr>
        <w:t>鉴于甲乙双方已签订</w:t>
      </w:r>
      <w:r>
        <w:rPr>
          <w:rFonts w:hint="eastAsia" w:ascii="仿宋_GB2312" w:hAnsi="仿宋_GB2312" w:eastAsia="仿宋_GB2312" w:cs="仿宋_GB2312"/>
          <w:color w:val="auto"/>
          <w:sz w:val="28"/>
          <w:szCs w:val="28"/>
          <w:highlight w:val="none"/>
          <w:u w:val="none"/>
        </w:rPr>
        <w:t>《【</w:t>
      </w:r>
      <w:r>
        <w:rPr>
          <w:rFonts w:hint="eastAsia" w:ascii="仿宋_GB2312" w:hAnsi="仿宋_GB2312" w:eastAsia="仿宋_GB2312" w:cs="仿宋_GB2312"/>
          <w:b w:val="0"/>
          <w:bCs w:val="0"/>
          <w:color w:val="auto"/>
          <w:spacing w:val="0"/>
          <w:sz w:val="28"/>
          <w:szCs w:val="28"/>
          <w:highlight w:val="none"/>
          <w:u w:val="none"/>
          <w:lang w:eastAsia="zh-CN"/>
        </w:rPr>
        <w:t>广西大学机械教学实验中心大楼项目精装修工程</w:t>
      </w:r>
      <w:r>
        <w:rPr>
          <w:rFonts w:hint="eastAsia" w:ascii="仿宋_GB2312" w:hAnsi="仿宋_GB2312" w:eastAsia="仿宋_GB2312" w:cs="仿宋_GB2312"/>
          <w:color w:val="auto"/>
          <w:sz w:val="28"/>
          <w:szCs w:val="28"/>
          <w:highlight w:val="none"/>
          <w:u w:val="none"/>
          <w:lang w:val="en-US" w:eastAsia="zh-CN"/>
        </w:rPr>
        <w:t>专业分包</w:t>
      </w:r>
      <w:r>
        <w:rPr>
          <w:rFonts w:hint="eastAsia" w:ascii="仿宋_GB2312" w:hAnsi="仿宋_GB2312" w:eastAsia="仿宋_GB2312" w:cs="仿宋_GB2312"/>
          <w:color w:val="auto"/>
          <w:sz w:val="28"/>
          <w:szCs w:val="28"/>
          <w:highlight w:val="none"/>
          <w:u w:val="none"/>
        </w:rPr>
        <w:t>】合同》（以下简称“合同”），为保障</w:t>
      </w:r>
      <w:r>
        <w:rPr>
          <w:rFonts w:hint="eastAsia" w:ascii="仿宋_GB2312" w:hAnsi="仿宋_GB2312" w:eastAsia="仿宋_GB2312" w:cs="仿宋_GB2312"/>
          <w:color w:val="auto"/>
          <w:sz w:val="28"/>
          <w:szCs w:val="28"/>
          <w:highlight w:val="none"/>
          <w:u w:val="none"/>
          <w:lang w:val="en-US" w:eastAsia="zh-CN"/>
        </w:rPr>
        <w:t>本</w:t>
      </w:r>
      <w:r>
        <w:rPr>
          <w:rFonts w:hint="eastAsia" w:ascii="仿宋_GB2312" w:hAnsi="仿宋_GB2312" w:eastAsia="仿宋_GB2312" w:cs="仿宋_GB2312"/>
          <w:color w:val="auto"/>
          <w:sz w:val="28"/>
          <w:szCs w:val="28"/>
          <w:highlight w:val="none"/>
          <w:u w:val="none"/>
        </w:rPr>
        <w:t>工程建设顺利实施，保障农民工合法权益，双方相关法律法规及甲方关于劳务实名制管理要求，在公平公正、友好协商的基础上，就本工程劳务实名制工资管理的各项事宜，签订本协议。</w:t>
      </w:r>
    </w:p>
    <w:p w14:paraId="53E81E54">
      <w:pPr>
        <w:keepNext w:val="0"/>
        <w:keepLines w:val="0"/>
        <w:pageBreakBefore w:val="0"/>
        <w:widowControl w:val="0"/>
        <w:shd w:val="clear" w:color="auto"/>
        <w:kinsoku/>
        <w:wordWrap/>
        <w:overflowPunct/>
        <w:topLinePunct w:val="0"/>
        <w:autoSpaceDE/>
        <w:autoSpaceDN/>
        <w:bidi w:val="0"/>
        <w:adjustRightInd/>
        <w:spacing w:line="440" w:lineRule="exact"/>
        <w:ind w:firstLine="562" w:firstLineChars="200"/>
        <w:jc w:val="both"/>
        <w:textAlignment w:val="auto"/>
        <w:rPr>
          <w:rFonts w:hint="eastAsia" w:ascii="仿宋_GB2312" w:hAnsi="仿宋_GB2312" w:eastAsia="仿宋_GB2312" w:cs="仿宋_GB2312"/>
          <w:b/>
          <w:bCs/>
          <w:color w:val="auto"/>
          <w:sz w:val="28"/>
          <w:szCs w:val="28"/>
          <w:highlight w:val="none"/>
          <w:u w:val="none"/>
        </w:rPr>
      </w:pPr>
      <w:r>
        <w:rPr>
          <w:rFonts w:hint="eastAsia" w:ascii="仿宋_GB2312" w:hAnsi="仿宋_GB2312" w:eastAsia="仿宋_GB2312" w:cs="仿宋_GB2312"/>
          <w:b/>
          <w:bCs/>
          <w:color w:val="auto"/>
          <w:sz w:val="28"/>
          <w:szCs w:val="28"/>
          <w:highlight w:val="none"/>
          <w:u w:val="none"/>
        </w:rPr>
        <w:t>1.实名登记与考勤管理</w:t>
      </w:r>
    </w:p>
    <w:p w14:paraId="6B4EBE36">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1.1 甲方委派</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（身份证号码：</w:t>
      </w:r>
      <w:r>
        <w:rPr>
          <w:rFonts w:hint="eastAsia" w:ascii="宋体" w:hAnsi="宋体" w:cs="宋体"/>
          <w:b w:val="0"/>
          <w:bCs w:val="0"/>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rPr>
        <w:t>）为本工程项目经理，全面负责劳务实名制工资管理。</w:t>
      </w:r>
    </w:p>
    <w:p w14:paraId="08FF0709">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乙方委派【</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rPr>
        <w:t>】（身份证号码：【</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rPr>
        <w:t>】，联系电话：【</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rPr>
        <w:t>】）为本工程劳务实名制管理人员，全权代表乙方负责劳务作业人员进退场信息登记、日常考勤、工资发放等劳务实名制管理工作，劳务实名制管理人员签字确认的工资表、考勤表、劳务作业人员花名册、退场承诺书等资料，乙方均予以认可。</w:t>
      </w:r>
    </w:p>
    <w:p w14:paraId="31C2990C">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1.2 乙方应向甲方提供：劳务人员花名册、身份证原件及其复印件、工资卡信息（开户行和卡号）、合法劳动用工合同（或加盖乙方公章的复印件）、操作证件等资料并对其真实性负责，由项目劳务管理部门逐一核实、登记、建立基础信息，并办理进入施工现场的门禁（考勤）卡。乙方未按时提供或拒不提供劳务作业人员的劳动合同、花名册、考勤表、工资核算支付情况及人员变动情况等书面记录，按【</w:t>
      </w:r>
      <w:r>
        <w:rPr>
          <w:rFonts w:hint="eastAsia" w:ascii="仿宋_GB2312" w:hAnsi="仿宋_GB2312" w:eastAsia="仿宋_GB2312" w:cs="仿宋_GB2312"/>
          <w:color w:val="auto"/>
          <w:sz w:val="28"/>
          <w:szCs w:val="28"/>
          <w:highlight w:val="none"/>
          <w:u w:val="none"/>
          <w:lang w:val="en-US" w:eastAsia="zh-CN"/>
        </w:rPr>
        <w:t>1000.00</w:t>
      </w:r>
      <w:r>
        <w:rPr>
          <w:rFonts w:hint="eastAsia" w:ascii="仿宋_GB2312" w:hAnsi="仿宋_GB2312" w:eastAsia="仿宋_GB2312" w:cs="仿宋_GB2312"/>
          <w:color w:val="auto"/>
          <w:sz w:val="28"/>
          <w:szCs w:val="28"/>
          <w:highlight w:val="none"/>
          <w:u w:val="none"/>
        </w:rPr>
        <w:t>】元/次支付违约金。</w:t>
      </w:r>
    </w:p>
    <w:p w14:paraId="3C762158">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1.3 甲方应根据施工现场实际需要配备考勤刷卡系统。乙方需指派管理人员督导劳务人员刷卡（考勤）进出施工现场，并及时确认当期（月）考勤记录。乙方不确认或者延迟的，以考勤系统数据为准，乙方对此无异议。</w:t>
      </w:r>
    </w:p>
    <w:p w14:paraId="232871C6">
      <w:pPr>
        <w:keepNext w:val="0"/>
        <w:keepLines w:val="0"/>
        <w:pageBreakBefore w:val="0"/>
        <w:widowControl w:val="0"/>
        <w:shd w:val="clear" w:color="auto"/>
        <w:kinsoku/>
        <w:wordWrap/>
        <w:overflowPunct/>
        <w:topLinePunct w:val="0"/>
        <w:autoSpaceDE/>
        <w:autoSpaceDN/>
        <w:bidi w:val="0"/>
        <w:adjustRightInd/>
        <w:spacing w:line="440" w:lineRule="exact"/>
        <w:ind w:firstLine="562" w:firstLineChars="200"/>
        <w:jc w:val="both"/>
        <w:textAlignment w:val="auto"/>
        <w:rPr>
          <w:rFonts w:hint="eastAsia" w:ascii="仿宋_GB2312" w:hAnsi="仿宋_GB2312" w:eastAsia="仿宋_GB2312" w:cs="仿宋_GB2312"/>
          <w:b/>
          <w:bCs/>
          <w:color w:val="auto"/>
          <w:sz w:val="28"/>
          <w:szCs w:val="28"/>
          <w:highlight w:val="none"/>
          <w:u w:val="none"/>
        </w:rPr>
      </w:pPr>
      <w:r>
        <w:rPr>
          <w:rFonts w:hint="eastAsia" w:ascii="仿宋_GB2312" w:hAnsi="仿宋_GB2312" w:eastAsia="仿宋_GB2312" w:cs="仿宋_GB2312"/>
          <w:b/>
          <w:bCs/>
          <w:color w:val="auto"/>
          <w:sz w:val="28"/>
          <w:szCs w:val="28"/>
          <w:highlight w:val="none"/>
          <w:u w:val="none"/>
        </w:rPr>
        <w:t>2.劳务人员工资发放管理</w:t>
      </w:r>
    </w:p>
    <w:p w14:paraId="173717F1">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2.1 乙方应积极配合甲方实施当地政府相关部门关于劳务作业人员工资支付的管理制度。乙方承诺工程款实行专款专用，不得将甲方支付的工程款用于本合同项下工程之外的目的；如乙方违反该承诺的，甲方有权从后续应付款项中，扣除乙方违反该承诺使用的款项金额。</w:t>
      </w:r>
    </w:p>
    <w:p w14:paraId="0A36AFA9">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2.2 乙方应当每月按时足额支付劳务作业人员工资，并支付法定社会保险费用，不得以甲方工程（进度）款未及时支付为由，拖欠劳务作业人员工资，否则每发生一起，乙方应当向甲方承担违约金 【</w:t>
      </w:r>
      <w:r>
        <w:rPr>
          <w:rFonts w:hint="eastAsia" w:ascii="仿宋_GB2312" w:hAnsi="仿宋_GB2312" w:eastAsia="仿宋_GB2312" w:cs="仿宋_GB2312"/>
          <w:color w:val="auto"/>
          <w:sz w:val="28"/>
          <w:szCs w:val="28"/>
          <w:highlight w:val="none"/>
          <w:u w:val="none"/>
          <w:lang w:val="en-US" w:eastAsia="zh-CN"/>
        </w:rPr>
        <w:t>壹</w:t>
      </w:r>
      <w:r>
        <w:rPr>
          <w:rFonts w:hint="eastAsia" w:ascii="仿宋_GB2312" w:hAnsi="仿宋_GB2312" w:eastAsia="仿宋_GB2312" w:cs="仿宋_GB2312"/>
          <w:color w:val="auto"/>
          <w:sz w:val="28"/>
          <w:szCs w:val="28"/>
          <w:highlight w:val="none"/>
          <w:u w:val="none"/>
        </w:rPr>
        <w:t>】万元，且由此引起的所有法律责任及赔偿费用均由乙方承担，如确认乙方拖欠劳务作业人员工资属实，甲方有权代乙方支付劳务作业人员工资并从乙方的工程款中扣除。劳务作业人员工资不得低于工程所在地最低工资标准，并于每月25日之前将上月的工资发放及社会保险费用支付情况书面提交甲方。否则，甲方有权暂停支付最近一期及以后各期劳务分包合同价款。</w:t>
      </w:r>
    </w:p>
    <w:p w14:paraId="596FA6A6">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2.3 分包单位应保证每月足额支付本项目所属农民工工资，其中农民工工资总额其占分包进度款的比例不得少于【</w:t>
      </w:r>
      <w:r>
        <w:rPr>
          <w:rFonts w:hint="eastAsia" w:ascii="仿宋_GB2312" w:hAnsi="仿宋_GB2312" w:eastAsia="仿宋_GB2312" w:cs="仿宋_GB2312"/>
          <w:color w:val="auto"/>
          <w:sz w:val="28"/>
          <w:szCs w:val="28"/>
          <w:highlight w:val="none"/>
          <w:u w:val="none"/>
          <w:lang w:eastAsia="zh-CN"/>
        </w:rPr>
        <w:t>3</w:t>
      </w:r>
      <w:r>
        <w:rPr>
          <w:rFonts w:hint="eastAsia" w:ascii="仿宋_GB2312" w:hAnsi="仿宋_GB2312" w:eastAsia="仿宋_GB2312" w:cs="仿宋_GB2312"/>
          <w:color w:val="auto"/>
          <w:sz w:val="28"/>
          <w:szCs w:val="28"/>
          <w:highlight w:val="none"/>
          <w:u w:val="none"/>
          <w:lang w:val="en-US" w:eastAsia="zh-CN"/>
        </w:rPr>
        <w:t>0</w:t>
      </w:r>
      <w:r>
        <w:rPr>
          <w:rFonts w:hint="eastAsia" w:ascii="仿宋_GB2312" w:hAnsi="仿宋_GB2312" w:eastAsia="仿宋_GB2312" w:cs="仿宋_GB2312"/>
          <w:color w:val="auto"/>
          <w:sz w:val="28"/>
          <w:szCs w:val="28"/>
          <w:highlight w:val="none"/>
          <w:u w:val="none"/>
        </w:rPr>
        <w:t>】%，以保证分包单位每月足额支付本项目所属农民工工资；若乙方委托甲方支付劳务作业人员工资，乙方应于每月10日前，协助甲方完成上月度分包工程款（含人工费）核算；并根据已完成工程量、约定单价和考勤记录等，核算上月度劳务人员工资，汇总造册（劳务作业人员工资表）后与所有劳务作业人员逐一核实、签字确认，提交甲方作为劳务工资发放依据。甲方对支付的每笔工资，都要留存支付记录，并将支付信息传送给乙方核实。当期劳务工资发放结束后【</w:t>
      </w:r>
      <w:r>
        <w:rPr>
          <w:rFonts w:hint="eastAsia" w:ascii="仿宋_GB2312" w:hAnsi="仿宋_GB2312" w:eastAsia="仿宋_GB2312" w:cs="仿宋_GB2312"/>
          <w:color w:val="auto"/>
          <w:sz w:val="28"/>
          <w:szCs w:val="28"/>
          <w:highlight w:val="none"/>
          <w:u w:val="none"/>
          <w:lang w:eastAsia="zh-CN"/>
        </w:rPr>
        <w:t>3</w:t>
      </w:r>
      <w:r>
        <w:rPr>
          <w:rFonts w:hint="eastAsia" w:ascii="仿宋_GB2312" w:hAnsi="仿宋_GB2312" w:eastAsia="仿宋_GB2312" w:cs="仿宋_GB2312"/>
          <w:color w:val="auto"/>
          <w:sz w:val="28"/>
          <w:szCs w:val="28"/>
          <w:highlight w:val="none"/>
          <w:u w:val="none"/>
          <w:lang w:val="en-US" w:eastAsia="zh-CN"/>
        </w:rPr>
        <w:t>0</w:t>
      </w:r>
      <w:r>
        <w:rPr>
          <w:rFonts w:hint="eastAsia" w:ascii="仿宋_GB2312" w:hAnsi="仿宋_GB2312" w:eastAsia="仿宋_GB2312" w:cs="仿宋_GB2312"/>
          <w:color w:val="auto"/>
          <w:sz w:val="28"/>
          <w:szCs w:val="28"/>
          <w:highlight w:val="none"/>
          <w:u w:val="none"/>
        </w:rPr>
        <w:t>】天内，由乙方向甲方提供所有劳务人员工资全部发放完毕的确认书。逾期不确认，甲方视乙方默认当期劳务人员工资全部发放完毕，乙方无异议。</w:t>
      </w:r>
    </w:p>
    <w:p w14:paraId="08A9AFA2">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甲方支付给乙方工人的工资，即视为乙方已收到相应款项，合同双方进行工程结算时，乙方应无条件予以认可。若乙方不按时提交上述书面文件，导致甲方付款拖延，由此引发工人讨薪事件的，按【</w:t>
      </w:r>
      <w:r>
        <w:rPr>
          <w:rFonts w:hint="eastAsia" w:ascii="仿宋_GB2312" w:hAnsi="仿宋_GB2312" w:eastAsia="仿宋_GB2312" w:cs="仿宋_GB2312"/>
          <w:color w:val="auto"/>
          <w:sz w:val="28"/>
          <w:szCs w:val="28"/>
          <w:highlight w:val="none"/>
          <w:u w:val="none"/>
          <w:lang w:eastAsia="zh-CN"/>
        </w:rPr>
        <w:t>贰万</w:t>
      </w:r>
      <w:r>
        <w:rPr>
          <w:rFonts w:hint="eastAsia" w:ascii="仿宋_GB2312" w:hAnsi="仿宋_GB2312" w:eastAsia="仿宋_GB2312" w:cs="仿宋_GB2312"/>
          <w:color w:val="auto"/>
          <w:sz w:val="28"/>
          <w:szCs w:val="28"/>
          <w:highlight w:val="none"/>
          <w:u w:val="none"/>
        </w:rPr>
        <w:t>】元/次承担违约责任。</w:t>
      </w:r>
    </w:p>
    <w:p w14:paraId="042ED146">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2.4 甲方按照乙方提供的劳务作业人员工资表逐一向劳务作业人员支付工资即视为乙方已收到等额工程款，双方进行工程结算时，乙方应无条件予以认可。</w:t>
      </w:r>
    </w:p>
    <w:p w14:paraId="738E15EE">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2.5 乙方应确保劳务作业人员工资按期足额发放，如因拖欠劳务作业人员工资导致工人讨薪、聚众扰民事件，或乙方的任何人员（包括其雇佣人员）未经甲方的同意，以索要工资、工程价款等名义，擅自进入发包人、监理、甲方办公区或工程现场妨碍发包人、监理、甲方工作人员正常办公，或影响正常施工，或做出任何影响甲方和发包人声誉的行为出现时，甲方无须通知乙方或征得乙方的同意，可按工人提出的拖欠工资额直接向其支付工资，并从乙方工程款中扣除，同时每发生一例，乙方应当向甲方承担一定数额违约金，具体违约金数额在专用条款中约定。</w:t>
      </w:r>
    </w:p>
    <w:p w14:paraId="1FFC8E3C">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2.6 若劳务作业人员以劳资纠纷等为由向政府相关部门投诉或对甲方提起仲裁或诉讼，要求甲方支付有关款项的，乙方应向甲方承担含税签约合同价10%的违约金，甲方有权将所支付的款项及违约金从乙方工程款、现金履约保证金中等额扣回，不足部分，甲方有权继续向乙方追偿。</w:t>
      </w:r>
    </w:p>
    <w:p w14:paraId="3D978A13">
      <w:pPr>
        <w:keepNext w:val="0"/>
        <w:keepLines w:val="0"/>
        <w:pageBreakBefore w:val="0"/>
        <w:widowControl w:val="0"/>
        <w:shd w:val="clear" w:color="auto"/>
        <w:kinsoku/>
        <w:wordWrap/>
        <w:overflowPunct/>
        <w:topLinePunct w:val="0"/>
        <w:autoSpaceDE/>
        <w:autoSpaceDN/>
        <w:bidi w:val="0"/>
        <w:adjustRightInd/>
        <w:spacing w:line="440" w:lineRule="exact"/>
        <w:ind w:firstLine="562" w:firstLineChars="200"/>
        <w:jc w:val="both"/>
        <w:textAlignment w:val="auto"/>
        <w:rPr>
          <w:rFonts w:hint="eastAsia" w:ascii="仿宋_GB2312" w:hAnsi="仿宋_GB2312" w:eastAsia="仿宋_GB2312" w:cs="仿宋_GB2312"/>
          <w:b/>
          <w:bCs/>
          <w:color w:val="auto"/>
          <w:sz w:val="28"/>
          <w:szCs w:val="28"/>
          <w:highlight w:val="none"/>
          <w:u w:val="none"/>
        </w:rPr>
      </w:pPr>
      <w:r>
        <w:rPr>
          <w:rFonts w:hint="eastAsia" w:ascii="仿宋_GB2312" w:hAnsi="仿宋_GB2312" w:eastAsia="仿宋_GB2312" w:cs="仿宋_GB2312"/>
          <w:b/>
          <w:bCs/>
          <w:color w:val="auto"/>
          <w:sz w:val="28"/>
          <w:szCs w:val="28"/>
          <w:highlight w:val="none"/>
          <w:u w:val="none"/>
        </w:rPr>
        <w:t>3.其他</w:t>
      </w:r>
    </w:p>
    <w:p w14:paraId="717C6357">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3.1 乙方须积极配合执行甲方及甲方上级单位制定的关于推动劳务实名制工资管理的各项制度和办法。</w:t>
      </w:r>
    </w:p>
    <w:p w14:paraId="1A331C30">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3.2 乙方须积极按本委托协议的约定，做好劳务用工合同签订、劳务人员信息收集更新、工资计量等工作，并对以上信息的真实完整性负责。</w:t>
      </w:r>
    </w:p>
    <w:p w14:paraId="51D23FB9">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3.3 乙方有责任和义务积极配合项目部确保专用账户的资金安全，如因乙方原因导致专用账户的资金损失，由乙方承担完全责任和一切损失，甲方有权解除合同。</w:t>
      </w:r>
    </w:p>
    <w:p w14:paraId="40C7E555">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3.4 劳务工资专用账户因乙方原因被冻结、查封，乙方应在当期工资发放日前重新指定现场负责人及劳务人员工资发放专用账户，并将被查封账户中余额相等款项支付到新的劳务工资专用账户。由此给甲方、第三人造成损失的，由乙方全部承担，甲方有权解除合同。</w:t>
      </w:r>
    </w:p>
    <w:p w14:paraId="30F842EC">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3.5本协议作为合同的附件，与合同具有同等法律效力，经合同双方签署后生效。</w:t>
      </w:r>
    </w:p>
    <w:p w14:paraId="100EBBED">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p>
    <w:p w14:paraId="72F00E25">
      <w:pPr>
        <w:keepNext w:val="0"/>
        <w:keepLines w:val="0"/>
        <w:pageBreakBefore w:val="0"/>
        <w:widowControl w:val="0"/>
        <w:shd w:val="clear" w:color="auto"/>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color w:val="auto"/>
          <w:sz w:val="28"/>
          <w:szCs w:val="28"/>
          <w:highlight w:val="none"/>
          <w:u w:val="none"/>
        </w:rPr>
      </w:pPr>
    </w:p>
    <w:tbl>
      <w:tblPr>
        <w:tblStyle w:val="25"/>
        <w:tblpPr w:leftFromText="180" w:rightFromText="180" w:vertAnchor="text" w:horzAnchor="page" w:tblpX="1693" w:tblpY="131"/>
        <w:tblOverlap w:val="never"/>
        <w:tblW w:w="8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9"/>
        <w:gridCol w:w="4243"/>
      </w:tblGrid>
      <w:tr w14:paraId="2764B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4419" w:type="dxa"/>
            <w:tcBorders>
              <w:tl2br w:val="nil"/>
              <w:tr2bl w:val="nil"/>
            </w:tcBorders>
            <w:vAlign w:val="top"/>
          </w:tcPr>
          <w:p w14:paraId="36171DF1">
            <w:pPr>
              <w:keepNext w:val="0"/>
              <w:keepLines w:val="0"/>
              <w:pageBreakBefore w:val="0"/>
              <w:widowControl w:val="0"/>
              <w:shd w:val="clear"/>
              <w:kinsoku/>
              <w:wordWrap/>
              <w:overflowPunct/>
              <w:topLinePunct w:val="0"/>
              <w:autoSpaceDE/>
              <w:autoSpaceDN/>
              <w:bidi w:val="0"/>
              <w:adjustRightInd/>
              <w:spacing w:line="440" w:lineRule="exact"/>
              <w:jc w:val="left"/>
              <w:textAlignment w:val="auto"/>
              <w:rPr>
                <w:rFonts w:hint="eastAsia" w:ascii="仿宋" w:hAnsi="仿宋" w:eastAsia="仿宋" w:cs="仿宋"/>
                <w:b/>
                <w:bCs/>
                <w:color w:val="auto"/>
                <w:sz w:val="28"/>
                <w:szCs w:val="28"/>
                <w:highlight w:val="none"/>
                <w:vertAlign w:val="baseline"/>
              </w:rPr>
            </w:pPr>
            <w:r>
              <w:rPr>
                <w:rFonts w:hint="eastAsia" w:ascii="仿宋" w:hAnsi="仿宋" w:eastAsia="仿宋" w:cs="仿宋"/>
                <w:b/>
                <w:bCs/>
                <w:color w:val="auto"/>
                <w:sz w:val="28"/>
                <w:szCs w:val="28"/>
                <w:highlight w:val="none"/>
              </w:rPr>
              <w:t>甲方（盖章）：</w:t>
            </w:r>
          </w:p>
        </w:tc>
        <w:tc>
          <w:tcPr>
            <w:tcW w:w="4243" w:type="dxa"/>
            <w:tcBorders>
              <w:tl2br w:val="nil"/>
              <w:tr2bl w:val="nil"/>
            </w:tcBorders>
            <w:vAlign w:val="top"/>
          </w:tcPr>
          <w:p w14:paraId="1CCF1443">
            <w:pPr>
              <w:keepNext w:val="0"/>
              <w:keepLines w:val="0"/>
              <w:pageBreakBefore w:val="0"/>
              <w:widowControl w:val="0"/>
              <w:shd w:val="clear"/>
              <w:kinsoku/>
              <w:wordWrap/>
              <w:overflowPunct/>
              <w:topLinePunct w:val="0"/>
              <w:autoSpaceDE/>
              <w:autoSpaceDN/>
              <w:bidi w:val="0"/>
              <w:adjustRightInd/>
              <w:spacing w:line="440" w:lineRule="exact"/>
              <w:jc w:val="left"/>
              <w:textAlignment w:val="auto"/>
              <w:rPr>
                <w:rFonts w:hint="eastAsia" w:ascii="仿宋" w:hAnsi="仿宋" w:eastAsia="仿宋" w:cs="仿宋"/>
                <w:b/>
                <w:bCs/>
                <w:color w:val="auto"/>
                <w:sz w:val="28"/>
                <w:szCs w:val="28"/>
                <w:highlight w:val="none"/>
                <w:vertAlign w:val="baseline"/>
              </w:rPr>
            </w:pPr>
            <w:r>
              <w:rPr>
                <w:rFonts w:hint="eastAsia" w:ascii="仿宋" w:hAnsi="仿宋" w:eastAsia="仿宋" w:cs="仿宋"/>
                <w:b/>
                <w:bCs/>
                <w:color w:val="auto"/>
                <w:sz w:val="28"/>
                <w:szCs w:val="28"/>
                <w:highlight w:val="none"/>
              </w:rPr>
              <w:t xml:space="preserve"> 乙方 （盖章）：</w:t>
            </w:r>
          </w:p>
        </w:tc>
      </w:tr>
    </w:tbl>
    <w:p w14:paraId="5198B56E">
      <w:pPr>
        <w:keepNext w:val="0"/>
        <w:keepLines w:val="0"/>
        <w:pageBreakBefore w:val="0"/>
        <w:widowControl w:val="0"/>
        <w:shd w:val="clear"/>
        <w:kinsoku/>
        <w:wordWrap/>
        <w:overflowPunct/>
        <w:topLinePunct w:val="0"/>
        <w:autoSpaceDE/>
        <w:autoSpaceDN/>
        <w:bidi w:val="0"/>
        <w:adjustRightInd/>
        <w:snapToGrid w:val="0"/>
        <w:spacing w:line="400" w:lineRule="exact"/>
        <w:contextualSpacing/>
        <w:jc w:val="center"/>
        <w:textAlignment w:val="auto"/>
        <w:rPr>
          <w:rFonts w:hint="eastAsia" w:ascii="仿宋" w:hAnsi="仿宋" w:eastAsia="仿宋" w:cs="仿宋"/>
          <w:color w:val="auto"/>
          <w:sz w:val="28"/>
          <w:szCs w:val="28"/>
          <w:highlight w:val="none"/>
        </w:rPr>
      </w:pPr>
    </w:p>
    <w:p w14:paraId="525CE60C">
      <w:pPr>
        <w:shd w:val="clear"/>
        <w:autoSpaceDE w:val="0"/>
        <w:autoSpaceDN w:val="0"/>
        <w:adjustRightInd w:val="0"/>
        <w:spacing w:line="480" w:lineRule="exact"/>
        <w:jc w:val="left"/>
        <w:rPr>
          <w:rFonts w:hint="eastAsia" w:ascii="黑体" w:hAnsi="黑体" w:eastAsia="黑体" w:cs="黑体"/>
          <w:color w:val="auto"/>
          <w:sz w:val="28"/>
          <w:szCs w:val="28"/>
          <w:highlight w:val="none"/>
        </w:rPr>
      </w:pPr>
    </w:p>
    <w:p w14:paraId="37A04914">
      <w:pPr>
        <w:shd w:val="clear"/>
        <w:autoSpaceDE w:val="0"/>
        <w:autoSpaceDN w:val="0"/>
        <w:adjustRightInd w:val="0"/>
        <w:spacing w:line="480" w:lineRule="exact"/>
        <w:jc w:val="left"/>
        <w:rPr>
          <w:rFonts w:hint="eastAsia" w:ascii="黑体" w:hAnsi="黑体" w:eastAsia="黑体" w:cs="黑体"/>
          <w:color w:val="auto"/>
          <w:sz w:val="28"/>
          <w:szCs w:val="28"/>
          <w:highlight w:val="none"/>
        </w:rPr>
      </w:pPr>
    </w:p>
    <w:p w14:paraId="48D38D25">
      <w:pPr>
        <w:shd w:val="clear"/>
        <w:autoSpaceDE w:val="0"/>
        <w:autoSpaceDN w:val="0"/>
        <w:adjustRightInd w:val="0"/>
        <w:spacing w:line="480" w:lineRule="exact"/>
        <w:jc w:val="left"/>
        <w:rPr>
          <w:rFonts w:hint="eastAsia" w:ascii="黑体" w:hAnsi="黑体" w:eastAsia="黑体" w:cs="黑体"/>
          <w:color w:val="auto"/>
          <w:sz w:val="28"/>
          <w:szCs w:val="28"/>
          <w:highlight w:val="none"/>
        </w:rPr>
      </w:pPr>
    </w:p>
    <w:p w14:paraId="0542BD57">
      <w:pPr>
        <w:shd w:val="clear"/>
        <w:autoSpaceDE w:val="0"/>
        <w:autoSpaceDN w:val="0"/>
        <w:adjustRightInd w:val="0"/>
        <w:spacing w:line="480" w:lineRule="exact"/>
        <w:jc w:val="left"/>
        <w:rPr>
          <w:rFonts w:hint="eastAsia" w:ascii="黑体" w:hAnsi="黑体" w:eastAsia="黑体" w:cs="黑体"/>
          <w:color w:val="auto"/>
          <w:sz w:val="28"/>
          <w:szCs w:val="28"/>
          <w:highlight w:val="none"/>
        </w:rPr>
      </w:pPr>
    </w:p>
    <w:p w14:paraId="6AEF6DA8">
      <w:pPr>
        <w:shd w:val="clear"/>
        <w:autoSpaceDE w:val="0"/>
        <w:autoSpaceDN w:val="0"/>
        <w:adjustRightInd w:val="0"/>
        <w:spacing w:line="480" w:lineRule="exact"/>
        <w:jc w:val="left"/>
        <w:rPr>
          <w:rFonts w:hint="eastAsia" w:ascii="黑体" w:hAnsi="黑体" w:eastAsia="黑体" w:cs="黑体"/>
          <w:color w:val="auto"/>
          <w:sz w:val="28"/>
          <w:szCs w:val="28"/>
          <w:highlight w:val="none"/>
        </w:rPr>
      </w:pPr>
    </w:p>
    <w:p w14:paraId="10FFEE07">
      <w:pPr>
        <w:shd w:val="clear"/>
        <w:autoSpaceDE w:val="0"/>
        <w:autoSpaceDN w:val="0"/>
        <w:adjustRightInd w:val="0"/>
        <w:spacing w:line="480" w:lineRule="exact"/>
        <w:jc w:val="left"/>
        <w:rPr>
          <w:rFonts w:hint="eastAsia" w:ascii="黑体" w:hAnsi="黑体" w:eastAsia="黑体" w:cs="黑体"/>
          <w:color w:val="auto"/>
          <w:sz w:val="28"/>
          <w:szCs w:val="28"/>
          <w:highlight w:val="none"/>
        </w:rPr>
      </w:pPr>
    </w:p>
    <w:p w14:paraId="4503E4C2">
      <w:pPr>
        <w:shd w:val="clear"/>
        <w:autoSpaceDE w:val="0"/>
        <w:autoSpaceDN w:val="0"/>
        <w:adjustRightInd w:val="0"/>
        <w:spacing w:line="480" w:lineRule="exact"/>
        <w:jc w:val="left"/>
        <w:rPr>
          <w:rFonts w:hint="eastAsia" w:ascii="黑体" w:hAnsi="黑体" w:eastAsia="黑体" w:cs="黑体"/>
          <w:color w:val="auto"/>
          <w:sz w:val="28"/>
          <w:szCs w:val="28"/>
          <w:highlight w:val="none"/>
        </w:rPr>
      </w:pPr>
    </w:p>
    <w:p w14:paraId="2F00D0A1">
      <w:pPr>
        <w:shd w:val="clear"/>
        <w:autoSpaceDE w:val="0"/>
        <w:autoSpaceDN w:val="0"/>
        <w:adjustRightInd w:val="0"/>
        <w:spacing w:line="480" w:lineRule="exact"/>
        <w:jc w:val="left"/>
        <w:rPr>
          <w:rFonts w:hint="eastAsia" w:ascii="黑体" w:hAnsi="黑体" w:eastAsia="黑体" w:cs="黑体"/>
          <w:color w:val="auto"/>
          <w:sz w:val="28"/>
          <w:szCs w:val="28"/>
          <w:highlight w:val="none"/>
        </w:rPr>
      </w:pPr>
    </w:p>
    <w:p w14:paraId="4F37C064">
      <w:pPr>
        <w:shd w:val="clear"/>
        <w:autoSpaceDE w:val="0"/>
        <w:autoSpaceDN w:val="0"/>
        <w:adjustRightInd w:val="0"/>
        <w:spacing w:line="480" w:lineRule="exact"/>
        <w:jc w:val="left"/>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rPr>
        <w:t>附件1</w:t>
      </w:r>
      <w:r>
        <w:rPr>
          <w:rFonts w:hint="eastAsia" w:ascii="黑体" w:hAnsi="黑体" w:eastAsia="黑体" w:cs="黑体"/>
          <w:color w:val="auto"/>
          <w:sz w:val="28"/>
          <w:szCs w:val="28"/>
          <w:highlight w:val="none"/>
          <w:lang w:val="en-US" w:eastAsia="zh-CN"/>
        </w:rPr>
        <w:t>2</w:t>
      </w:r>
    </w:p>
    <w:p w14:paraId="3CC9BC48">
      <w:pPr>
        <w:shd w:val="clear"/>
        <w:autoSpaceDE w:val="0"/>
        <w:autoSpaceDN w:val="0"/>
        <w:adjustRightInd w:val="0"/>
        <w:spacing w:line="480" w:lineRule="exact"/>
        <w:jc w:val="center"/>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施工现场消防安全管理协议</w:t>
      </w:r>
    </w:p>
    <w:p w14:paraId="48FE04C0">
      <w:pPr>
        <w:keepNext w:val="0"/>
        <w:keepLines w:val="0"/>
        <w:pageBreakBefore w:val="0"/>
        <w:shd w:val="clear"/>
        <w:kinsoku/>
        <w:wordWrap w:val="0"/>
        <w:overflowPunct/>
        <w:topLinePunct w:val="0"/>
        <w:autoSpaceDE/>
        <w:autoSpaceDN/>
        <w:bidi w:val="0"/>
        <w:adjustRightInd/>
        <w:spacing w:line="400" w:lineRule="exact"/>
        <w:ind w:left="0" w:leftChars="0" w:firstLine="562" w:firstLineChars="200"/>
        <w:textAlignment w:val="auto"/>
        <w:outlineLvl w:val="1"/>
        <w:rPr>
          <w:rFonts w:hint="eastAsia" w:ascii="黑体" w:hAnsi="黑体" w:eastAsia="黑体" w:cs="黑体"/>
          <w:b/>
          <w:bCs/>
          <w:color w:val="auto"/>
          <w:sz w:val="28"/>
          <w:szCs w:val="28"/>
          <w:highlight w:val="none"/>
        </w:rPr>
      </w:pPr>
    </w:p>
    <w:p w14:paraId="08E889CF">
      <w:pPr>
        <w:shd w:val="clear"/>
        <w:spacing w:line="480" w:lineRule="exact"/>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甲方（承包人）：【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4E95B23C">
      <w:pPr>
        <w:shd w:val="clear"/>
        <w:spacing w:line="480" w:lineRule="exact"/>
        <w:jc w:val="left"/>
        <w:rPr>
          <w:rFonts w:ascii="仿宋_GB2312" w:eastAsia="仿宋_GB2312" w:hAnsiTheme="minorEastAsia" w:cstheme="minorEastAsia"/>
          <w:color w:val="auto"/>
          <w:sz w:val="28"/>
          <w:szCs w:val="28"/>
          <w:highlight w:val="none"/>
        </w:rPr>
      </w:pPr>
      <w:r>
        <w:rPr>
          <w:rFonts w:hint="eastAsia" w:ascii="仿宋_GB2312" w:hAnsi="仿宋_GB2312" w:eastAsia="仿宋_GB2312" w:cs="仿宋_GB2312"/>
          <w:b/>
          <w:color w:val="auto"/>
          <w:sz w:val="28"/>
          <w:szCs w:val="28"/>
          <w:highlight w:val="none"/>
        </w:rPr>
        <w:t>乙方（分包人）：【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58335DB1">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为了加强施工现场的消防安全工作，杜绝施工现场存在消防安全隐患，保护公共财产和生命安全。根据《中华人民共和国消防法》、《商场市场消防安全管理》、《建筑内部装修防火施工及验收规范》的有关规定，消防安全不容忽视，作为消防安全工作主体的乙方不但要加强员工的消防意识，增强员工的防火意识，还要做好如下工作：</w:t>
      </w:r>
    </w:p>
    <w:p w14:paraId="615672C6">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一、乙方应本着消防工作“谁主管，谁负责”的原则，确定本单位和所属各部门、班组的消防安全责任人。</w:t>
      </w:r>
    </w:p>
    <w:p w14:paraId="6695DCD9">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二、乙方责任区域应以施工所涵盖范围（或经营所属面积）为主。</w:t>
      </w:r>
    </w:p>
    <w:p w14:paraId="4FD7BFFB">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三、责任要求：</w:t>
      </w:r>
    </w:p>
    <w:p w14:paraId="48B674BB">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1．乙方施工人员严禁在施工区域吸烟或甲方其他非吸烟区域吸烟；乙方施工现场需动火时，必须向甲方作出动火申请，经甲方书面同意后方可动火，动火前要清理周围的可燃物，同时现场必须配备有效的灭火器。</w:t>
      </w:r>
    </w:p>
    <w:p w14:paraId="06914B73">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2.乙方施工现场不得私自拆除、封闭、阻挡甲方的一切消防设施、设备和消防通道。</w:t>
      </w:r>
    </w:p>
    <w:p w14:paraId="403CDD4A">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3.乙方现场所用的一切材料都必须符合消防安全要求，施工现场临时用电必须符合JGJ46-2005的要求。</w:t>
      </w:r>
    </w:p>
    <w:p w14:paraId="3AB896BA">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4．乙方不得在生活办公区，仓库等易燃易爆的地方使用碘钨灯和六十瓦以上的白炽灯等高温照明灯具，库房内敷设的配电线路，需穿金属管或用非燃硬塑料管保护。</w:t>
      </w:r>
    </w:p>
    <w:p w14:paraId="59069528">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5．乙方必须定期对员工进行防火意识教育。</w:t>
      </w:r>
    </w:p>
    <w:p w14:paraId="78CF381D">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6．乙方组织不少于15人的义务消防队，定期进行业务培训。</w:t>
      </w:r>
    </w:p>
    <w:p w14:paraId="782C7B02">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7．乙方要定期巡视、检查、保养各类消防设施和器材。 </w:t>
      </w:r>
    </w:p>
    <w:p w14:paraId="4F0727C5">
      <w:pPr>
        <w:keepNext w:val="0"/>
        <w:keepLines w:val="0"/>
        <w:pageBreakBefore w:val="0"/>
        <w:widowControl/>
        <w:numPr>
          <w:ilvl w:val="0"/>
          <w:numId w:val="0"/>
        </w:numPr>
        <w:shd w:val="clear"/>
        <w:kinsoku/>
        <w:wordWrap/>
        <w:overflowPunct/>
        <w:topLinePunct w:val="0"/>
        <w:autoSpaceDE/>
        <w:autoSpaceDN/>
        <w:bidi w:val="0"/>
        <w:adjustRightInd/>
        <w:snapToGrid/>
        <w:spacing w:before="0" w:after="0" w:line="440" w:lineRule="exact"/>
        <w:ind w:left="0" w:leftChars="0" w:right="0" w:rightChars="0" w:firstLine="560" w:firstLineChars="200"/>
        <w:jc w:val="left"/>
        <w:textAlignment w:val="auto"/>
        <w:outlineLvl w:val="9"/>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8．乙方必须遵守消防管理规定。</w:t>
      </w:r>
    </w:p>
    <w:p w14:paraId="46B7F72D">
      <w:pPr>
        <w:keepNext w:val="0"/>
        <w:keepLines w:val="0"/>
        <w:pageBreakBefore w:val="0"/>
        <w:shd w:val="clear"/>
        <w:kinsoku/>
        <w:overflowPunct/>
        <w:topLinePunct w:val="0"/>
        <w:autoSpaceDE/>
        <w:autoSpaceDN/>
        <w:bidi w:val="0"/>
        <w:adjustRightInd/>
        <w:snapToGrid/>
        <w:spacing w:after="0" w:line="440" w:lineRule="exact"/>
        <w:ind w:left="735" w:hanging="980" w:hangingChars="350"/>
        <w:textAlignment w:val="auto"/>
        <w:outlineLvl w:val="0"/>
        <w:rPr>
          <w:rFonts w:hint="eastAsia" w:ascii="仿宋_GB2312" w:hAnsi="仿宋_GB2312" w:eastAsia="仿宋_GB2312" w:cs="仿宋_GB2312"/>
          <w:color w:val="auto"/>
          <w:kern w:val="10"/>
          <w:sz w:val="28"/>
          <w:szCs w:val="28"/>
          <w:highlight w:val="none"/>
          <w:u w:val="single"/>
          <w:lang w:val="en-US" w:eastAsia="zh-CN" w:bidi="en-US"/>
        </w:rPr>
      </w:pPr>
      <w:r>
        <w:rPr>
          <w:rFonts w:hint="eastAsia" w:ascii="仿宋_GB2312" w:hAnsi="仿宋_GB2312" w:eastAsia="仿宋_GB2312" w:cs="仿宋_GB2312"/>
          <w:color w:val="auto"/>
          <w:sz w:val="28"/>
          <w:szCs w:val="28"/>
          <w:highlight w:val="none"/>
          <w:lang w:eastAsia="zh-CN"/>
        </w:rPr>
        <w:t>甲</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方（盖章）：</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乙</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方（盖章）：</w:t>
      </w:r>
    </w:p>
    <w:p w14:paraId="5493F9CA">
      <w:pPr>
        <w:keepNext w:val="0"/>
        <w:keepLines w:val="0"/>
        <w:pageBreakBefore w:val="0"/>
        <w:shd w:val="clear"/>
        <w:kinsoku/>
        <w:overflowPunct/>
        <w:topLinePunct w:val="0"/>
        <w:autoSpaceDE/>
        <w:autoSpaceDN/>
        <w:bidi w:val="0"/>
        <w:adjustRightInd/>
        <w:snapToGrid/>
        <w:spacing w:after="0" w:line="440" w:lineRule="exact"/>
        <w:ind w:left="735" w:hanging="980" w:hangingChars="350"/>
        <w:textAlignment w:val="auto"/>
        <w:outlineLvl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法定代表人或</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法定代表人或</w:t>
      </w:r>
    </w:p>
    <w:p w14:paraId="3E2A122A">
      <w:pPr>
        <w:keepNext w:val="0"/>
        <w:keepLines w:val="0"/>
        <w:pageBreakBefore w:val="0"/>
        <w:shd w:val="clear"/>
        <w:kinsoku/>
        <w:overflowPunct/>
        <w:topLinePunct w:val="0"/>
        <w:autoSpaceDE/>
        <w:autoSpaceDN/>
        <w:bidi w:val="0"/>
        <w:adjustRightInd/>
        <w:snapToGrid/>
        <w:spacing w:after="0" w:line="440" w:lineRule="exact"/>
        <w:ind w:left="735" w:hanging="980" w:hangingChars="350"/>
        <w:textAlignment w:val="auto"/>
        <w:outlineLvl w:val="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 xml:space="preserve">委托代理人（签字）：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 xml:space="preserve">委托代理人（签字）：             </w:t>
      </w:r>
    </w:p>
    <w:p w14:paraId="3CE2E248">
      <w:pPr>
        <w:keepNext w:val="0"/>
        <w:keepLines w:val="0"/>
        <w:pageBreakBefore w:val="0"/>
        <w:shd w:val="clear"/>
        <w:kinsoku/>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2025年6月18日</w:t>
      </w:r>
      <w:r>
        <w:rPr>
          <w:rFonts w:hint="eastAsia" w:ascii="仿宋_GB2312" w:hAnsi="仿宋_GB2312" w:eastAsia="仿宋_GB2312" w:cs="仿宋_GB2312"/>
          <w:color w:val="auto"/>
          <w:sz w:val="28"/>
          <w:szCs w:val="28"/>
          <w:highlight w:val="none"/>
          <w:lang w:eastAsia="zh-CN"/>
        </w:rPr>
        <w:t xml:space="preserve">                </w:t>
      </w:r>
      <w:r>
        <w:rPr>
          <w:rFonts w:hint="eastAsia" w:ascii="仿宋_GB2312" w:hAnsi="仿宋_GB2312" w:eastAsia="仿宋_GB2312" w:cs="仿宋_GB2312"/>
          <w:color w:val="auto"/>
          <w:sz w:val="28"/>
          <w:szCs w:val="28"/>
          <w:highlight w:val="none"/>
          <w:lang w:val="en-US" w:eastAsia="zh-CN"/>
        </w:rPr>
        <w:t>2025年6月18日</w:t>
      </w:r>
      <w:r>
        <w:rPr>
          <w:rFonts w:hint="eastAsia" w:ascii="仿宋_GB2312" w:hAnsi="仿宋_GB2312" w:eastAsia="仿宋_GB2312" w:cs="仿宋_GB2312"/>
          <w:color w:val="auto"/>
          <w:sz w:val="28"/>
          <w:szCs w:val="28"/>
          <w:highlight w:val="none"/>
          <w:lang w:eastAsia="zh-CN"/>
        </w:rPr>
        <w:t xml:space="preserve"> </w:t>
      </w:r>
    </w:p>
    <w:p w14:paraId="1CF2353C">
      <w:pPr>
        <w:shd w:val="clear"/>
        <w:autoSpaceDE w:val="0"/>
        <w:autoSpaceDN w:val="0"/>
        <w:adjustRightInd w:val="0"/>
        <w:spacing w:line="480" w:lineRule="exact"/>
        <w:jc w:val="left"/>
        <w:rPr>
          <w:rFonts w:hint="default"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rPr>
        <w:t>附件1</w:t>
      </w:r>
      <w:r>
        <w:rPr>
          <w:rFonts w:hint="eastAsia" w:ascii="黑体" w:hAnsi="黑体" w:eastAsia="黑体" w:cs="黑体"/>
          <w:color w:val="auto"/>
          <w:sz w:val="28"/>
          <w:szCs w:val="28"/>
          <w:highlight w:val="none"/>
          <w:lang w:val="en-US" w:eastAsia="zh-CN"/>
        </w:rPr>
        <w:t>3</w:t>
      </w:r>
    </w:p>
    <w:p w14:paraId="2248FA0A">
      <w:pPr>
        <w:keepNext w:val="0"/>
        <w:keepLines w:val="0"/>
        <w:pageBreakBefore w:val="0"/>
        <w:widowControl w:val="0"/>
        <w:shd w:val="clear"/>
        <w:kinsoku/>
        <w:wordWrap/>
        <w:overflowPunct/>
        <w:topLinePunct w:val="0"/>
        <w:autoSpaceDE w:val="0"/>
        <w:autoSpaceDN w:val="0"/>
        <w:bidi w:val="0"/>
        <w:adjustRightInd w:val="0"/>
        <w:snapToGrid/>
        <w:spacing w:line="400" w:lineRule="exact"/>
        <w:jc w:val="center"/>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施工现场临时用电安全管理协议</w:t>
      </w:r>
    </w:p>
    <w:p w14:paraId="7EDB581F">
      <w:pPr>
        <w:pStyle w:val="11"/>
        <w:keepNext w:val="0"/>
        <w:keepLines w:val="0"/>
        <w:pageBreakBefore w:val="0"/>
        <w:widowControl w:val="0"/>
        <w:shd w:val="clear"/>
        <w:kinsoku/>
        <w:wordWrap/>
        <w:overflowPunct/>
        <w:topLinePunct w:val="0"/>
        <w:bidi w:val="0"/>
        <w:snapToGrid/>
        <w:spacing w:line="400" w:lineRule="exact"/>
        <w:textAlignment w:val="auto"/>
        <w:rPr>
          <w:rFonts w:hint="eastAsia" w:ascii="黑体" w:hAnsi="黑体" w:eastAsia="黑体" w:cs="黑体"/>
          <w:color w:val="auto"/>
          <w:sz w:val="28"/>
          <w:szCs w:val="28"/>
          <w:highlight w:val="none"/>
        </w:rPr>
      </w:pPr>
    </w:p>
    <w:p w14:paraId="4A6950E6">
      <w:pPr>
        <w:keepNext w:val="0"/>
        <w:keepLines w:val="0"/>
        <w:pageBreakBefore w:val="0"/>
        <w:widowControl w:val="0"/>
        <w:shd w:val="clear"/>
        <w:kinsoku/>
        <w:wordWrap/>
        <w:overflowPunct/>
        <w:topLinePunct w:val="0"/>
        <w:bidi w:val="0"/>
        <w:snapToGrid/>
        <w:spacing w:line="400" w:lineRule="exact"/>
        <w:textAlignment w:val="auto"/>
        <w:rPr>
          <w:rFonts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甲方（承包人）：【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2DB2478A">
      <w:pPr>
        <w:keepNext w:val="0"/>
        <w:keepLines w:val="0"/>
        <w:pageBreakBefore w:val="0"/>
        <w:widowControl w:val="0"/>
        <w:shd w:val="clear"/>
        <w:kinsoku/>
        <w:wordWrap/>
        <w:overflowPunct/>
        <w:topLinePunct w:val="0"/>
        <w:bidi w:val="0"/>
        <w:snapToGrid/>
        <w:spacing w:line="400" w:lineRule="exact"/>
        <w:jc w:val="left"/>
        <w:textAlignment w:val="auto"/>
        <w:rPr>
          <w:rFonts w:ascii="仿宋_GB2312" w:eastAsia="仿宋_GB2312" w:hAnsiTheme="minorEastAsia" w:cstheme="minorEastAsia"/>
          <w:color w:val="auto"/>
          <w:sz w:val="28"/>
          <w:szCs w:val="28"/>
          <w:highlight w:val="none"/>
        </w:rPr>
      </w:pPr>
      <w:r>
        <w:rPr>
          <w:rFonts w:hint="eastAsia" w:ascii="仿宋_GB2312" w:hAnsi="仿宋_GB2312" w:eastAsia="仿宋_GB2312" w:cs="仿宋_GB2312"/>
          <w:b/>
          <w:color w:val="auto"/>
          <w:sz w:val="28"/>
          <w:szCs w:val="28"/>
          <w:highlight w:val="none"/>
        </w:rPr>
        <w:t>乙方（分包人）：【</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color w:val="auto"/>
          <w:sz w:val="28"/>
          <w:szCs w:val="28"/>
          <w:highlight w:val="none"/>
        </w:rPr>
        <w:t>】</w:t>
      </w:r>
    </w:p>
    <w:p w14:paraId="5790C458">
      <w:pPr>
        <w:pStyle w:val="11"/>
        <w:keepNext w:val="0"/>
        <w:keepLines w:val="0"/>
        <w:pageBreakBefore w:val="0"/>
        <w:widowControl w:val="0"/>
        <w:shd w:val="clear"/>
        <w:kinsoku/>
        <w:wordWrap/>
        <w:overflowPunct/>
        <w:topLinePunct w:val="0"/>
        <w:bidi w:val="0"/>
        <w:snapToGrid/>
        <w:spacing w:line="400" w:lineRule="exact"/>
        <w:textAlignment w:val="auto"/>
        <w:rPr>
          <w:rFonts w:hint="eastAsia" w:ascii="黑体" w:hAnsi="黑体" w:eastAsia="黑体" w:cs="黑体"/>
          <w:color w:val="auto"/>
          <w:sz w:val="28"/>
          <w:szCs w:val="28"/>
          <w:highlight w:val="none"/>
        </w:rPr>
      </w:pPr>
    </w:p>
    <w:p w14:paraId="0045F966">
      <w:pPr>
        <w:keepNext w:val="0"/>
        <w:keepLines w:val="0"/>
        <w:pageBreakBefore w:val="0"/>
        <w:widowControl w:val="0"/>
        <w:shd w:val="clear"/>
        <w:kinsoku/>
        <w:wordWrap/>
        <w:overflowPunct/>
        <w:topLinePunct w:val="0"/>
        <w:autoSpaceDE/>
        <w:autoSpaceDN/>
        <w:bidi w:val="0"/>
        <w:adjustRightInd/>
        <w:snapToGrid/>
        <w:spacing w:line="440" w:lineRule="exact"/>
        <w:ind w:left="0" w:firstLine="560" w:firstLineChars="20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为确保施工现场临时用电人员生命安全及设备安全，经甲乙双方协商，签订如下管理协议。</w:t>
      </w:r>
    </w:p>
    <w:p w14:paraId="45EE44EF">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第一条：甲方的责任、权利及义务</w:t>
      </w:r>
    </w:p>
    <w:p w14:paraId="717EEEC6">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1、在甲方未撤场及撤离相关现场临时用电设施前，向乙方提供二级配电箱作为乙方施工用电接驳点，具体接电部位由甲方及乙方用电管理人员现场确定。</w:t>
      </w:r>
    </w:p>
    <w:p w14:paraId="0A21D5B1">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2、审查乙方进场电工的证件，并督促乙方对作业人员开展用电安全教育培训。</w:t>
      </w:r>
    </w:p>
    <w:p w14:paraId="24373476">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3、对乙方进场的三级配电箱及用电机具设备进行入场检查及相应的巡检，对乙方不符合用电安全要求的配电箱及用电设备有权提出整改要求，并督促乙方在规定时间内整改。</w:t>
      </w:r>
    </w:p>
    <w:p w14:paraId="7FFA7219">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4、对乙方不符合用电安全要求且拒不整改的，甲方有权采取断电措施，直至乙方整改完成。甲方对乙方违规用电的行为有权进行罚款。</w:t>
      </w:r>
    </w:p>
    <w:p w14:paraId="2EB244B9">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第二条：乙方的责任、权利及义务</w:t>
      </w:r>
    </w:p>
    <w:p w14:paraId="72161DF3">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1、 乙方必须配备满足现场施工需求的专业电工，电工持有效操作证上岗，在施工作业前必须熟悉临时用电施工方案，按方案要求布设临时用电线路，并按照规范要求布置配电箱及设计要求的电缆，严格遵守JGJ46-2005施工现场临时用电安全技术规范中的相关规定及公司相关要求执行，并对现场作业人员开展用电安全知识教育培训。</w:t>
      </w:r>
    </w:p>
    <w:p w14:paraId="657F84AE">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2、各种固定机械，三级配电箱必须有重复接地，接地应采用角钢，圆钢，圆钢的直经不小于12mm，不得采用螺纹钢，配电箱内必须清洁，各部件无损坏，配电箱必须有锁，有防雨措施，所以用电设置开关箱必须符合‘一机、一闸、一箱、一漏’标准，为了统一标准，乙方所使用的三级配电箱必须经甲方机电部验收合格方可使用。</w:t>
      </w:r>
    </w:p>
    <w:p w14:paraId="210F8650">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3、配电线路，移动三级配电箱配线长度不得≥30M，必须使用五芯线，不得使用老化，绝缘破坏的电缆线作为三级配电箱的电源线。开关箱离设备不得 ≥3M，箱体架设高度中心点离地面不得小于80CM，严禁把电缆绑扎在钢管和金属上。需要绑扎，必须要加绝缘子。</w:t>
      </w:r>
    </w:p>
    <w:p w14:paraId="21BB67B5">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4、小型机具的线路一律采用软质三芯橡皮线，严禁使用花线和两芯线。护套线作为移动照明，小型机械的配线，架设高度不得小于2.4M，必须加套管保护，移动照明的金属外壳必须接地。严禁用其它金属丝代替保险丝，各种施工机具，灯具的电源线严禁无插头裸线直接插入插座，保护线不得进入开关，工作零线和保护零线不得混接。</w:t>
      </w:r>
    </w:p>
    <w:p w14:paraId="0F1FEDE7">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5、在潮湿场所和地下室必须使用安全电压小于36V以下。变压器采用隔离行灯变压器，禁止使用自耦变压器。</w:t>
      </w:r>
    </w:p>
    <w:p w14:paraId="1FE40F49">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6、小型机具进入施工现场，要向甲方机电部门申请登记，机电管理部门将对进场的机具进行检查，合格后才能进入工作，要保证机具完好无损，定期做绝缘电阻测试，做好测试记录，手持电动工具绝缘电阻必须达到规范要求。在潮湿场所使用时必须采用漏电开关，漏电电流小于15MA，漏电动作时间为0.1S的漏电开关进行保护。</w:t>
      </w:r>
    </w:p>
    <w:p w14:paraId="26481EC1">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7、移动电气设备，必须配设三级配电箱，开关箱致电气设备之间电源线不得大于3M。禁止使用倒顺开关，必须有保护接地保护接零，电焊机在使用时严禁使用刀闸开关，必须使用漏电开关，电焊机电源线不得超过5M。必须加装二次降压保护器，二次线路不得超过30M.中间严禁有接头。</w:t>
      </w:r>
    </w:p>
    <w:p w14:paraId="60D528C9">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8、现场施工照明夜间加班（除塔吊镝灯外）移动照明和塔吊大臂照明灯由乙方按规范实施设置。</w:t>
      </w:r>
    </w:p>
    <w:p w14:paraId="7E93F954">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9、乙方现场电工必须遵守安全生产六大纪律，经常定期不定期检查现场使用中的电缆、配电箱、设备。认真配合好各级安全组检查，对检查出来的安全隐患及时整改。并认真做好巡检整改回复记录各级作业人员按相关规范对漏电开关测试记录，安装拆除记录，绝缘电阻测试记录等资料。每月资料要定期上交甲方机电部存档备查。</w:t>
      </w:r>
    </w:p>
    <w:p w14:paraId="013A935C">
      <w:pPr>
        <w:keepNext w:val="0"/>
        <w:keepLines w:val="0"/>
        <w:pageBreakBefore w:val="0"/>
        <w:widowControl w:val="0"/>
        <w:shd w:val="clear"/>
        <w:kinsoku/>
        <w:wordWrap/>
        <w:overflowPunct/>
        <w:topLinePunct w:val="0"/>
        <w:autoSpaceDE/>
        <w:autoSpaceDN/>
        <w:bidi w:val="0"/>
        <w:adjustRightInd/>
        <w:snapToGrid/>
        <w:spacing w:line="440" w:lineRule="exact"/>
        <w:ind w:left="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 xml:space="preserve">    10、因乙方违规用电导致甲方被建设单位、上级部门、政府部门等处罚的，所有处罚金额由乙方承担，缴纳现金到甲方项目部，否则甲方对乙方采取断电措施。</w:t>
      </w:r>
    </w:p>
    <w:p w14:paraId="46D28A97">
      <w:pPr>
        <w:keepNext w:val="0"/>
        <w:keepLines w:val="0"/>
        <w:pageBreakBefore w:val="0"/>
        <w:widowControl w:val="0"/>
        <w:shd w:val="clear"/>
        <w:kinsoku/>
        <w:wordWrap/>
        <w:overflowPunct/>
        <w:topLinePunct w:val="0"/>
        <w:autoSpaceDE/>
        <w:autoSpaceDN/>
        <w:bidi w:val="0"/>
        <w:adjustRightInd/>
        <w:snapToGrid/>
        <w:spacing w:line="440" w:lineRule="exact"/>
        <w:ind w:left="0" w:firstLine="420"/>
        <w:jc w:val="left"/>
        <w:textAlignment w:val="auto"/>
        <w:rPr>
          <w:rFonts w:hint="eastAsia" w:ascii="仿宋_GB2312" w:hAnsi="仿宋_GB2312" w:eastAsia="仿宋_GB2312" w:cs="仿宋_GB2312"/>
          <w:color w:val="auto"/>
          <w:kern w:val="10"/>
          <w:sz w:val="28"/>
          <w:szCs w:val="28"/>
          <w:highlight w:val="none"/>
          <w:lang w:val="en-US" w:eastAsia="zh-CN" w:bidi="en-US"/>
        </w:rPr>
      </w:pPr>
      <w:r>
        <w:rPr>
          <w:rFonts w:hint="eastAsia" w:ascii="仿宋_GB2312" w:hAnsi="仿宋_GB2312" w:eastAsia="仿宋_GB2312" w:cs="仿宋_GB2312"/>
          <w:color w:val="auto"/>
          <w:kern w:val="10"/>
          <w:sz w:val="28"/>
          <w:szCs w:val="28"/>
          <w:highlight w:val="none"/>
          <w:lang w:val="en-US" w:eastAsia="zh-CN" w:bidi="en-US"/>
        </w:rPr>
        <w:t>11、乙方违规用电导致的安全事故，一切责任有乙方承担，造成甲方损失的，甲方有权向乙方追究相关责任。</w:t>
      </w:r>
    </w:p>
    <w:p w14:paraId="19211ADD">
      <w:pPr>
        <w:keepNext w:val="0"/>
        <w:keepLines w:val="0"/>
        <w:pageBreakBefore w:val="0"/>
        <w:widowControl w:val="0"/>
        <w:shd w:val="clear"/>
        <w:kinsoku/>
        <w:wordWrap/>
        <w:overflowPunct/>
        <w:topLinePunct w:val="0"/>
        <w:autoSpaceDE/>
        <w:autoSpaceDN/>
        <w:bidi w:val="0"/>
        <w:adjustRightInd/>
        <w:snapToGrid/>
        <w:spacing w:after="0" w:line="440" w:lineRule="exact"/>
        <w:ind w:left="735" w:hanging="980" w:hangingChars="350"/>
        <w:textAlignment w:val="auto"/>
        <w:outlineLvl w:val="0"/>
        <w:rPr>
          <w:rFonts w:hint="eastAsia" w:ascii="仿宋_GB2312" w:hAnsi="仿宋_GB2312" w:eastAsia="仿宋_GB2312" w:cs="仿宋_GB2312"/>
          <w:color w:val="auto"/>
          <w:kern w:val="10"/>
          <w:sz w:val="28"/>
          <w:szCs w:val="28"/>
          <w:highlight w:val="none"/>
          <w:u w:val="single"/>
          <w:lang w:val="en-US" w:eastAsia="zh-CN" w:bidi="en-US"/>
        </w:rPr>
      </w:pPr>
      <w:r>
        <w:rPr>
          <w:rFonts w:hint="eastAsia" w:ascii="仿宋_GB2312" w:hAnsi="仿宋_GB2312" w:eastAsia="仿宋_GB2312" w:cs="仿宋_GB2312"/>
          <w:color w:val="auto"/>
          <w:sz w:val="28"/>
          <w:szCs w:val="28"/>
          <w:highlight w:val="none"/>
          <w:lang w:eastAsia="zh-CN"/>
        </w:rPr>
        <w:t>甲</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方（盖章）：</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乙</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方（盖章）：</w:t>
      </w:r>
    </w:p>
    <w:p w14:paraId="14D69489">
      <w:pPr>
        <w:keepNext w:val="0"/>
        <w:keepLines w:val="0"/>
        <w:pageBreakBefore w:val="0"/>
        <w:widowControl w:val="0"/>
        <w:shd w:val="clear"/>
        <w:kinsoku/>
        <w:wordWrap/>
        <w:overflowPunct/>
        <w:topLinePunct w:val="0"/>
        <w:autoSpaceDE/>
        <w:autoSpaceDN/>
        <w:bidi w:val="0"/>
        <w:adjustRightInd/>
        <w:snapToGrid/>
        <w:spacing w:after="0" w:line="440" w:lineRule="exact"/>
        <w:ind w:left="735" w:hanging="980" w:hangingChars="350"/>
        <w:textAlignment w:val="auto"/>
        <w:outlineLvl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法定代表人或</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法定代表人或</w:t>
      </w:r>
    </w:p>
    <w:p w14:paraId="33B8E210">
      <w:pPr>
        <w:keepNext w:val="0"/>
        <w:keepLines w:val="0"/>
        <w:pageBreakBefore w:val="0"/>
        <w:widowControl w:val="0"/>
        <w:shd w:val="clear"/>
        <w:kinsoku/>
        <w:wordWrap/>
        <w:overflowPunct/>
        <w:topLinePunct w:val="0"/>
        <w:autoSpaceDE/>
        <w:autoSpaceDN/>
        <w:bidi w:val="0"/>
        <w:adjustRightInd/>
        <w:snapToGrid/>
        <w:spacing w:after="0" w:line="440" w:lineRule="exact"/>
        <w:ind w:left="735" w:hanging="980" w:hangingChars="350"/>
        <w:textAlignment w:val="auto"/>
        <w:outlineLvl w:val="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 xml:space="preserve">委托代理人（签字）：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eastAsia="zh-CN"/>
        </w:rPr>
        <w:t xml:space="preserve">委托代理人（签字）：             </w:t>
      </w:r>
    </w:p>
    <w:p w14:paraId="26ABCE4C">
      <w:pPr>
        <w:keepNext w:val="0"/>
        <w:keepLines w:val="0"/>
        <w:pageBreakBefore w:val="0"/>
        <w:widowControl w:val="0"/>
        <w:shd w:val="clear"/>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2025年6月18日</w:t>
      </w:r>
      <w:r>
        <w:rPr>
          <w:rFonts w:hint="eastAsia" w:ascii="仿宋_GB2312" w:hAnsi="仿宋_GB2312" w:eastAsia="仿宋_GB2312" w:cs="仿宋_GB2312"/>
          <w:color w:val="auto"/>
          <w:sz w:val="28"/>
          <w:szCs w:val="28"/>
          <w:highlight w:val="none"/>
          <w:lang w:eastAsia="zh-CN"/>
        </w:rPr>
        <w:t xml:space="preserve">                </w:t>
      </w:r>
      <w:r>
        <w:rPr>
          <w:rFonts w:hint="eastAsia" w:ascii="仿宋_GB2312" w:hAnsi="仿宋_GB2312" w:eastAsia="仿宋_GB2312" w:cs="仿宋_GB2312"/>
          <w:color w:val="auto"/>
          <w:sz w:val="28"/>
          <w:szCs w:val="28"/>
          <w:highlight w:val="none"/>
          <w:lang w:val="en-US" w:eastAsia="zh-CN"/>
        </w:rPr>
        <w:t>2025年6月18日</w:t>
      </w:r>
      <w:r>
        <w:rPr>
          <w:rFonts w:hint="eastAsia" w:ascii="仿宋_GB2312" w:hAnsi="仿宋_GB2312" w:eastAsia="仿宋_GB2312" w:cs="仿宋_GB2312"/>
          <w:color w:val="auto"/>
          <w:sz w:val="28"/>
          <w:szCs w:val="28"/>
          <w:highlight w:val="none"/>
          <w:lang w:eastAsia="zh-CN"/>
        </w:rPr>
        <w:t xml:space="preserve"> </w:t>
      </w:r>
    </w:p>
    <w:p w14:paraId="3BD0CC9F">
      <w:pPr>
        <w:pStyle w:val="11"/>
        <w:shd w:val="clear"/>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附件14</w:t>
      </w:r>
    </w:p>
    <w:p w14:paraId="12F67049">
      <w:pPr>
        <w:keepNext w:val="0"/>
        <w:keepLines w:val="0"/>
        <w:pageBreakBefore w:val="0"/>
        <w:shd w:val="clear"/>
        <w:kinsoku/>
        <w:overflowPunct/>
        <w:topLinePunct w:val="0"/>
        <w:autoSpaceDE/>
        <w:autoSpaceDN/>
        <w:bidi w:val="0"/>
        <w:adjustRightInd/>
        <w:snapToGrid/>
        <w:spacing w:line="440" w:lineRule="exact"/>
        <w:jc w:val="center"/>
        <w:textAlignment w:val="auto"/>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月结月清承诺书</w:t>
      </w:r>
    </w:p>
    <w:p w14:paraId="44CBF2A4">
      <w:pPr>
        <w:keepNext w:val="0"/>
        <w:keepLines w:val="0"/>
        <w:pageBreakBefore w:val="0"/>
        <w:widowControl/>
        <w:shd w:val="clear"/>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u w:val="none"/>
          <w:lang w:eastAsia="zh-CN"/>
        </w:rPr>
        <w:t>XXXX</w:t>
      </w:r>
      <w:r>
        <w:rPr>
          <w:rFonts w:hint="eastAsia" w:ascii="仿宋_GB2312" w:hAnsi="仿宋_GB2312" w:eastAsia="仿宋_GB2312" w:cs="仿宋_GB2312"/>
          <w:color w:val="auto"/>
          <w:sz w:val="28"/>
          <w:szCs w:val="28"/>
          <w:highlight w:val="none"/>
          <w:lang w:val="en-US" w:eastAsia="zh-CN"/>
        </w:rPr>
        <w:t>：</w:t>
      </w:r>
    </w:p>
    <w:p w14:paraId="0F1DC6DA">
      <w:pPr>
        <w:keepNext w:val="0"/>
        <w:keepLines w:val="0"/>
        <w:pageBreakBefore w:val="0"/>
        <w:widowControl/>
        <w:shd w:val="clear"/>
        <w:kinsoku/>
        <w:wordWrap w:val="0"/>
        <w:overflowPunct/>
        <w:topLinePunct w:val="0"/>
        <w:autoSpaceDE/>
        <w:autoSpaceDN/>
        <w:bidi w:val="0"/>
        <w:adjustRightInd/>
        <w:snapToGrid/>
        <w:spacing w:line="440" w:lineRule="exact"/>
        <w:ind w:firstLine="601"/>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eastAsia="zh-Hans"/>
        </w:rPr>
        <w:t>贵司与我司签订《</w:t>
      </w:r>
      <w:r>
        <w:rPr>
          <w:rFonts w:hint="eastAsia" w:ascii="仿宋_GB2312" w:hAnsi="仿宋_GB2312" w:eastAsia="仿宋_GB2312" w:cs="仿宋_GB2312"/>
          <w:color w:val="auto"/>
          <w:sz w:val="28"/>
          <w:szCs w:val="28"/>
          <w:highlight w:val="none"/>
          <w:u w:val="none"/>
          <w:lang w:eastAsia="zh-CN"/>
        </w:rPr>
        <w:t>广西大学机械教学实验中心大楼项目精装修工程专业分包合同</w:t>
      </w:r>
      <w:r>
        <w:rPr>
          <w:rFonts w:hint="eastAsia" w:ascii="仿宋_GB2312" w:hAnsi="仿宋_GB2312" w:eastAsia="仿宋_GB2312" w:cs="仿宋_GB2312"/>
          <w:b w:val="0"/>
          <w:bCs w:val="0"/>
          <w:color w:val="auto"/>
          <w:sz w:val="28"/>
          <w:szCs w:val="28"/>
          <w:highlight w:val="none"/>
          <w:u w:val="none"/>
          <w:lang w:eastAsia="zh-CN"/>
        </w:rPr>
        <w:t>》，</w:t>
      </w:r>
      <w:r>
        <w:rPr>
          <w:rFonts w:hint="eastAsia" w:ascii="仿宋_GB2312" w:hAnsi="仿宋_GB2312" w:eastAsia="仿宋_GB2312" w:cs="仿宋_GB2312"/>
          <w:b w:val="0"/>
          <w:bCs w:val="0"/>
          <w:color w:val="auto"/>
          <w:sz w:val="28"/>
          <w:szCs w:val="28"/>
          <w:highlight w:val="none"/>
          <w:u w:val="none"/>
        </w:rPr>
        <w:t>合同编号：</w:t>
      </w:r>
      <w:r>
        <w:rPr>
          <w:rFonts w:hint="eastAsia" w:ascii="仿宋_GB2312" w:hAnsi="仿宋_GB2312" w:eastAsia="仿宋_GB2312" w:cs="仿宋_GB2312"/>
          <w:color w:val="auto"/>
          <w:sz w:val="28"/>
          <w:szCs w:val="28"/>
          <w:highlight w:val="none"/>
          <w:u w:val="none"/>
          <w:lang w:eastAsia="zh-CN"/>
        </w:rPr>
        <w:t>中建四局 10 04 2024 001 03 010</w:t>
      </w:r>
      <w:r>
        <w:rPr>
          <w:rFonts w:hint="eastAsia" w:ascii="仿宋_GB2312" w:hAnsi="仿宋_GB2312" w:eastAsia="仿宋_GB2312" w:cs="仿宋_GB2312"/>
          <w:b w:val="0"/>
          <w:bCs w:val="0"/>
          <w:color w:val="auto"/>
          <w:sz w:val="28"/>
          <w:szCs w:val="28"/>
          <w:highlight w:val="none"/>
          <w:lang w:eastAsia="zh-Hans"/>
        </w:rPr>
        <w:t>，约定由</w:t>
      </w:r>
      <w:r>
        <w:rPr>
          <w:rFonts w:hint="eastAsia" w:ascii="仿宋_GB2312" w:hAnsi="仿宋_GB2312" w:eastAsia="仿宋_GB2312" w:cs="仿宋_GB2312"/>
          <w:b w:val="0"/>
          <w:bCs w:val="0"/>
          <w:color w:val="auto"/>
          <w:sz w:val="28"/>
          <w:szCs w:val="28"/>
          <w:highlight w:val="none"/>
        </w:rPr>
        <w:t>我</w:t>
      </w:r>
      <w:r>
        <w:rPr>
          <w:rFonts w:hint="eastAsia" w:ascii="仿宋_GB2312" w:hAnsi="仿宋_GB2312" w:eastAsia="仿宋_GB2312" w:cs="仿宋_GB2312"/>
          <w:b w:val="0"/>
          <w:bCs w:val="0"/>
          <w:color w:val="auto"/>
          <w:sz w:val="28"/>
          <w:szCs w:val="28"/>
          <w:highlight w:val="none"/>
          <w:lang w:eastAsia="zh-Hans"/>
        </w:rPr>
        <w:t>司分包</w:t>
      </w:r>
      <w:r>
        <w:rPr>
          <w:rFonts w:hint="eastAsia" w:ascii="仿宋_GB2312" w:hAnsi="仿宋_GB2312" w:eastAsia="仿宋_GB2312" w:cs="仿宋_GB2312"/>
          <w:b w:val="0"/>
          <w:bCs w:val="0"/>
          <w:color w:val="auto"/>
          <w:sz w:val="28"/>
          <w:szCs w:val="28"/>
          <w:highlight w:val="none"/>
        </w:rPr>
        <w:t>贵</w:t>
      </w:r>
      <w:r>
        <w:rPr>
          <w:rFonts w:hint="eastAsia" w:ascii="仿宋_GB2312" w:hAnsi="仿宋_GB2312" w:eastAsia="仿宋_GB2312" w:cs="仿宋_GB2312"/>
          <w:b w:val="0"/>
          <w:bCs w:val="0"/>
          <w:color w:val="auto"/>
          <w:sz w:val="28"/>
          <w:szCs w:val="28"/>
          <w:highlight w:val="none"/>
          <w:lang w:eastAsia="zh-Hans"/>
        </w:rPr>
        <w:t>司承包</w:t>
      </w:r>
      <w:r>
        <w:rPr>
          <w:rFonts w:hint="eastAsia" w:ascii="仿宋_GB2312" w:hAnsi="仿宋_GB2312" w:eastAsia="仿宋_GB2312" w:cs="仿宋_GB2312"/>
          <w:b w:val="0"/>
          <w:bCs w:val="0"/>
          <w:color w:val="auto"/>
          <w:sz w:val="28"/>
          <w:szCs w:val="28"/>
          <w:highlight w:val="none"/>
        </w:rPr>
        <w:t>的</w:t>
      </w:r>
      <w:r>
        <w:rPr>
          <w:rFonts w:hint="eastAsia" w:ascii="仿宋_GB2312" w:hAnsi="仿宋_GB2312" w:eastAsia="仿宋_GB2312" w:cs="仿宋_GB2312"/>
          <w:b w:val="0"/>
          <w:bCs w:val="0"/>
          <w:color w:val="auto"/>
          <w:sz w:val="28"/>
          <w:szCs w:val="28"/>
          <w:highlight w:val="none"/>
          <w:lang w:val="en-US" w:eastAsia="zh-CN"/>
        </w:rPr>
        <w:t>广西大学机械教学实验中心大楼项目精装修工程专业分包</w:t>
      </w:r>
      <w:r>
        <w:rPr>
          <w:rFonts w:hint="eastAsia" w:ascii="仿宋_GB2312" w:hAnsi="仿宋_GB2312" w:eastAsia="仿宋_GB2312" w:cs="仿宋_GB2312"/>
          <w:b w:val="0"/>
          <w:bCs w:val="0"/>
          <w:color w:val="auto"/>
          <w:sz w:val="28"/>
          <w:szCs w:val="28"/>
          <w:highlight w:val="none"/>
          <w:lang w:eastAsia="zh-Hans"/>
        </w:rPr>
        <w:t>施工</w:t>
      </w:r>
      <w:r>
        <w:rPr>
          <w:rFonts w:hint="eastAsia" w:ascii="仿宋_GB2312" w:hAnsi="仿宋_GB2312" w:eastAsia="仿宋_GB2312" w:cs="仿宋_GB2312"/>
          <w:b w:val="0"/>
          <w:bCs w:val="0"/>
          <w:color w:val="auto"/>
          <w:sz w:val="28"/>
          <w:szCs w:val="28"/>
          <w:highlight w:val="none"/>
          <w:lang w:val="en-US" w:eastAsia="zh-CN"/>
        </w:rPr>
        <w:t>内容，现我司向贵司申报xx年xx月产值xxx元（大写：xxx元，具体明细详见：xxxx），并在此郑重承诺：</w:t>
      </w:r>
    </w:p>
    <w:p w14:paraId="38277092">
      <w:pPr>
        <w:keepNext w:val="0"/>
        <w:keepLines w:val="0"/>
        <w:pageBreakBefore w:val="0"/>
        <w:widowControl/>
        <w:shd w:val="clear"/>
        <w:kinsoku/>
        <w:wordWrap/>
        <w:overflowPunct/>
        <w:topLinePunct w:val="0"/>
        <w:autoSpaceDE/>
        <w:autoSpaceDN/>
        <w:bidi w:val="0"/>
        <w:adjustRightInd/>
        <w:snapToGrid/>
        <w:spacing w:line="440" w:lineRule="exact"/>
        <w:ind w:firstLine="6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我司本月上报产值xxx元为xx年xx月21日至xx年x+1月20日产生的所有费用，不存在其他遗漏，若</w:t>
      </w:r>
      <w:r>
        <w:rPr>
          <w:rFonts w:hint="eastAsia" w:ascii="仿宋_GB2312" w:hAnsi="仿宋_GB2312" w:eastAsia="仿宋_GB2312" w:cs="仿宋_GB2312"/>
          <w:color w:val="auto"/>
          <w:sz w:val="28"/>
          <w:szCs w:val="28"/>
          <w:highlight w:val="none"/>
        </w:rPr>
        <w:t>有该产值</w:t>
      </w:r>
      <w:r>
        <w:rPr>
          <w:rFonts w:hint="eastAsia" w:ascii="仿宋_GB2312" w:hAnsi="仿宋_GB2312" w:eastAsia="仿宋_GB2312" w:cs="仿宋_GB2312"/>
          <w:color w:val="auto"/>
          <w:sz w:val="28"/>
          <w:szCs w:val="28"/>
          <w:highlight w:val="none"/>
          <w:lang w:val="en-US" w:eastAsia="zh-CN"/>
        </w:rPr>
        <w:t>遗漏或</w:t>
      </w:r>
      <w:r>
        <w:rPr>
          <w:rFonts w:hint="eastAsia" w:ascii="仿宋_GB2312" w:hAnsi="仿宋_GB2312" w:eastAsia="仿宋_GB2312" w:cs="仿宋_GB2312"/>
          <w:color w:val="auto"/>
          <w:sz w:val="28"/>
          <w:szCs w:val="28"/>
          <w:highlight w:val="none"/>
        </w:rPr>
        <w:t>未涵盖的内容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如工程量偏差、漏项、签证单、变更、漏报索赔等，均</w:t>
      </w:r>
      <w:r>
        <w:rPr>
          <w:rFonts w:hint="eastAsia" w:ascii="仿宋_GB2312" w:hAnsi="仿宋_GB2312" w:eastAsia="仿宋_GB2312" w:cs="仿宋_GB2312"/>
          <w:color w:val="auto"/>
          <w:sz w:val="28"/>
          <w:szCs w:val="28"/>
          <w:highlight w:val="none"/>
          <w:lang w:val="en-US" w:eastAsia="zh-CN"/>
        </w:rPr>
        <w:t>视</w:t>
      </w:r>
      <w:r>
        <w:rPr>
          <w:rFonts w:hint="eastAsia" w:ascii="仿宋_GB2312" w:hAnsi="仿宋_GB2312" w:eastAsia="仿宋_GB2312" w:cs="仿宋_GB2312"/>
          <w:color w:val="auto"/>
          <w:sz w:val="28"/>
          <w:szCs w:val="28"/>
          <w:highlight w:val="none"/>
        </w:rPr>
        <w:t>为我司自动放弃之项，</w:t>
      </w:r>
      <w:r>
        <w:rPr>
          <w:rFonts w:hint="eastAsia" w:ascii="仿宋_GB2312" w:hAnsi="仿宋_GB2312" w:eastAsia="仿宋_GB2312" w:cs="仿宋_GB2312"/>
          <w:color w:val="auto"/>
          <w:sz w:val="28"/>
          <w:szCs w:val="28"/>
          <w:highlight w:val="none"/>
          <w:lang w:val="en-US" w:eastAsia="zh-CN"/>
        </w:rPr>
        <w:t>与贵司无关，我司将不再要求</w:t>
      </w:r>
      <w:r>
        <w:rPr>
          <w:rFonts w:hint="eastAsia" w:ascii="仿宋_GB2312" w:hAnsi="仿宋_GB2312" w:eastAsia="仿宋_GB2312" w:cs="仿宋_GB2312"/>
          <w:color w:val="auto"/>
          <w:sz w:val="28"/>
          <w:szCs w:val="28"/>
          <w:highlight w:val="none"/>
        </w:rPr>
        <w:t>增补任何费用</w:t>
      </w:r>
      <w:r>
        <w:rPr>
          <w:rFonts w:hint="eastAsia" w:ascii="仿宋_GB2312" w:hAnsi="仿宋_GB2312" w:eastAsia="仿宋_GB2312" w:cs="仿宋_GB2312"/>
          <w:color w:val="auto"/>
          <w:sz w:val="28"/>
          <w:szCs w:val="28"/>
          <w:highlight w:val="none"/>
          <w:lang w:val="en-US" w:eastAsia="zh-CN"/>
        </w:rPr>
        <w:t>或另行上报。</w:t>
      </w:r>
    </w:p>
    <w:p w14:paraId="61233365">
      <w:pPr>
        <w:keepNext w:val="0"/>
        <w:keepLines w:val="0"/>
        <w:pageBreakBefore w:val="0"/>
        <w:widowControl/>
        <w:shd w:val="clear"/>
        <w:kinsoku/>
        <w:wordWrap/>
        <w:overflowPunct/>
        <w:topLinePunct w:val="0"/>
        <w:autoSpaceDE/>
        <w:autoSpaceDN/>
        <w:bidi w:val="0"/>
        <w:adjustRightInd/>
        <w:snapToGrid/>
        <w:spacing w:line="440" w:lineRule="exact"/>
        <w:ind w:firstLine="6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综上，望贵司对我司xxx月上报产值予以审核，我司最终产值以贵司对我司上报产值进行审核确认后的产值为准</w:t>
      </w:r>
      <w:r>
        <w:rPr>
          <w:rFonts w:hint="eastAsia" w:ascii="仿宋_GB2312" w:hAnsi="仿宋_GB2312" w:eastAsia="仿宋_GB2312" w:cs="仿宋_GB2312"/>
          <w:color w:val="auto"/>
          <w:sz w:val="28"/>
          <w:szCs w:val="28"/>
          <w:highlight w:val="none"/>
        </w:rPr>
        <w:t>。</w:t>
      </w:r>
    </w:p>
    <w:p w14:paraId="1D54C182">
      <w:pPr>
        <w:keepNext w:val="0"/>
        <w:keepLines w:val="0"/>
        <w:pageBreakBefore w:val="0"/>
        <w:widowControl/>
        <w:shd w:val="clear"/>
        <w:kinsoku/>
        <w:wordWrap/>
        <w:overflowPunct/>
        <w:topLinePunct w:val="0"/>
        <w:autoSpaceDE/>
        <w:autoSpaceDN/>
        <w:bidi w:val="0"/>
        <w:adjustRightInd/>
        <w:snapToGrid/>
        <w:spacing w:line="440" w:lineRule="exact"/>
        <w:ind w:firstLine="840" w:firstLineChars="3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特此承诺！</w:t>
      </w:r>
    </w:p>
    <w:p w14:paraId="00C436F3">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8"/>
          <w:szCs w:val="28"/>
          <w:highlight w:val="none"/>
        </w:rPr>
      </w:pPr>
    </w:p>
    <w:p w14:paraId="182058A5">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8"/>
          <w:szCs w:val="28"/>
          <w:highlight w:val="none"/>
        </w:rPr>
      </w:pPr>
    </w:p>
    <w:p w14:paraId="75DA1278">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8"/>
          <w:szCs w:val="28"/>
          <w:highlight w:val="none"/>
        </w:rPr>
      </w:pPr>
    </w:p>
    <w:p w14:paraId="42554DAF">
      <w:pPr>
        <w:keepNext w:val="0"/>
        <w:keepLines w:val="0"/>
        <w:pageBreakBefore w:val="0"/>
        <w:widowControl/>
        <w:shd w:val="clear"/>
        <w:kinsoku/>
        <w:wordWrap/>
        <w:overflowPunct/>
        <w:topLinePunct w:val="0"/>
        <w:autoSpaceDE/>
        <w:autoSpaceDN/>
        <w:bidi w:val="0"/>
        <w:adjustRightInd/>
        <w:snapToGrid/>
        <w:spacing w:line="440" w:lineRule="exact"/>
        <w:jc w:val="righ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承诺单位(单位名称)：</w:t>
      </w:r>
      <w:r>
        <w:rPr>
          <w:rFonts w:hint="eastAsia" w:ascii="仿宋_GB2312" w:hAnsi="仿宋_GB2312" w:eastAsia="仿宋_GB2312" w:cs="仿宋_GB2312"/>
          <w:b/>
          <w:color w:val="auto"/>
          <w:sz w:val="28"/>
          <w:szCs w:val="28"/>
          <w:highlight w:val="none"/>
          <w:lang w:eastAsia="zh-CN"/>
        </w:rPr>
        <w:t>XXXX</w:t>
      </w:r>
      <w:r>
        <w:rPr>
          <w:rFonts w:hint="eastAsia" w:ascii="仿宋_GB2312" w:hAnsi="仿宋_GB2312" w:eastAsia="仿宋_GB2312" w:cs="仿宋_GB2312"/>
          <w:b w:val="0"/>
          <w:bCs w:val="0"/>
          <w:snapToGrid/>
          <w:color w:val="auto"/>
          <w:kern w:val="2"/>
          <w:sz w:val="28"/>
          <w:szCs w:val="28"/>
          <w:highlight w:val="none"/>
          <w:u w:val="none"/>
          <w:lang w:val="en-US" w:eastAsia="zh-CN"/>
        </w:rPr>
        <w:t xml:space="preserve">  </w:t>
      </w:r>
    </w:p>
    <w:p w14:paraId="2C41A7C8">
      <w:pPr>
        <w:keepNext w:val="0"/>
        <w:keepLines w:val="0"/>
        <w:pageBreakBefore w:val="0"/>
        <w:widowControl/>
        <w:shd w:val="clear"/>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法定代表人(或授权委托人）：</w:t>
      </w:r>
    </w:p>
    <w:p w14:paraId="050420CB">
      <w:pPr>
        <w:keepNext w:val="0"/>
        <w:keepLines w:val="0"/>
        <w:pageBreakBefore w:val="0"/>
        <w:widowControl/>
        <w:shd w:val="clear"/>
        <w:kinsoku/>
        <w:wordWrap/>
        <w:overflowPunct/>
        <w:topLinePunct w:val="0"/>
        <w:autoSpaceDE/>
        <w:autoSpaceDN/>
        <w:bidi w:val="0"/>
        <w:adjustRightInd/>
        <w:snapToGrid/>
        <w:spacing w:line="440" w:lineRule="exact"/>
        <w:ind w:firstLine="2800" w:firstLineChars="10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时间：</w:t>
      </w:r>
      <w:r>
        <w:rPr>
          <w:rFonts w:hint="eastAsia" w:ascii="仿宋_GB2312" w:hAnsi="仿宋_GB2312" w:eastAsia="仿宋_GB2312" w:cs="仿宋_GB2312"/>
          <w:color w:val="auto"/>
          <w:sz w:val="28"/>
          <w:szCs w:val="28"/>
          <w:highlight w:val="none"/>
          <w:lang w:val="en-US" w:eastAsia="zh-CN"/>
        </w:rPr>
        <w:t>2025年6月18日</w:t>
      </w:r>
    </w:p>
    <w:p w14:paraId="6D221BD4">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8"/>
          <w:szCs w:val="28"/>
          <w:highlight w:val="none"/>
          <w:lang w:val="en-US" w:eastAsia="zh-CN"/>
        </w:rPr>
      </w:pPr>
    </w:p>
    <w:p w14:paraId="248B1E31">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仿宋" w:hAnsi="仿宋" w:eastAsia="仿宋" w:cs="仿宋"/>
          <w:color w:val="auto"/>
          <w:sz w:val="28"/>
          <w:szCs w:val="28"/>
          <w:highlight w:val="none"/>
          <w:lang w:val="en-US" w:eastAsia="zh-CN"/>
        </w:rPr>
      </w:pPr>
    </w:p>
    <w:p w14:paraId="5E70CB57">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仿宋" w:hAnsi="仿宋" w:eastAsia="仿宋" w:cs="仿宋"/>
          <w:color w:val="auto"/>
          <w:sz w:val="28"/>
          <w:szCs w:val="28"/>
          <w:highlight w:val="none"/>
          <w:lang w:val="en-US" w:eastAsia="zh-CN"/>
        </w:rPr>
      </w:pPr>
    </w:p>
    <w:p w14:paraId="6D57D962">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仿宋" w:hAnsi="仿宋" w:eastAsia="仿宋" w:cs="仿宋"/>
          <w:color w:val="auto"/>
          <w:sz w:val="28"/>
          <w:szCs w:val="28"/>
          <w:highlight w:val="none"/>
          <w:lang w:val="en-US" w:eastAsia="zh-CN"/>
        </w:rPr>
      </w:pPr>
    </w:p>
    <w:p w14:paraId="3AD074AE">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黑体" w:hAnsi="黑体" w:eastAsia="黑体" w:cs="黑体"/>
          <w:b/>
          <w:bCs/>
          <w:color w:val="auto"/>
          <w:sz w:val="28"/>
          <w:szCs w:val="28"/>
          <w:highlight w:val="none"/>
          <w:lang w:val="en-US" w:eastAsia="zh-CN"/>
        </w:rPr>
      </w:pPr>
    </w:p>
    <w:p w14:paraId="189D4D0C">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黑体" w:hAnsi="黑体" w:eastAsia="黑体" w:cs="黑体"/>
          <w:b/>
          <w:bCs/>
          <w:color w:val="auto"/>
          <w:sz w:val="28"/>
          <w:szCs w:val="28"/>
          <w:highlight w:val="none"/>
          <w:lang w:val="en-US" w:eastAsia="zh-CN"/>
        </w:rPr>
      </w:pPr>
    </w:p>
    <w:p w14:paraId="09D7B3C4">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黑体" w:hAnsi="黑体" w:eastAsia="黑体" w:cs="黑体"/>
          <w:b/>
          <w:bCs/>
          <w:color w:val="auto"/>
          <w:sz w:val="28"/>
          <w:szCs w:val="28"/>
          <w:highlight w:val="none"/>
          <w:lang w:val="en-US" w:eastAsia="zh-CN"/>
        </w:rPr>
      </w:pPr>
    </w:p>
    <w:p w14:paraId="743E4E00">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黑体" w:hAnsi="黑体" w:eastAsia="黑体" w:cs="黑体"/>
          <w:b/>
          <w:bCs/>
          <w:color w:val="auto"/>
          <w:sz w:val="28"/>
          <w:szCs w:val="28"/>
          <w:highlight w:val="none"/>
          <w:lang w:val="en-US" w:eastAsia="zh-CN"/>
        </w:rPr>
      </w:pPr>
    </w:p>
    <w:p w14:paraId="67AEC44F">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黑体" w:hAnsi="黑体" w:eastAsia="黑体" w:cs="黑体"/>
          <w:b/>
          <w:bCs/>
          <w:color w:val="auto"/>
          <w:sz w:val="28"/>
          <w:szCs w:val="28"/>
          <w:highlight w:val="none"/>
          <w:lang w:val="en-US" w:eastAsia="zh-CN"/>
        </w:rPr>
      </w:pPr>
    </w:p>
    <w:p w14:paraId="334A1F8F">
      <w:pPr>
        <w:pStyle w:val="11"/>
        <w:keepNext w:val="0"/>
        <w:keepLines w:val="0"/>
        <w:pageBreakBefore w:val="0"/>
        <w:shd w:val="clear"/>
        <w:kinsoku/>
        <w:overflowPunct/>
        <w:topLinePunct w:val="0"/>
        <w:autoSpaceDE/>
        <w:autoSpaceDN/>
        <w:bidi w:val="0"/>
        <w:adjustRightInd/>
        <w:snapToGrid/>
        <w:spacing w:line="440" w:lineRule="exact"/>
        <w:textAlignment w:val="auto"/>
        <w:rPr>
          <w:rFonts w:hint="eastAsia" w:ascii="黑体" w:hAnsi="黑体" w:eastAsia="黑体" w:cs="黑体"/>
          <w:b/>
          <w:bCs/>
          <w:color w:val="auto"/>
          <w:sz w:val="28"/>
          <w:szCs w:val="28"/>
          <w:highlight w:val="none"/>
          <w:lang w:val="en-US" w:eastAsia="zh-CN"/>
        </w:rPr>
      </w:pPr>
    </w:p>
    <w:p w14:paraId="0BAA045C">
      <w:pPr>
        <w:pStyle w:val="11"/>
        <w:shd w:val="clear"/>
        <w:rPr>
          <w:rFonts w:hint="eastAsia"/>
          <w:color w:val="auto"/>
          <w:highlight w:val="none"/>
          <w:lang w:val="en-US" w:eastAsia="zh-CN"/>
        </w:rPr>
      </w:pPr>
    </w:p>
    <w:p w14:paraId="01F79C93">
      <w:pPr>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br w:type="page"/>
      </w:r>
    </w:p>
    <w:p w14:paraId="14921363">
      <w:pPr>
        <w:keepNext w:val="0"/>
        <w:keepLines w:val="0"/>
        <w:pageBreakBefore w:val="0"/>
        <w:shd w:val="clear"/>
        <w:kinsoku/>
        <w:overflowPunct/>
        <w:topLinePunct w:val="0"/>
        <w:autoSpaceDE/>
        <w:autoSpaceDN/>
        <w:bidi w:val="0"/>
        <w:adjustRightInd/>
        <w:snapToGrid w:val="0"/>
        <w:spacing w:line="400" w:lineRule="exact"/>
        <w:ind w:left="0" w:leftChars="0"/>
        <w:contextualSpacing/>
        <w:jc w:val="left"/>
        <w:textAlignment w:val="auto"/>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附件15</w:t>
      </w:r>
    </w:p>
    <w:p w14:paraId="29C98093">
      <w:pPr>
        <w:shd w:val="clear"/>
        <w:tabs>
          <w:tab w:val="left" w:pos="1245"/>
          <w:tab w:val="left" w:pos="6048"/>
        </w:tabs>
        <w:spacing w:after="0" w:line="240" w:lineRule="auto"/>
        <w:jc w:val="center"/>
        <w:rPr>
          <w:rFonts w:ascii="仿宋" w:hAnsi="仿宋" w:eastAsia="仿宋" w:cs="仿宋"/>
          <w:b/>
          <w:color w:val="auto"/>
          <w:sz w:val="32"/>
          <w:szCs w:val="32"/>
          <w:highlight w:val="none"/>
          <w:lang w:eastAsia="zh-CN"/>
        </w:rPr>
      </w:pPr>
      <w:bookmarkStart w:id="866" w:name="_Hlk133138977"/>
      <w:r>
        <w:rPr>
          <w:rFonts w:hint="eastAsia" w:ascii="仿宋" w:hAnsi="仿宋" w:eastAsia="仿宋" w:cs="仿宋"/>
          <w:b/>
          <w:color w:val="auto"/>
          <w:sz w:val="32"/>
          <w:szCs w:val="32"/>
          <w:highlight w:val="none"/>
          <w:lang w:eastAsia="zh-CN"/>
        </w:rPr>
        <w:t>工作联系函</w:t>
      </w:r>
    </w:p>
    <w:tbl>
      <w:tblPr>
        <w:tblStyle w:val="25"/>
        <w:tblW w:w="9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7372"/>
      </w:tblGrid>
      <w:tr w14:paraId="2054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jc w:val="center"/>
        </w:trPr>
        <w:tc>
          <w:tcPr>
            <w:tcW w:w="2167" w:type="dxa"/>
            <w:tcBorders>
              <w:top w:val="single" w:color="auto" w:sz="12" w:space="0"/>
              <w:left w:val="single" w:color="auto" w:sz="12" w:space="0"/>
            </w:tcBorders>
            <w:vAlign w:val="center"/>
          </w:tcPr>
          <w:p w14:paraId="0F0F7101">
            <w:pPr>
              <w:widowControl w:val="0"/>
              <w:shd w:val="clear"/>
              <w:spacing w:after="0"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函件接收单位</w:t>
            </w:r>
          </w:p>
        </w:tc>
        <w:tc>
          <w:tcPr>
            <w:tcW w:w="7372" w:type="dxa"/>
            <w:tcBorders>
              <w:top w:val="single" w:color="auto" w:sz="12" w:space="0"/>
              <w:right w:val="single" w:color="auto" w:sz="12" w:space="0"/>
            </w:tcBorders>
            <w:vAlign w:val="center"/>
          </w:tcPr>
          <w:p w14:paraId="2E96E886">
            <w:pPr>
              <w:widowControl w:val="0"/>
              <w:shd w:val="clear"/>
              <w:spacing w:after="0" w:line="240" w:lineRule="auto"/>
              <w:rPr>
                <w:rFonts w:ascii="仿宋" w:hAnsi="仿宋" w:eastAsia="仿宋" w:cs="仿宋"/>
                <w:color w:val="auto"/>
                <w:kern w:val="10"/>
                <w:sz w:val="20"/>
                <w:szCs w:val="20"/>
                <w:highlight w:val="none"/>
                <w:lang w:eastAsia="zh-CN"/>
              </w:rPr>
            </w:pPr>
            <w:r>
              <w:rPr>
                <w:rFonts w:hint="eastAsia" w:ascii="仿宋" w:hAnsi="仿宋" w:eastAsia="仿宋" w:cs="仿宋"/>
                <w:color w:val="auto"/>
                <w:kern w:val="10"/>
                <w:sz w:val="20"/>
                <w:szCs w:val="20"/>
                <w:highlight w:val="none"/>
                <w:lang w:eastAsia="zh-CN"/>
              </w:rPr>
              <w:t xml:space="preserve">XXXX   </w:t>
            </w:r>
          </w:p>
          <w:p w14:paraId="4B2B002D">
            <w:pPr>
              <w:widowControl w:val="0"/>
              <w:shd w:val="clear"/>
              <w:snapToGrid w:val="0"/>
              <w:spacing w:after="0" w:line="240" w:lineRule="auto"/>
              <w:rPr>
                <w:rFonts w:ascii="仿宋" w:hAnsi="仿宋" w:eastAsia="仿宋" w:cs="仿宋"/>
                <w:color w:val="auto"/>
                <w:sz w:val="20"/>
                <w:szCs w:val="20"/>
                <w:highlight w:val="none"/>
                <w:lang w:eastAsia="zh-CN"/>
              </w:rPr>
            </w:pPr>
            <w:r>
              <w:rPr>
                <w:rFonts w:hint="eastAsia" w:ascii="仿宋" w:hAnsi="仿宋" w:eastAsia="仿宋" w:cs="仿宋"/>
                <w:color w:val="auto"/>
                <w:kern w:val="10"/>
                <w:sz w:val="20"/>
                <w:szCs w:val="20"/>
                <w:highlight w:val="none"/>
                <w:lang w:eastAsia="zh-CN"/>
              </w:rPr>
              <w:t>XXXX广西大学机械教学实验中心大楼项目部</w:t>
            </w:r>
          </w:p>
        </w:tc>
      </w:tr>
      <w:tr w14:paraId="4AC62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2167" w:type="dxa"/>
            <w:tcBorders>
              <w:left w:val="single" w:color="auto" w:sz="12" w:space="0"/>
            </w:tcBorders>
            <w:vAlign w:val="center"/>
          </w:tcPr>
          <w:p w14:paraId="6D2F0D12">
            <w:pPr>
              <w:widowControl w:val="0"/>
              <w:shd w:val="clear"/>
              <w:spacing w:after="0"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提交函件的单位</w:t>
            </w:r>
          </w:p>
        </w:tc>
        <w:tc>
          <w:tcPr>
            <w:tcW w:w="7372" w:type="dxa"/>
            <w:tcBorders>
              <w:top w:val="nil"/>
              <w:right w:val="single" w:color="auto" w:sz="12" w:space="0"/>
            </w:tcBorders>
            <w:vAlign w:val="center"/>
          </w:tcPr>
          <w:p w14:paraId="4833C488">
            <w:pPr>
              <w:pStyle w:val="57"/>
              <w:shd w:val="clear"/>
              <w:rPr>
                <w:rFonts w:hint="eastAsia" w:ascii="仿宋" w:hAnsi="仿宋" w:eastAsia="仿宋" w:cs="仿宋"/>
                <w:color w:val="auto"/>
                <w:sz w:val="20"/>
                <w:szCs w:val="20"/>
                <w:highlight w:val="none"/>
                <w:lang w:eastAsia="zh-CN"/>
              </w:rPr>
            </w:pPr>
            <w:r>
              <w:rPr>
                <w:rFonts w:hint="eastAsia" w:ascii="仿宋" w:hAnsi="仿宋" w:eastAsia="仿宋" w:cs="仿宋"/>
                <w:color w:val="auto"/>
                <w:kern w:val="10"/>
                <w:sz w:val="20"/>
                <w:szCs w:val="20"/>
                <w:highlight w:val="none"/>
                <w:lang w:val="en-US" w:eastAsia="zh-CN" w:bidi="ar-SA"/>
              </w:rPr>
              <w:t>XXXX</w:t>
            </w:r>
          </w:p>
        </w:tc>
      </w:tr>
      <w:tr w14:paraId="302EF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2167" w:type="dxa"/>
            <w:tcBorders>
              <w:top w:val="single" w:color="auto" w:sz="4" w:space="0"/>
              <w:left w:val="single" w:color="auto" w:sz="12" w:space="0"/>
            </w:tcBorders>
            <w:vAlign w:val="center"/>
          </w:tcPr>
          <w:p w14:paraId="609CCE27">
            <w:pPr>
              <w:widowControl w:val="0"/>
              <w:shd w:val="clear"/>
              <w:spacing w:after="0"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提交函件者</w:t>
            </w:r>
          </w:p>
        </w:tc>
        <w:tc>
          <w:tcPr>
            <w:tcW w:w="7372" w:type="dxa"/>
            <w:tcBorders>
              <w:top w:val="single" w:color="auto" w:sz="4" w:space="0"/>
              <w:right w:val="single" w:color="auto" w:sz="12" w:space="0"/>
            </w:tcBorders>
            <w:vAlign w:val="center"/>
          </w:tcPr>
          <w:p w14:paraId="26B19F81">
            <w:pPr>
              <w:shd w:val="clear"/>
              <w:rPr>
                <w:rFonts w:ascii="仿宋" w:hAnsi="仿宋" w:eastAsia="仿宋" w:cs="仿宋"/>
                <w:color w:val="auto"/>
                <w:sz w:val="20"/>
                <w:szCs w:val="20"/>
                <w:highlight w:val="none"/>
                <w:lang w:eastAsia="zh-CN"/>
              </w:rPr>
            </w:pPr>
            <w:r>
              <w:rPr>
                <w:rFonts w:hint="eastAsia" w:ascii="仿宋" w:hAnsi="仿宋" w:eastAsia="仿宋" w:cs="仿宋"/>
                <w:color w:val="auto"/>
                <w:kern w:val="10"/>
                <w:sz w:val="20"/>
                <w:szCs w:val="20"/>
                <w:highlight w:val="none"/>
                <w:lang w:val="en-US" w:eastAsia="zh-CN" w:bidi="ar-SA"/>
              </w:rPr>
              <w:t>何玉华</w:t>
            </w:r>
          </w:p>
        </w:tc>
      </w:tr>
      <w:tr w14:paraId="2B97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2167" w:type="dxa"/>
            <w:tcBorders>
              <w:left w:val="single" w:color="auto" w:sz="12" w:space="0"/>
            </w:tcBorders>
            <w:vAlign w:val="center"/>
          </w:tcPr>
          <w:p w14:paraId="7BECE38E">
            <w:pPr>
              <w:widowControl w:val="0"/>
              <w:shd w:val="clear"/>
              <w:spacing w:after="0"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主    题</w:t>
            </w:r>
          </w:p>
        </w:tc>
        <w:tc>
          <w:tcPr>
            <w:tcW w:w="7372" w:type="dxa"/>
            <w:tcBorders>
              <w:right w:val="single" w:color="auto" w:sz="12" w:space="0"/>
            </w:tcBorders>
            <w:vAlign w:val="center"/>
          </w:tcPr>
          <w:p w14:paraId="7F7F3C04">
            <w:pPr>
              <w:widowControl w:val="0"/>
              <w:shd w:val="clear"/>
              <w:spacing w:after="0" w:line="240" w:lineRule="auto"/>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关于广西大学机械教学实验中心大楼项目精装修工程项目代表的事宜</w:t>
            </w:r>
          </w:p>
        </w:tc>
      </w:tr>
      <w:tr w14:paraId="0504B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9539" w:type="dxa"/>
            <w:gridSpan w:val="2"/>
            <w:tcBorders>
              <w:left w:val="single" w:color="auto" w:sz="12" w:space="0"/>
              <w:right w:val="single" w:color="auto" w:sz="12" w:space="0"/>
            </w:tcBorders>
            <w:vAlign w:val="center"/>
          </w:tcPr>
          <w:p w14:paraId="712C5DF9">
            <w:pPr>
              <w:widowControl w:val="0"/>
              <w:shd w:val="clear"/>
              <w:spacing w:after="0" w:line="240" w:lineRule="auto"/>
              <w:jc w:val="center"/>
              <w:rPr>
                <w:rFonts w:ascii="仿宋" w:hAnsi="仿宋" w:eastAsia="仿宋" w:cs="仿宋"/>
                <w:b/>
                <w:color w:val="auto"/>
                <w:highlight w:val="none"/>
              </w:rPr>
            </w:pPr>
            <w:r>
              <w:rPr>
                <w:rFonts w:hint="eastAsia" w:ascii="仿宋" w:hAnsi="仿宋" w:eastAsia="仿宋" w:cs="仿宋"/>
                <w:b/>
                <w:color w:val="auto"/>
                <w:highlight w:val="none"/>
              </w:rPr>
              <w:t>函 件 内 容</w:t>
            </w:r>
          </w:p>
        </w:tc>
      </w:tr>
      <w:tr w14:paraId="5255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1" w:hRule="atLeast"/>
          <w:jc w:val="center"/>
        </w:trPr>
        <w:tc>
          <w:tcPr>
            <w:tcW w:w="9539" w:type="dxa"/>
            <w:gridSpan w:val="2"/>
            <w:tcBorders>
              <w:left w:val="single" w:color="auto" w:sz="12" w:space="0"/>
              <w:right w:val="single" w:color="auto" w:sz="12" w:space="0"/>
            </w:tcBorders>
          </w:tcPr>
          <w:p w14:paraId="0E0BB385">
            <w:pPr>
              <w:widowControl w:val="0"/>
              <w:shd w:val="clear"/>
              <w:snapToGrid w:val="0"/>
              <w:spacing w:after="0" w:line="360" w:lineRule="auto"/>
              <w:rPr>
                <w:rFonts w:ascii="仿宋" w:hAnsi="仿宋" w:eastAsia="仿宋" w:cs="仿宋"/>
                <w:color w:val="auto"/>
                <w:sz w:val="20"/>
                <w:szCs w:val="20"/>
                <w:highlight w:val="none"/>
                <w:u w:val="single"/>
                <w:lang w:eastAsia="zh-CN"/>
              </w:rPr>
            </w:pPr>
            <w:r>
              <w:rPr>
                <w:rFonts w:hint="eastAsia" w:ascii="仿宋" w:hAnsi="仿宋" w:eastAsia="仿宋" w:cs="仿宋"/>
                <w:color w:val="auto"/>
                <w:sz w:val="20"/>
                <w:szCs w:val="20"/>
                <w:highlight w:val="none"/>
                <w:lang w:eastAsia="zh-CN"/>
              </w:rPr>
              <w:t>致：</w:t>
            </w:r>
            <w:r>
              <w:rPr>
                <w:rFonts w:hint="eastAsia" w:ascii="仿宋" w:hAnsi="仿宋" w:eastAsia="仿宋" w:cs="仿宋"/>
                <w:color w:val="auto"/>
                <w:kern w:val="10"/>
                <w:sz w:val="20"/>
                <w:szCs w:val="20"/>
                <w:highlight w:val="none"/>
                <w:u w:val="single"/>
                <w:lang w:eastAsia="zh-CN"/>
              </w:rPr>
              <w:t>XXXX</w:t>
            </w:r>
            <w:r>
              <w:rPr>
                <w:rFonts w:hint="eastAsia" w:ascii="仿宋" w:hAnsi="仿宋" w:eastAsia="仿宋" w:cs="仿宋"/>
                <w:color w:val="auto"/>
                <w:kern w:val="10"/>
                <w:sz w:val="20"/>
                <w:szCs w:val="20"/>
                <w:highlight w:val="none"/>
                <w:lang w:eastAsia="zh-CN"/>
              </w:rPr>
              <w:t xml:space="preserve"> </w:t>
            </w:r>
            <w:r>
              <w:rPr>
                <w:rFonts w:hint="eastAsia" w:ascii="仿宋" w:hAnsi="仿宋" w:eastAsia="仿宋" w:cs="仿宋"/>
                <w:color w:val="auto"/>
                <w:sz w:val="20"/>
                <w:szCs w:val="20"/>
                <w:highlight w:val="none"/>
                <w:lang w:eastAsia="zh-CN"/>
              </w:rPr>
              <w:t>，</w:t>
            </w:r>
          </w:p>
          <w:p w14:paraId="140567C3">
            <w:pPr>
              <w:widowControl w:val="0"/>
              <w:shd w:val="clear" w:color="040000"/>
              <w:snapToGrid w:val="0"/>
              <w:spacing w:line="360" w:lineRule="auto"/>
              <w:ind w:firstLine="300" w:firstLineChars="150"/>
              <w:rPr>
                <w:rFonts w:ascii="仿宋" w:hAnsi="仿宋" w:eastAsia="仿宋" w:cs="仿宋"/>
                <w:color w:val="auto"/>
                <w:sz w:val="20"/>
                <w:szCs w:val="20"/>
                <w:highlight w:val="none"/>
                <w:lang w:eastAsia="zh-CN"/>
              </w:rPr>
            </w:pPr>
            <w:r>
              <w:rPr>
                <w:rFonts w:hint="eastAsia" w:ascii="仿宋" w:hAnsi="仿宋" w:eastAsia="仿宋" w:cs="仿宋"/>
                <w:color w:val="auto"/>
                <w:kern w:val="10"/>
                <w:sz w:val="20"/>
                <w:szCs w:val="20"/>
                <w:highlight w:val="none"/>
                <w:u w:val="single"/>
                <w:lang w:eastAsia="zh-CN"/>
              </w:rPr>
              <w:t>XXXX广西大学机械教学实验中心大楼项目部</w:t>
            </w:r>
            <w:r>
              <w:rPr>
                <w:rFonts w:hint="eastAsia" w:ascii="仿宋" w:hAnsi="仿宋" w:eastAsia="仿宋" w:cs="仿宋"/>
                <w:color w:val="auto"/>
                <w:sz w:val="20"/>
                <w:szCs w:val="20"/>
                <w:highlight w:val="none"/>
                <w:lang w:eastAsia="zh-CN"/>
              </w:rPr>
              <w:t>，尊敬的</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先生：</w:t>
            </w:r>
          </w:p>
          <w:p w14:paraId="68A6F86B">
            <w:pPr>
              <w:widowControl w:val="0"/>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按</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kern w:val="10"/>
                <w:sz w:val="20"/>
                <w:szCs w:val="20"/>
                <w:highlight w:val="none"/>
                <w:u w:val="single"/>
                <w:lang w:eastAsia="zh-CN"/>
              </w:rPr>
              <w:t>XXXX</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与</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b w:val="0"/>
                <w:bCs w:val="0"/>
                <w:snapToGrid/>
                <w:color w:val="auto"/>
                <w:kern w:val="10"/>
                <w:sz w:val="20"/>
                <w:szCs w:val="20"/>
                <w:highlight w:val="none"/>
                <w:u w:val="single"/>
                <w:lang w:val="en-US" w:eastAsia="zh-CN"/>
              </w:rPr>
              <w:t xml:space="preserve"> </w:t>
            </w:r>
            <w:r>
              <w:rPr>
                <w:rFonts w:hint="eastAsia" w:ascii="仿宋" w:hAnsi="仿宋" w:eastAsia="仿宋" w:cs="仿宋"/>
                <w:color w:val="auto"/>
                <w:kern w:val="10"/>
                <w:sz w:val="20"/>
                <w:szCs w:val="20"/>
                <w:highlight w:val="none"/>
                <w:u w:val="single"/>
                <w:lang w:val="en-US" w:eastAsia="zh-CN" w:bidi="ar-SA"/>
              </w:rPr>
              <w:t>XXXX</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于</w:t>
            </w:r>
            <w:r>
              <w:rPr>
                <w:rFonts w:hint="eastAsia" w:ascii="仿宋" w:hAnsi="仿宋" w:eastAsia="仿宋" w:cs="仿宋"/>
                <w:color w:val="auto"/>
                <w:sz w:val="20"/>
                <w:szCs w:val="20"/>
                <w:highlight w:val="none"/>
                <w:u w:val="single"/>
                <w:lang w:eastAsia="zh-CN"/>
              </w:rPr>
              <w:t>2025年6月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日签订</w:t>
            </w:r>
            <w:r>
              <w:rPr>
                <w:rFonts w:hint="eastAsia" w:ascii="仿宋" w:hAnsi="仿宋" w:eastAsia="仿宋" w:cs="仿宋"/>
                <w:color w:val="auto"/>
                <w:sz w:val="20"/>
                <w:szCs w:val="20"/>
                <w:highlight w:val="none"/>
                <w:lang w:eastAsia="zh-CN"/>
              </w:rPr>
              <w:t>的</w:t>
            </w:r>
            <w:r>
              <w:rPr>
                <w:rFonts w:hint="eastAsia" w:ascii="仿宋" w:hAnsi="仿宋" w:eastAsia="仿宋" w:cs="仿宋"/>
                <w:color w:val="auto"/>
                <w:kern w:val="10"/>
                <w:sz w:val="20"/>
                <w:szCs w:val="20"/>
                <w:highlight w:val="none"/>
                <w:u w:val="single"/>
                <w:lang w:eastAsia="zh-CN"/>
              </w:rPr>
              <w:t>广西大学机械教学实验中心大楼项目精装修工程专业分包合同</w:t>
            </w:r>
            <w:r>
              <w:rPr>
                <w:rFonts w:hint="eastAsia" w:ascii="仿宋" w:hAnsi="仿宋" w:eastAsia="仿宋" w:cs="仿宋"/>
                <w:color w:val="auto"/>
                <w:sz w:val="20"/>
                <w:szCs w:val="20"/>
                <w:highlight w:val="none"/>
                <w:lang w:eastAsia="zh-CN"/>
              </w:rPr>
              <w:t>（合同编号：</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，以下简称分包合同），在履行过程中，我司授权如下人员在如下授权范围内与贵司进行合作：</w:t>
            </w:r>
          </w:p>
          <w:p w14:paraId="09F25D5D">
            <w:pPr>
              <w:widowControl/>
              <w:shd w:val="clear"/>
              <w:snapToGrid w:val="0"/>
              <w:spacing w:line="360" w:lineRule="auto"/>
              <w:ind w:firstLine="357"/>
              <w:rPr>
                <w:rFonts w:hint="eastAsia" w:ascii="仿宋" w:hAnsi="仿宋" w:eastAsia="仿宋" w:cs="仿宋"/>
                <w:color w:val="auto"/>
                <w:sz w:val="20"/>
                <w:szCs w:val="20"/>
                <w:highlight w:val="none"/>
                <w:u w:val="none"/>
                <w:lang w:val="en-US" w:eastAsia="zh-CN"/>
              </w:rPr>
            </w:pPr>
            <w:r>
              <w:rPr>
                <w:rFonts w:hint="eastAsia" w:ascii="仿宋" w:hAnsi="仿宋" w:eastAsia="仿宋" w:cs="仿宋"/>
                <w:color w:val="auto"/>
                <w:sz w:val="20"/>
                <w:szCs w:val="20"/>
                <w:highlight w:val="none"/>
                <w:lang w:eastAsia="zh-CN"/>
              </w:rPr>
              <w:t>1、被授权人姓名：</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（项目负责人）</w:t>
            </w:r>
            <w:r>
              <w:rPr>
                <w:rFonts w:hint="eastAsia" w:ascii="仿宋" w:hAnsi="仿宋" w:eastAsia="仿宋" w:cs="仿宋"/>
                <w:color w:val="auto"/>
                <w:sz w:val="20"/>
                <w:szCs w:val="20"/>
                <w:highlight w:val="none"/>
              </w:rPr>
              <w:t>，身份证号：</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none"/>
                <w:lang w:eastAsia="zh-CN"/>
              </w:rPr>
              <w:t>；</w:t>
            </w:r>
          </w:p>
          <w:p w14:paraId="7EF1AAA3">
            <w:pPr>
              <w:widowControl w:val="0"/>
              <w:shd w:val="clear"/>
              <w:snapToGrid w:val="0"/>
              <w:spacing w:line="360" w:lineRule="auto"/>
              <w:ind w:firstLine="357"/>
              <w:rPr>
                <w:rFonts w:ascii="仿宋" w:hAnsi="仿宋" w:eastAsia="仿宋" w:cs="仿宋"/>
                <w:color w:val="auto"/>
                <w:sz w:val="20"/>
                <w:szCs w:val="20"/>
                <w:highlight w:val="none"/>
                <w:u w:val="single"/>
                <w:lang w:eastAsia="zh-CN"/>
              </w:rPr>
            </w:pPr>
            <w:r>
              <w:rPr>
                <w:rFonts w:hint="eastAsia" w:ascii="仿宋" w:hAnsi="仿宋" w:eastAsia="仿宋" w:cs="仿宋"/>
                <w:color w:val="auto"/>
                <w:sz w:val="20"/>
                <w:szCs w:val="20"/>
                <w:highlight w:val="none"/>
                <w:lang w:eastAsia="zh-CN"/>
              </w:rPr>
              <w:t>授权范围：全</w:t>
            </w:r>
            <w:r>
              <w:rPr>
                <w:rFonts w:hint="eastAsia" w:ascii="仿宋" w:hAnsi="仿宋" w:eastAsia="仿宋" w:cs="仿宋"/>
                <w:color w:val="auto"/>
                <w:sz w:val="20"/>
                <w:szCs w:val="20"/>
                <w:highlight w:val="none"/>
                <w:u w:val="single"/>
                <w:lang w:eastAsia="zh-CN"/>
              </w:rPr>
              <w:t xml:space="preserve">面代表我司履行本合同的权利义务，并全权负责处理与本工程有关的全部事宜。我司对被授权人所有基于履行本合同约定的行为承担全部法律责任，被授权人所签署的所有文件，我司均予以认可。 </w:t>
            </w:r>
          </w:p>
          <w:p w14:paraId="2FCA23BA">
            <w:pPr>
              <w:widowControl w:val="0"/>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上述被授权人的授权有效期从</w:t>
            </w:r>
            <w:r>
              <w:rPr>
                <w:rFonts w:hint="eastAsia" w:ascii="仿宋" w:hAnsi="仿宋" w:eastAsia="仿宋" w:cs="仿宋"/>
                <w:color w:val="auto"/>
                <w:sz w:val="20"/>
                <w:szCs w:val="20"/>
                <w:highlight w:val="none"/>
                <w:u w:val="single"/>
                <w:lang w:eastAsia="zh-CN"/>
              </w:rPr>
              <w:t>　分包合同生效之日</w:t>
            </w:r>
            <w:r>
              <w:rPr>
                <w:rFonts w:hint="eastAsia" w:ascii="仿宋" w:hAnsi="仿宋" w:eastAsia="仿宋" w:cs="仿宋"/>
                <w:color w:val="auto"/>
                <w:sz w:val="20"/>
                <w:szCs w:val="20"/>
                <w:highlight w:val="none"/>
                <w:lang w:eastAsia="zh-CN"/>
              </w:rPr>
              <w:t>起至</w:t>
            </w:r>
            <w:r>
              <w:rPr>
                <w:rFonts w:hint="eastAsia" w:ascii="仿宋" w:hAnsi="仿宋" w:eastAsia="仿宋" w:cs="仿宋"/>
                <w:color w:val="auto"/>
                <w:sz w:val="20"/>
                <w:szCs w:val="20"/>
                <w:highlight w:val="none"/>
                <w:u w:val="single"/>
                <w:lang w:eastAsia="zh-CN"/>
              </w:rPr>
              <w:t xml:space="preserve"> 分包合同及相关补充协议履行完毕之日</w:t>
            </w:r>
            <w:r>
              <w:rPr>
                <w:rFonts w:hint="eastAsia" w:ascii="仿宋" w:hAnsi="仿宋" w:eastAsia="仿宋" w:cs="仿宋"/>
                <w:color w:val="auto"/>
                <w:sz w:val="20"/>
                <w:szCs w:val="20"/>
                <w:highlight w:val="none"/>
                <w:lang w:eastAsia="zh-CN"/>
              </w:rPr>
              <w:t>止。上述被授权人如有变动，我司将向贵方重新出具书面授权。本授权委托书自授权人签字盖章之后生效。</w:t>
            </w:r>
          </w:p>
          <w:p w14:paraId="63BE14D9">
            <w:pPr>
              <w:widowControl w:val="0"/>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特发此函。</w:t>
            </w:r>
          </w:p>
          <w:p w14:paraId="240C54C5">
            <w:pPr>
              <w:widowControl w:val="0"/>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附上述人员身份证复印件（正反面、身份证上需分包单位加盖公章确认）。</w:t>
            </w:r>
          </w:p>
          <w:p w14:paraId="417B7D3C">
            <w:pPr>
              <w:widowControl w:val="0"/>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被授权人签字字样、指模：</w:t>
            </w:r>
          </w:p>
          <w:p w14:paraId="3A9E2C29">
            <w:pPr>
              <w:widowControl w:val="0"/>
              <w:shd w:val="clear"/>
              <w:snapToGrid w:val="0"/>
              <w:spacing w:line="360" w:lineRule="auto"/>
              <w:ind w:firstLine="4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姓名：</w:t>
            </w:r>
            <w:r>
              <w:rPr>
                <w:rFonts w:hint="eastAsia" w:ascii="仿宋" w:hAnsi="仿宋" w:eastAsia="仿宋" w:cs="仿宋"/>
                <w:color w:val="auto"/>
                <w:sz w:val="20"/>
                <w:szCs w:val="20"/>
                <w:highlight w:val="none"/>
                <w:u w:val="single"/>
                <w:lang w:eastAsia="zh-CN"/>
              </w:rPr>
              <w:t>梁有深</w:t>
            </w:r>
            <w:r>
              <w:rPr>
                <w:rFonts w:hint="eastAsia" w:ascii="仿宋" w:hAnsi="仿宋" w:eastAsia="仿宋" w:cs="仿宋"/>
                <w:color w:val="auto"/>
                <w:sz w:val="20"/>
                <w:szCs w:val="20"/>
                <w:highlight w:val="none"/>
                <w:lang w:eastAsia="zh-CN"/>
              </w:rPr>
              <w:t xml:space="preserve">           签字样式： </w:t>
            </w:r>
          </w:p>
          <w:p w14:paraId="4A32511A">
            <w:pPr>
              <w:shd w:val="clear"/>
              <w:rPr>
                <w:color w:val="auto"/>
                <w:highlight w:val="none"/>
              </w:rPr>
            </w:pPr>
          </w:p>
          <w:p w14:paraId="62120627">
            <w:pPr>
              <w:shd w:val="clear"/>
              <w:rPr>
                <w:color w:val="auto"/>
                <w:highlight w:val="none"/>
              </w:rPr>
            </w:pPr>
          </w:p>
          <w:p w14:paraId="64186AB5">
            <w:pPr>
              <w:shd w:val="clear"/>
              <w:rPr>
                <w:color w:val="auto"/>
                <w:highlight w:val="none"/>
              </w:rPr>
            </w:pPr>
          </w:p>
          <w:p w14:paraId="6261B8E5">
            <w:pPr>
              <w:shd w:val="clear"/>
              <w:rPr>
                <w:color w:val="auto"/>
                <w:highlight w:val="none"/>
              </w:rPr>
            </w:pPr>
          </w:p>
          <w:p w14:paraId="1A579C03">
            <w:pPr>
              <w:shd w:val="clear"/>
              <w:rPr>
                <w:color w:val="auto"/>
                <w:highlight w:val="none"/>
              </w:rPr>
            </w:pPr>
          </w:p>
          <w:p w14:paraId="1E9D2899">
            <w:pPr>
              <w:shd w:val="clear"/>
              <w:rPr>
                <w:color w:val="auto"/>
                <w:highlight w:val="none"/>
              </w:rPr>
            </w:pPr>
          </w:p>
          <w:p w14:paraId="37315AB7">
            <w:pPr>
              <w:widowControl w:val="0"/>
              <w:shd w:val="clear"/>
              <w:wordWrap w:val="0"/>
              <w:snapToGrid w:val="0"/>
              <w:spacing w:line="360" w:lineRule="auto"/>
              <w:ind w:right="420" w:firstLine="360"/>
              <w:jc w:val="both"/>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                               分包单位（公章）：</w:t>
            </w:r>
            <w:r>
              <w:rPr>
                <w:rFonts w:hint="eastAsia" w:ascii="仿宋" w:hAnsi="仿宋" w:eastAsia="仿宋" w:cs="仿宋"/>
                <w:color w:val="auto"/>
                <w:kern w:val="10"/>
                <w:sz w:val="20"/>
                <w:szCs w:val="20"/>
                <w:highlight w:val="none"/>
                <w:u w:val="none"/>
                <w:lang w:val="en-US" w:eastAsia="zh-CN" w:bidi="ar-SA"/>
              </w:rPr>
              <w:t>XXXX</w:t>
            </w:r>
            <w:r>
              <w:rPr>
                <w:rFonts w:hint="eastAsia" w:ascii="仿宋" w:hAnsi="仿宋" w:eastAsia="仿宋" w:cs="仿宋"/>
                <w:b w:val="0"/>
                <w:bCs w:val="0"/>
                <w:snapToGrid/>
                <w:color w:val="auto"/>
                <w:kern w:val="10"/>
                <w:sz w:val="20"/>
                <w:szCs w:val="20"/>
                <w:highlight w:val="none"/>
                <w:u w:val="none"/>
                <w:lang w:val="en-US" w:eastAsia="zh-CN"/>
              </w:rPr>
              <w:t xml:space="preserve">           </w:t>
            </w:r>
          </w:p>
          <w:p w14:paraId="26923700">
            <w:pPr>
              <w:widowControl w:val="0"/>
              <w:shd w:val="clear"/>
              <w:wordWrap w:val="0"/>
              <w:snapToGrid w:val="0"/>
              <w:spacing w:line="360" w:lineRule="auto"/>
              <w:ind w:firstLine="360"/>
              <w:jc w:val="both"/>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                             （法定代表人/ 负责人)（签字、指模）： </w:t>
            </w:r>
          </w:p>
          <w:p w14:paraId="482BA80E">
            <w:pPr>
              <w:widowControl w:val="0"/>
              <w:shd w:val="clear"/>
              <w:wordWrap w:val="0"/>
              <w:snapToGrid w:val="0"/>
              <w:spacing w:line="360" w:lineRule="auto"/>
              <w:ind w:right="1220" w:firstLine="6200" w:firstLineChars="31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2025年6月18日</w:t>
            </w:r>
          </w:p>
          <w:p w14:paraId="0A736F4D">
            <w:pPr>
              <w:widowControl w:val="0"/>
              <w:shd w:val="clear"/>
              <w:wordWrap w:val="0"/>
              <w:snapToGrid w:val="0"/>
              <w:spacing w:line="360" w:lineRule="auto"/>
              <w:ind w:right="1220" w:firstLine="6200" w:firstLineChars="3100"/>
              <w:rPr>
                <w:rFonts w:hint="eastAsia" w:ascii="仿宋" w:hAnsi="仿宋" w:eastAsia="仿宋" w:cs="仿宋"/>
                <w:color w:val="auto"/>
                <w:sz w:val="20"/>
                <w:szCs w:val="20"/>
                <w:highlight w:val="none"/>
              </w:rPr>
            </w:pPr>
          </w:p>
        </w:tc>
      </w:tr>
      <w:bookmarkEnd w:id="866"/>
    </w:tbl>
    <w:p w14:paraId="4AA8498B">
      <w:pPr>
        <w:shd w:val="clear"/>
        <w:spacing w:line="360" w:lineRule="auto"/>
        <w:rPr>
          <w:rFonts w:ascii="仿宋" w:hAnsi="仿宋" w:eastAsia="仿宋" w:cs="仿宋"/>
          <w:b/>
          <w:color w:val="auto"/>
          <w:sz w:val="24"/>
          <w:highlight w:val="none"/>
        </w:rPr>
        <w:sectPr>
          <w:pgSz w:w="11906" w:h="16838"/>
          <w:pgMar w:top="1134" w:right="1134" w:bottom="1134" w:left="1134" w:header="851" w:footer="992" w:gutter="0"/>
          <w:pgNumType w:fmt="decimal"/>
          <w:cols w:space="720" w:num="1"/>
          <w:formProt w:val="0"/>
          <w:docGrid w:type="lines" w:linePitch="332" w:charSpace="0"/>
        </w:sectPr>
      </w:pPr>
    </w:p>
    <w:p w14:paraId="034308B5">
      <w:pPr>
        <w:shd w:val="clear"/>
        <w:tabs>
          <w:tab w:val="left" w:pos="1245"/>
          <w:tab w:val="left" w:pos="6048"/>
        </w:tabs>
        <w:spacing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工作联系函</w:t>
      </w:r>
    </w:p>
    <w:tbl>
      <w:tblPr>
        <w:tblStyle w:val="25"/>
        <w:tblpPr w:leftFromText="180" w:rightFromText="180" w:vertAnchor="text" w:tblpXSpec="center" w:tblpY="1"/>
        <w:tblOverlap w:val="never"/>
        <w:tblW w:w="9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7103"/>
      </w:tblGrid>
      <w:tr w14:paraId="369A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2399" w:type="dxa"/>
            <w:tcBorders>
              <w:top w:val="single" w:color="auto" w:sz="12" w:space="0"/>
              <w:left w:val="single" w:color="auto" w:sz="12" w:space="0"/>
            </w:tcBorders>
            <w:vAlign w:val="center"/>
          </w:tcPr>
          <w:p w14:paraId="68A948FD">
            <w:pPr>
              <w:widowControl w:val="0"/>
              <w:shd w:val="clear"/>
              <w:spacing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函件接收单位</w:t>
            </w:r>
          </w:p>
        </w:tc>
        <w:tc>
          <w:tcPr>
            <w:tcW w:w="7103" w:type="dxa"/>
            <w:tcBorders>
              <w:top w:val="single" w:color="auto" w:sz="12" w:space="0"/>
              <w:right w:val="single" w:color="auto" w:sz="12" w:space="0"/>
            </w:tcBorders>
            <w:vAlign w:val="center"/>
          </w:tcPr>
          <w:p w14:paraId="14C57F64">
            <w:pPr>
              <w:widowControl w:val="0"/>
              <w:shd w:val="clear"/>
              <w:spacing w:after="0" w:line="240" w:lineRule="auto"/>
              <w:rPr>
                <w:rFonts w:ascii="仿宋" w:hAnsi="仿宋" w:eastAsia="仿宋" w:cs="仿宋"/>
                <w:color w:val="auto"/>
                <w:kern w:val="10"/>
                <w:sz w:val="20"/>
                <w:szCs w:val="20"/>
                <w:highlight w:val="none"/>
                <w:lang w:eastAsia="zh-CN"/>
              </w:rPr>
            </w:pPr>
            <w:r>
              <w:rPr>
                <w:rFonts w:hint="eastAsia" w:ascii="仿宋" w:hAnsi="仿宋" w:eastAsia="仿宋" w:cs="仿宋"/>
                <w:color w:val="auto"/>
                <w:kern w:val="10"/>
                <w:sz w:val="20"/>
                <w:szCs w:val="20"/>
                <w:highlight w:val="none"/>
                <w:lang w:eastAsia="zh-CN"/>
              </w:rPr>
              <w:t xml:space="preserve">XXXX   </w:t>
            </w:r>
          </w:p>
          <w:p w14:paraId="65F73AC9">
            <w:pPr>
              <w:widowControl w:val="0"/>
              <w:shd w:val="clear"/>
              <w:spacing w:line="240" w:lineRule="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kern w:val="10"/>
                <w:sz w:val="20"/>
                <w:szCs w:val="20"/>
                <w:highlight w:val="none"/>
                <w:lang w:eastAsia="zh-CN"/>
              </w:rPr>
              <w:t>XXXX广西大学机械教学实验中心大楼项目部</w:t>
            </w:r>
          </w:p>
        </w:tc>
      </w:tr>
      <w:tr w14:paraId="12CBA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2399" w:type="dxa"/>
            <w:tcBorders>
              <w:left w:val="single" w:color="auto" w:sz="12" w:space="0"/>
            </w:tcBorders>
            <w:vAlign w:val="center"/>
          </w:tcPr>
          <w:p w14:paraId="7585CDCB">
            <w:pPr>
              <w:widowControl w:val="0"/>
              <w:shd w:val="clear"/>
              <w:spacing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提交函件的单位</w:t>
            </w:r>
          </w:p>
        </w:tc>
        <w:tc>
          <w:tcPr>
            <w:tcW w:w="7103" w:type="dxa"/>
            <w:tcBorders>
              <w:top w:val="nil"/>
              <w:right w:val="single" w:color="auto" w:sz="12" w:space="0"/>
            </w:tcBorders>
            <w:vAlign w:val="center"/>
          </w:tcPr>
          <w:p w14:paraId="75A2300B">
            <w:pPr>
              <w:pStyle w:val="57"/>
              <w:shd w:val="clear"/>
              <w:rPr>
                <w:rFonts w:hint="eastAsia" w:ascii="仿宋" w:hAnsi="仿宋" w:eastAsia="仿宋" w:cs="仿宋"/>
                <w:color w:val="auto"/>
                <w:sz w:val="20"/>
                <w:szCs w:val="20"/>
                <w:highlight w:val="none"/>
                <w:lang w:eastAsia="zh-CN"/>
              </w:rPr>
            </w:pPr>
            <w:r>
              <w:rPr>
                <w:rFonts w:hint="eastAsia" w:ascii="仿宋" w:hAnsi="仿宋" w:eastAsia="仿宋" w:cs="仿宋"/>
                <w:color w:val="auto"/>
                <w:kern w:val="10"/>
                <w:sz w:val="20"/>
                <w:szCs w:val="20"/>
                <w:highlight w:val="none"/>
                <w:lang w:val="en-US" w:eastAsia="zh-CN" w:bidi="ar-SA"/>
              </w:rPr>
              <w:t>XXXX</w:t>
            </w:r>
          </w:p>
        </w:tc>
      </w:tr>
      <w:tr w14:paraId="35C4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2399" w:type="dxa"/>
            <w:tcBorders>
              <w:top w:val="single" w:color="auto" w:sz="4" w:space="0"/>
              <w:left w:val="single" w:color="auto" w:sz="12" w:space="0"/>
            </w:tcBorders>
            <w:vAlign w:val="center"/>
          </w:tcPr>
          <w:p w14:paraId="586EC4AC">
            <w:pPr>
              <w:widowControl w:val="0"/>
              <w:shd w:val="clear"/>
              <w:spacing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提交函件者</w:t>
            </w:r>
          </w:p>
        </w:tc>
        <w:tc>
          <w:tcPr>
            <w:tcW w:w="7103" w:type="dxa"/>
            <w:tcBorders>
              <w:top w:val="single" w:color="auto" w:sz="4" w:space="0"/>
              <w:right w:val="single" w:color="auto" w:sz="12" w:space="0"/>
            </w:tcBorders>
            <w:vAlign w:val="center"/>
          </w:tcPr>
          <w:p w14:paraId="49C106B4">
            <w:pPr>
              <w:shd w:val="clear"/>
              <w:rPr>
                <w:rFonts w:ascii="仿宋" w:hAnsi="仿宋" w:eastAsia="仿宋" w:cs="仿宋"/>
                <w:color w:val="auto"/>
                <w:sz w:val="20"/>
                <w:szCs w:val="20"/>
                <w:highlight w:val="none"/>
                <w:lang w:eastAsia="zh-CN"/>
              </w:rPr>
            </w:pPr>
            <w:r>
              <w:rPr>
                <w:rFonts w:hint="eastAsia" w:ascii="仿宋" w:hAnsi="仿宋" w:eastAsia="仿宋" w:cs="仿宋"/>
                <w:color w:val="auto"/>
                <w:kern w:val="10"/>
                <w:sz w:val="20"/>
                <w:szCs w:val="20"/>
                <w:highlight w:val="none"/>
                <w:lang w:val="en-US" w:eastAsia="zh-CN" w:bidi="ar-SA"/>
              </w:rPr>
              <w:t>何玉华</w:t>
            </w:r>
          </w:p>
        </w:tc>
      </w:tr>
      <w:tr w14:paraId="3618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2399" w:type="dxa"/>
            <w:tcBorders>
              <w:left w:val="single" w:color="auto" w:sz="12" w:space="0"/>
            </w:tcBorders>
            <w:vAlign w:val="center"/>
          </w:tcPr>
          <w:p w14:paraId="06320F91">
            <w:pPr>
              <w:widowControl w:val="0"/>
              <w:shd w:val="clear"/>
              <w:spacing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主    题</w:t>
            </w:r>
          </w:p>
        </w:tc>
        <w:tc>
          <w:tcPr>
            <w:tcW w:w="7103" w:type="dxa"/>
            <w:tcBorders>
              <w:right w:val="single" w:color="auto" w:sz="12" w:space="0"/>
            </w:tcBorders>
            <w:vAlign w:val="center"/>
          </w:tcPr>
          <w:p w14:paraId="7F3D56E4">
            <w:pPr>
              <w:widowControl w:val="0"/>
              <w:shd w:val="clear"/>
              <w:spacing w:line="240" w:lineRule="auto"/>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关于</w:t>
            </w:r>
            <w:r>
              <w:rPr>
                <w:rFonts w:hint="eastAsia" w:ascii="仿宋" w:hAnsi="仿宋" w:eastAsia="仿宋" w:cs="仿宋"/>
                <w:color w:val="auto"/>
                <w:kern w:val="10"/>
                <w:sz w:val="20"/>
                <w:szCs w:val="20"/>
                <w:highlight w:val="none"/>
                <w:lang w:eastAsia="zh-CN"/>
              </w:rPr>
              <w:t>广西大学机械教学实验中心大楼项目精装修工程</w:t>
            </w:r>
            <w:r>
              <w:rPr>
                <w:rFonts w:hint="eastAsia" w:ascii="仿宋" w:hAnsi="仿宋" w:eastAsia="仿宋" w:cs="仿宋"/>
                <w:color w:val="auto"/>
                <w:sz w:val="20"/>
                <w:szCs w:val="20"/>
                <w:highlight w:val="none"/>
                <w:lang w:eastAsia="zh-CN"/>
              </w:rPr>
              <w:t>领取工程材料授权的函</w:t>
            </w:r>
          </w:p>
        </w:tc>
      </w:tr>
      <w:tr w14:paraId="64155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502" w:type="dxa"/>
            <w:gridSpan w:val="2"/>
            <w:tcBorders>
              <w:left w:val="single" w:color="auto" w:sz="12" w:space="0"/>
              <w:right w:val="single" w:color="auto" w:sz="12" w:space="0"/>
            </w:tcBorders>
            <w:vAlign w:val="center"/>
          </w:tcPr>
          <w:p w14:paraId="20CEAA0A">
            <w:pPr>
              <w:widowControl w:val="0"/>
              <w:shd w:val="clear"/>
              <w:spacing w:line="240" w:lineRule="auto"/>
              <w:jc w:val="center"/>
              <w:rPr>
                <w:rFonts w:ascii="仿宋" w:hAnsi="仿宋" w:eastAsia="仿宋" w:cs="仿宋"/>
                <w:b/>
                <w:color w:val="auto"/>
                <w:highlight w:val="none"/>
              </w:rPr>
            </w:pPr>
            <w:r>
              <w:rPr>
                <w:rFonts w:hint="eastAsia" w:ascii="仿宋" w:hAnsi="仿宋" w:eastAsia="仿宋" w:cs="仿宋"/>
                <w:b/>
                <w:color w:val="auto"/>
                <w:highlight w:val="none"/>
              </w:rPr>
              <w:t>函 件 内 容</w:t>
            </w:r>
          </w:p>
        </w:tc>
      </w:tr>
      <w:tr w14:paraId="76122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38" w:hRule="atLeast"/>
          <w:jc w:val="center"/>
        </w:trPr>
        <w:tc>
          <w:tcPr>
            <w:tcW w:w="9502" w:type="dxa"/>
            <w:gridSpan w:val="2"/>
            <w:tcBorders>
              <w:left w:val="single" w:color="auto" w:sz="12" w:space="0"/>
              <w:right w:val="single" w:color="auto" w:sz="12" w:space="0"/>
            </w:tcBorders>
          </w:tcPr>
          <w:p w14:paraId="1164F549">
            <w:pPr>
              <w:widowControl w:val="0"/>
              <w:shd w:val="clear"/>
              <w:snapToGrid w:val="0"/>
              <w:spacing w:after="0" w:line="360" w:lineRule="auto"/>
              <w:rPr>
                <w:rFonts w:ascii="仿宋" w:hAnsi="仿宋" w:eastAsia="仿宋" w:cs="仿宋"/>
                <w:color w:val="auto"/>
                <w:sz w:val="20"/>
                <w:szCs w:val="20"/>
                <w:highlight w:val="none"/>
                <w:u w:val="single"/>
                <w:lang w:eastAsia="zh-CN"/>
              </w:rPr>
            </w:pPr>
            <w:r>
              <w:rPr>
                <w:rFonts w:hint="eastAsia" w:ascii="仿宋" w:hAnsi="仿宋" w:eastAsia="仿宋" w:cs="仿宋"/>
                <w:color w:val="auto"/>
                <w:sz w:val="20"/>
                <w:szCs w:val="20"/>
                <w:highlight w:val="none"/>
                <w:lang w:eastAsia="zh-CN"/>
              </w:rPr>
              <w:t>致：</w:t>
            </w:r>
            <w:r>
              <w:rPr>
                <w:rFonts w:hint="eastAsia" w:ascii="仿宋" w:hAnsi="仿宋" w:eastAsia="仿宋" w:cs="仿宋"/>
                <w:color w:val="auto"/>
                <w:kern w:val="10"/>
                <w:sz w:val="20"/>
                <w:szCs w:val="20"/>
                <w:highlight w:val="none"/>
                <w:u w:val="single"/>
                <w:lang w:eastAsia="zh-CN"/>
              </w:rPr>
              <w:t>XXXX</w:t>
            </w:r>
            <w:r>
              <w:rPr>
                <w:rFonts w:hint="eastAsia" w:ascii="仿宋" w:hAnsi="仿宋" w:eastAsia="仿宋" w:cs="仿宋"/>
                <w:color w:val="auto"/>
                <w:kern w:val="10"/>
                <w:sz w:val="20"/>
                <w:szCs w:val="20"/>
                <w:highlight w:val="none"/>
                <w:lang w:eastAsia="zh-CN"/>
              </w:rPr>
              <w:t xml:space="preserve"> </w:t>
            </w:r>
            <w:r>
              <w:rPr>
                <w:rFonts w:hint="eastAsia" w:ascii="仿宋" w:hAnsi="仿宋" w:eastAsia="仿宋" w:cs="仿宋"/>
                <w:color w:val="auto"/>
                <w:sz w:val="20"/>
                <w:szCs w:val="20"/>
                <w:highlight w:val="none"/>
                <w:lang w:eastAsia="zh-CN"/>
              </w:rPr>
              <w:t>，</w:t>
            </w:r>
          </w:p>
          <w:p w14:paraId="61D7D08B">
            <w:pPr>
              <w:widowControl w:val="0"/>
              <w:shd w:val="clear" w:color="040000"/>
              <w:snapToGrid w:val="0"/>
              <w:spacing w:line="360" w:lineRule="auto"/>
              <w:ind w:firstLine="300" w:firstLineChars="150"/>
              <w:rPr>
                <w:rFonts w:ascii="仿宋" w:hAnsi="仿宋" w:eastAsia="仿宋" w:cs="仿宋"/>
                <w:color w:val="auto"/>
                <w:sz w:val="20"/>
                <w:szCs w:val="20"/>
                <w:highlight w:val="none"/>
                <w:lang w:eastAsia="zh-CN"/>
              </w:rPr>
            </w:pPr>
            <w:r>
              <w:rPr>
                <w:rFonts w:hint="eastAsia" w:ascii="仿宋" w:hAnsi="仿宋" w:eastAsia="仿宋" w:cs="仿宋"/>
                <w:color w:val="auto"/>
                <w:kern w:val="10"/>
                <w:sz w:val="20"/>
                <w:szCs w:val="20"/>
                <w:highlight w:val="none"/>
                <w:u w:val="single"/>
                <w:lang w:eastAsia="zh-CN"/>
              </w:rPr>
              <w:t>XXXX广西大学机械教学实验中心大楼项目部</w:t>
            </w:r>
            <w:r>
              <w:rPr>
                <w:rFonts w:hint="eastAsia" w:ascii="仿宋" w:hAnsi="仿宋" w:eastAsia="仿宋" w:cs="仿宋"/>
                <w:color w:val="auto"/>
                <w:sz w:val="20"/>
                <w:szCs w:val="20"/>
                <w:highlight w:val="none"/>
                <w:lang w:eastAsia="zh-CN"/>
              </w:rPr>
              <w:t>，尊敬的</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先生：</w:t>
            </w:r>
          </w:p>
          <w:p w14:paraId="5ADED824">
            <w:pPr>
              <w:keepNext w:val="0"/>
              <w:keepLines w:val="0"/>
              <w:pageBreakBefore w:val="0"/>
              <w:widowControl w:val="0"/>
              <w:shd w:val="clear"/>
              <w:tabs>
                <w:tab w:val="left" w:pos="3150"/>
              </w:tabs>
              <w:kinsoku/>
              <w:wordWrap w:val="0"/>
              <w:overflowPunct/>
              <w:topLinePunct w:val="0"/>
              <w:autoSpaceDE/>
              <w:autoSpaceDN/>
              <w:bidi w:val="0"/>
              <w:adjustRightInd/>
              <w:snapToGrid w:val="0"/>
              <w:spacing w:line="360" w:lineRule="auto"/>
              <w:ind w:firstLine="357"/>
              <w:jc w:val="left"/>
              <w:textAlignment w:val="auto"/>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按</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kern w:val="10"/>
                <w:sz w:val="20"/>
                <w:szCs w:val="20"/>
                <w:highlight w:val="none"/>
                <w:u w:val="single"/>
                <w:lang w:eastAsia="zh-CN"/>
              </w:rPr>
              <w:t>XXXX</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与</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kern w:val="10"/>
                <w:sz w:val="20"/>
                <w:szCs w:val="20"/>
                <w:highlight w:val="none"/>
                <w:u w:val="single"/>
                <w:lang w:val="en-US" w:eastAsia="zh-CN" w:bidi="ar-SA"/>
              </w:rPr>
              <w:t>XXXX</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于</w:t>
            </w:r>
            <w:r>
              <w:rPr>
                <w:rFonts w:hint="eastAsia" w:ascii="仿宋" w:hAnsi="仿宋" w:eastAsia="仿宋" w:cs="仿宋"/>
                <w:color w:val="auto"/>
                <w:sz w:val="20"/>
                <w:szCs w:val="20"/>
                <w:highlight w:val="none"/>
                <w:u w:val="single"/>
                <w:lang w:eastAsia="zh-CN"/>
              </w:rPr>
              <w:t>2025年6月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日签订</w:t>
            </w:r>
            <w:r>
              <w:rPr>
                <w:rFonts w:hint="eastAsia" w:ascii="仿宋" w:hAnsi="仿宋" w:eastAsia="仿宋" w:cs="仿宋"/>
                <w:color w:val="auto"/>
                <w:sz w:val="20"/>
                <w:szCs w:val="20"/>
                <w:highlight w:val="none"/>
                <w:lang w:eastAsia="zh-CN"/>
              </w:rPr>
              <w:t>的</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kern w:val="10"/>
                <w:sz w:val="20"/>
                <w:szCs w:val="20"/>
                <w:highlight w:val="none"/>
                <w:u w:val="single"/>
                <w:lang w:eastAsia="zh-CN"/>
              </w:rPr>
              <w:t>广西大学机械教学实验中心大楼项目精装修工程专业分包合同</w:t>
            </w:r>
            <w:r>
              <w:rPr>
                <w:rFonts w:hint="eastAsia" w:ascii="仿宋" w:hAnsi="仿宋" w:eastAsia="仿宋" w:cs="仿宋"/>
                <w:color w:val="auto"/>
                <w:sz w:val="20"/>
                <w:szCs w:val="20"/>
                <w:highlight w:val="none"/>
                <w:lang w:eastAsia="zh-CN"/>
              </w:rPr>
              <w:t>（合同编号：</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，以下简称分包合同），在履行过程中，我司授权如下人员与贵司进行合作：</w:t>
            </w:r>
          </w:p>
          <w:p w14:paraId="5BBECAA1">
            <w:pPr>
              <w:widowControl w:val="0"/>
              <w:shd w:val="clear"/>
              <w:tabs>
                <w:tab w:val="left" w:pos="3150"/>
              </w:tabs>
              <w:snapToGrid w:val="0"/>
              <w:spacing w:line="360" w:lineRule="auto"/>
              <w:ind w:firstLine="357"/>
              <w:rPr>
                <w:rFonts w:ascii="仿宋" w:hAnsi="仿宋" w:eastAsia="仿宋" w:cs="仿宋"/>
                <w:color w:val="auto"/>
                <w:sz w:val="20"/>
                <w:szCs w:val="20"/>
                <w:highlight w:val="none"/>
                <w:u w:val="single"/>
                <w:lang w:eastAsia="zh-CN"/>
              </w:rPr>
            </w:pPr>
            <w:r>
              <w:rPr>
                <w:rFonts w:hint="eastAsia" w:ascii="仿宋" w:hAnsi="仿宋" w:eastAsia="仿宋" w:cs="仿宋"/>
                <w:color w:val="auto"/>
                <w:sz w:val="20"/>
                <w:szCs w:val="20"/>
                <w:highlight w:val="none"/>
                <w:lang w:eastAsia="zh-CN"/>
              </w:rPr>
              <w:t>1、被授权人姓名：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，身份证号：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 xml:space="preserve"> ；</w:t>
            </w:r>
          </w:p>
          <w:p w14:paraId="4EF56A19">
            <w:pPr>
              <w:widowControl w:val="0"/>
              <w:shd w:val="clear"/>
              <w:tabs>
                <w:tab w:val="left" w:pos="3150"/>
              </w:tabs>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上述被授权人均有权代表我公司领取</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工程材料</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事宜，上述被授权人中任意一人或本人签字均代表我公司行为。</w:t>
            </w:r>
          </w:p>
          <w:p w14:paraId="32B40D13">
            <w:pPr>
              <w:widowControl w:val="0"/>
              <w:shd w:val="clear"/>
              <w:tabs>
                <w:tab w:val="left" w:pos="3150"/>
              </w:tabs>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上述被授权人的授权有效期从</w:t>
            </w:r>
            <w:r>
              <w:rPr>
                <w:rFonts w:hint="eastAsia" w:ascii="仿宋" w:hAnsi="仿宋" w:eastAsia="仿宋" w:cs="仿宋"/>
                <w:color w:val="auto"/>
                <w:sz w:val="20"/>
                <w:szCs w:val="20"/>
                <w:highlight w:val="none"/>
                <w:u w:val="single"/>
                <w:lang w:eastAsia="zh-CN"/>
              </w:rPr>
              <w:t>　分包合同生效之日</w:t>
            </w:r>
            <w:r>
              <w:rPr>
                <w:rFonts w:hint="eastAsia" w:ascii="仿宋" w:hAnsi="仿宋" w:eastAsia="仿宋" w:cs="仿宋"/>
                <w:color w:val="auto"/>
                <w:sz w:val="20"/>
                <w:szCs w:val="20"/>
                <w:highlight w:val="none"/>
                <w:lang w:eastAsia="zh-CN"/>
              </w:rPr>
              <w:t>起至</w:t>
            </w:r>
            <w:r>
              <w:rPr>
                <w:rFonts w:hint="eastAsia" w:ascii="仿宋" w:hAnsi="仿宋" w:eastAsia="仿宋" w:cs="仿宋"/>
                <w:color w:val="auto"/>
                <w:sz w:val="20"/>
                <w:szCs w:val="20"/>
                <w:highlight w:val="none"/>
                <w:u w:val="single"/>
                <w:lang w:eastAsia="zh-CN"/>
              </w:rPr>
              <w:t xml:space="preserve"> 分包合同及相关补充协议履行完毕之</w:t>
            </w:r>
            <w:r>
              <w:rPr>
                <w:rFonts w:hint="eastAsia" w:ascii="仿宋" w:hAnsi="仿宋" w:eastAsia="仿宋" w:cs="仿宋"/>
                <w:color w:val="auto"/>
                <w:sz w:val="20"/>
                <w:szCs w:val="20"/>
                <w:highlight w:val="none"/>
                <w:u w:val="single"/>
                <w:lang w:val="en-US" w:eastAsia="zh-CN"/>
              </w:rPr>
              <w:t xml:space="preserve">日 </w:t>
            </w:r>
            <w:r>
              <w:rPr>
                <w:rFonts w:hint="eastAsia" w:ascii="仿宋" w:hAnsi="仿宋" w:eastAsia="仿宋" w:cs="仿宋"/>
                <w:color w:val="auto"/>
                <w:sz w:val="20"/>
                <w:szCs w:val="20"/>
                <w:highlight w:val="none"/>
                <w:lang w:eastAsia="zh-CN"/>
              </w:rPr>
              <w:t>止。如上述被授权人发生变动，我司将向贵方重新出具书面授权。本授权委托书自授权人签字盖章之后生效。</w:t>
            </w:r>
          </w:p>
          <w:p w14:paraId="1E5C4B6E">
            <w:pPr>
              <w:widowControl w:val="0"/>
              <w:shd w:val="clear"/>
              <w:tabs>
                <w:tab w:val="left" w:pos="3150"/>
              </w:tabs>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特发此函。</w:t>
            </w:r>
          </w:p>
          <w:p w14:paraId="37C07743">
            <w:pPr>
              <w:widowControl w:val="0"/>
              <w:shd w:val="clear"/>
              <w:tabs>
                <w:tab w:val="left" w:pos="3150"/>
              </w:tabs>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附上述人员身份证复印件。（正反面、身份证上需分包单位加盖公章确认）</w:t>
            </w:r>
          </w:p>
          <w:p w14:paraId="059F4B72">
            <w:pPr>
              <w:widowControl w:val="0"/>
              <w:shd w:val="clear"/>
              <w:tabs>
                <w:tab w:val="left" w:pos="3150"/>
              </w:tabs>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被授权人签字字样、指模：</w:t>
            </w:r>
          </w:p>
          <w:p w14:paraId="22754555">
            <w:pPr>
              <w:widowControl w:val="0"/>
              <w:shd w:val="clear"/>
              <w:tabs>
                <w:tab w:val="left" w:pos="3150"/>
              </w:tabs>
              <w:snapToGrid w:val="0"/>
              <w:spacing w:line="360" w:lineRule="auto"/>
              <w:ind w:firstLine="405"/>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姓名：</w:t>
            </w:r>
            <w:r>
              <w:rPr>
                <w:rFonts w:hint="eastAsia" w:ascii="仿宋" w:hAnsi="仿宋" w:eastAsia="仿宋" w:cs="仿宋"/>
                <w:color w:val="auto"/>
                <w:sz w:val="20"/>
                <w:szCs w:val="20"/>
                <w:highlight w:val="none"/>
                <w:u w:val="single"/>
                <w:lang w:val="en-US" w:eastAsia="zh-CN"/>
              </w:rPr>
              <w:t>游然</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 xml:space="preserve">签字样式：             </w:t>
            </w:r>
          </w:p>
          <w:p w14:paraId="1B26F874">
            <w:pPr>
              <w:pStyle w:val="24"/>
              <w:shd w:val="clear"/>
              <w:spacing w:line="360" w:lineRule="auto"/>
              <w:rPr>
                <w:color w:val="auto"/>
                <w:highlight w:val="none"/>
                <w:lang w:eastAsia="zh-CN"/>
              </w:rPr>
            </w:pPr>
          </w:p>
          <w:p w14:paraId="3FB8780A">
            <w:pPr>
              <w:pStyle w:val="24"/>
              <w:shd w:val="clear"/>
              <w:spacing w:line="360" w:lineRule="auto"/>
              <w:rPr>
                <w:color w:val="auto"/>
                <w:highlight w:val="none"/>
                <w:lang w:eastAsia="zh-CN"/>
              </w:rPr>
            </w:pPr>
          </w:p>
          <w:p w14:paraId="6305946E">
            <w:pPr>
              <w:pStyle w:val="24"/>
              <w:shd w:val="clear"/>
              <w:spacing w:line="360" w:lineRule="auto"/>
              <w:rPr>
                <w:color w:val="auto"/>
                <w:highlight w:val="none"/>
                <w:lang w:eastAsia="zh-CN"/>
              </w:rPr>
            </w:pPr>
          </w:p>
          <w:p w14:paraId="1633D454">
            <w:pPr>
              <w:widowControl w:val="0"/>
              <w:shd w:val="clear"/>
              <w:tabs>
                <w:tab w:val="left" w:pos="3150"/>
              </w:tabs>
              <w:snapToGrid w:val="0"/>
              <w:spacing w:line="360" w:lineRule="auto"/>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                                     分包单位（公章）：</w:t>
            </w:r>
            <w:r>
              <w:rPr>
                <w:rFonts w:hint="eastAsia" w:ascii="仿宋" w:hAnsi="仿宋" w:eastAsia="仿宋" w:cs="仿宋"/>
                <w:color w:val="auto"/>
                <w:kern w:val="10"/>
                <w:sz w:val="20"/>
                <w:szCs w:val="20"/>
                <w:highlight w:val="none"/>
                <w:lang w:val="en-US" w:eastAsia="zh-CN" w:bidi="ar-SA"/>
              </w:rPr>
              <w:t>XXXX</w:t>
            </w:r>
            <w:r>
              <w:rPr>
                <w:rFonts w:hint="eastAsia" w:ascii="仿宋" w:hAnsi="仿宋" w:eastAsia="仿宋" w:cs="仿宋"/>
                <w:b w:val="0"/>
                <w:bCs w:val="0"/>
                <w:snapToGrid/>
                <w:color w:val="auto"/>
                <w:kern w:val="10"/>
                <w:sz w:val="20"/>
                <w:szCs w:val="20"/>
                <w:highlight w:val="none"/>
                <w:u w:val="none"/>
                <w:lang w:val="en-US" w:eastAsia="zh-CN"/>
              </w:rPr>
              <w:t xml:space="preserve">        </w:t>
            </w:r>
          </w:p>
          <w:p w14:paraId="54961594">
            <w:pPr>
              <w:widowControl w:val="0"/>
              <w:shd w:val="clear"/>
              <w:tabs>
                <w:tab w:val="left" w:pos="3150"/>
              </w:tabs>
              <w:snapToGrid w:val="0"/>
              <w:spacing w:line="360" w:lineRule="auto"/>
              <w:ind w:right="210"/>
              <w:jc w:val="both"/>
              <w:rPr>
                <w:rFonts w:ascii="仿宋" w:hAnsi="仿宋" w:eastAsia="仿宋" w:cs="仿宋"/>
                <w:color w:val="auto"/>
                <w:sz w:val="20"/>
                <w:szCs w:val="20"/>
                <w:highlight w:val="none"/>
                <w:u w:val="single"/>
                <w:lang w:eastAsia="zh-CN"/>
              </w:rPr>
            </w:pPr>
            <w:r>
              <w:rPr>
                <w:rFonts w:hint="eastAsia" w:ascii="仿宋" w:hAnsi="仿宋" w:eastAsia="仿宋" w:cs="仿宋"/>
                <w:color w:val="auto"/>
                <w:sz w:val="20"/>
                <w:szCs w:val="20"/>
                <w:highlight w:val="none"/>
                <w:lang w:eastAsia="zh-CN"/>
              </w:rPr>
              <w:t xml:space="preserve">                                    （法定代表人/ 负责人)（签字、指模）：     </w:t>
            </w:r>
          </w:p>
          <w:p w14:paraId="679B309C">
            <w:pPr>
              <w:widowControl w:val="0"/>
              <w:shd w:val="clear"/>
              <w:tabs>
                <w:tab w:val="left" w:pos="3150"/>
              </w:tabs>
              <w:snapToGrid w:val="0"/>
              <w:spacing w:line="360" w:lineRule="auto"/>
              <w:ind w:right="420" w:firstLine="6200" w:firstLineChars="31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2025年6月18日</w:t>
            </w:r>
          </w:p>
          <w:p w14:paraId="4D46370A">
            <w:pPr>
              <w:widowControl w:val="0"/>
              <w:shd w:val="clear"/>
              <w:tabs>
                <w:tab w:val="left" w:pos="3150"/>
              </w:tabs>
              <w:snapToGrid w:val="0"/>
              <w:spacing w:line="360" w:lineRule="auto"/>
              <w:ind w:right="420" w:firstLine="6200" w:firstLineChars="3100"/>
              <w:rPr>
                <w:rFonts w:hint="eastAsia" w:ascii="仿宋" w:hAnsi="仿宋" w:eastAsia="仿宋" w:cs="仿宋"/>
                <w:color w:val="auto"/>
                <w:sz w:val="20"/>
                <w:szCs w:val="20"/>
                <w:highlight w:val="none"/>
              </w:rPr>
            </w:pPr>
          </w:p>
        </w:tc>
      </w:tr>
    </w:tbl>
    <w:p w14:paraId="6B435048">
      <w:pPr>
        <w:shd w:val="clear"/>
        <w:tabs>
          <w:tab w:val="left" w:pos="1245"/>
          <w:tab w:val="left" w:pos="6048"/>
        </w:tabs>
        <w:spacing w:after="0" w:line="360" w:lineRule="auto"/>
        <w:jc w:val="center"/>
        <w:rPr>
          <w:rFonts w:hint="eastAsia" w:ascii="仿宋" w:hAnsi="仿宋" w:eastAsia="仿宋" w:cs="仿宋"/>
          <w:b/>
          <w:color w:val="auto"/>
          <w:sz w:val="32"/>
          <w:szCs w:val="32"/>
          <w:highlight w:val="none"/>
        </w:rPr>
      </w:pPr>
    </w:p>
    <w:p w14:paraId="0DA03BFD">
      <w:pPr>
        <w:shd w:val="clear"/>
        <w:tabs>
          <w:tab w:val="left" w:pos="1245"/>
          <w:tab w:val="left" w:pos="6048"/>
        </w:tabs>
        <w:spacing w:after="0" w:line="360" w:lineRule="auto"/>
        <w:jc w:val="center"/>
        <w:rPr>
          <w:rFonts w:hint="eastAsia" w:ascii="仿宋" w:hAnsi="仿宋" w:eastAsia="仿宋" w:cs="仿宋"/>
          <w:b/>
          <w:color w:val="auto"/>
          <w:sz w:val="32"/>
          <w:szCs w:val="32"/>
          <w:highlight w:val="none"/>
        </w:rPr>
      </w:pPr>
    </w:p>
    <w:p w14:paraId="29407851">
      <w:pPr>
        <w:shd w:val="clear"/>
        <w:tabs>
          <w:tab w:val="left" w:pos="1245"/>
          <w:tab w:val="left" w:pos="6048"/>
        </w:tabs>
        <w:spacing w:after="0"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工作联系函</w:t>
      </w:r>
    </w:p>
    <w:tbl>
      <w:tblPr>
        <w:tblStyle w:val="25"/>
        <w:tblW w:w="9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1"/>
        <w:gridCol w:w="7329"/>
      </w:tblGrid>
      <w:tr w14:paraId="0C87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2231" w:type="dxa"/>
            <w:tcBorders>
              <w:top w:val="single" w:color="auto" w:sz="12" w:space="0"/>
              <w:left w:val="single" w:color="auto" w:sz="12" w:space="0"/>
            </w:tcBorders>
            <w:vAlign w:val="center"/>
          </w:tcPr>
          <w:p w14:paraId="7BEFFBA8">
            <w:pPr>
              <w:widowControl w:val="0"/>
              <w:shd w:val="clear"/>
              <w:spacing w:after="0"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函件接收单位</w:t>
            </w:r>
          </w:p>
        </w:tc>
        <w:tc>
          <w:tcPr>
            <w:tcW w:w="7329" w:type="dxa"/>
            <w:tcBorders>
              <w:top w:val="single" w:color="auto" w:sz="12" w:space="0"/>
              <w:right w:val="single" w:color="auto" w:sz="12" w:space="0"/>
            </w:tcBorders>
            <w:vAlign w:val="center"/>
          </w:tcPr>
          <w:p w14:paraId="1D37E793">
            <w:pPr>
              <w:widowControl w:val="0"/>
              <w:shd w:val="clear"/>
              <w:spacing w:after="0" w:line="240" w:lineRule="auto"/>
              <w:rPr>
                <w:rFonts w:ascii="仿宋" w:hAnsi="仿宋" w:eastAsia="仿宋" w:cs="仿宋"/>
                <w:color w:val="auto"/>
                <w:kern w:val="10"/>
                <w:sz w:val="20"/>
                <w:szCs w:val="20"/>
                <w:highlight w:val="none"/>
                <w:lang w:eastAsia="zh-CN"/>
              </w:rPr>
            </w:pPr>
            <w:r>
              <w:rPr>
                <w:rFonts w:hint="eastAsia" w:ascii="仿宋" w:hAnsi="仿宋" w:eastAsia="仿宋" w:cs="仿宋"/>
                <w:color w:val="auto"/>
                <w:kern w:val="10"/>
                <w:sz w:val="20"/>
                <w:szCs w:val="20"/>
                <w:highlight w:val="none"/>
                <w:lang w:eastAsia="zh-CN"/>
              </w:rPr>
              <w:t xml:space="preserve">XXXX   </w:t>
            </w:r>
          </w:p>
          <w:p w14:paraId="69705185">
            <w:pPr>
              <w:widowControl w:val="0"/>
              <w:shd w:val="clear"/>
              <w:spacing w:after="0" w:line="240" w:lineRule="auto"/>
              <w:rPr>
                <w:rFonts w:ascii="仿宋" w:hAnsi="仿宋" w:eastAsia="仿宋" w:cs="仿宋"/>
                <w:color w:val="auto"/>
                <w:sz w:val="20"/>
                <w:szCs w:val="20"/>
                <w:highlight w:val="none"/>
                <w:lang w:eastAsia="zh-CN"/>
              </w:rPr>
            </w:pPr>
            <w:r>
              <w:rPr>
                <w:rFonts w:hint="eastAsia" w:ascii="仿宋" w:hAnsi="仿宋" w:eastAsia="仿宋" w:cs="仿宋"/>
                <w:color w:val="auto"/>
                <w:kern w:val="10"/>
                <w:sz w:val="20"/>
                <w:szCs w:val="20"/>
                <w:highlight w:val="none"/>
                <w:lang w:eastAsia="zh-CN"/>
              </w:rPr>
              <w:t>XXXX广西大学机械教学实验中心大楼项目部</w:t>
            </w:r>
          </w:p>
        </w:tc>
      </w:tr>
      <w:tr w14:paraId="29D67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2231" w:type="dxa"/>
            <w:tcBorders>
              <w:left w:val="single" w:color="auto" w:sz="12" w:space="0"/>
            </w:tcBorders>
            <w:vAlign w:val="center"/>
          </w:tcPr>
          <w:p w14:paraId="42096203">
            <w:pPr>
              <w:widowControl w:val="0"/>
              <w:shd w:val="clear"/>
              <w:spacing w:after="0"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提交函件的单位</w:t>
            </w:r>
          </w:p>
        </w:tc>
        <w:tc>
          <w:tcPr>
            <w:tcW w:w="7329" w:type="dxa"/>
            <w:tcBorders>
              <w:top w:val="nil"/>
              <w:right w:val="single" w:color="auto" w:sz="12" w:space="0"/>
            </w:tcBorders>
            <w:vAlign w:val="center"/>
          </w:tcPr>
          <w:p w14:paraId="1CA85BE8">
            <w:pPr>
              <w:pStyle w:val="57"/>
              <w:shd w:val="clear"/>
              <w:rPr>
                <w:rFonts w:hint="eastAsia" w:ascii="仿宋" w:hAnsi="仿宋" w:eastAsia="仿宋" w:cs="仿宋"/>
                <w:color w:val="auto"/>
                <w:sz w:val="20"/>
                <w:szCs w:val="20"/>
                <w:highlight w:val="none"/>
                <w:lang w:eastAsia="zh-CN"/>
              </w:rPr>
            </w:pPr>
            <w:r>
              <w:rPr>
                <w:rFonts w:hint="eastAsia" w:ascii="仿宋" w:hAnsi="仿宋" w:eastAsia="仿宋" w:cs="仿宋"/>
                <w:color w:val="auto"/>
                <w:kern w:val="10"/>
                <w:sz w:val="20"/>
                <w:szCs w:val="20"/>
                <w:highlight w:val="none"/>
                <w:lang w:val="en-US" w:eastAsia="zh-CN" w:bidi="ar-SA"/>
              </w:rPr>
              <w:t>XXXX</w:t>
            </w:r>
          </w:p>
        </w:tc>
      </w:tr>
      <w:tr w14:paraId="1940B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2231" w:type="dxa"/>
            <w:tcBorders>
              <w:top w:val="single" w:color="auto" w:sz="4" w:space="0"/>
              <w:left w:val="single" w:color="auto" w:sz="12" w:space="0"/>
            </w:tcBorders>
            <w:vAlign w:val="center"/>
          </w:tcPr>
          <w:p w14:paraId="223E8A59">
            <w:pPr>
              <w:widowControl w:val="0"/>
              <w:shd w:val="clear"/>
              <w:spacing w:after="0"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提交函件者</w:t>
            </w:r>
          </w:p>
        </w:tc>
        <w:tc>
          <w:tcPr>
            <w:tcW w:w="7329" w:type="dxa"/>
            <w:tcBorders>
              <w:top w:val="single" w:color="auto" w:sz="4" w:space="0"/>
              <w:right w:val="single" w:color="auto" w:sz="12" w:space="0"/>
            </w:tcBorders>
            <w:vAlign w:val="center"/>
          </w:tcPr>
          <w:p w14:paraId="4DF80F1C">
            <w:pPr>
              <w:shd w:val="clear"/>
              <w:rPr>
                <w:rFonts w:ascii="仿宋" w:hAnsi="仿宋" w:eastAsia="仿宋" w:cs="仿宋"/>
                <w:color w:val="auto"/>
                <w:sz w:val="20"/>
                <w:szCs w:val="20"/>
                <w:highlight w:val="none"/>
                <w:lang w:eastAsia="zh-CN"/>
              </w:rPr>
            </w:pPr>
            <w:r>
              <w:rPr>
                <w:rFonts w:hint="eastAsia" w:ascii="仿宋" w:hAnsi="仿宋" w:eastAsia="仿宋" w:cs="仿宋"/>
                <w:color w:val="auto"/>
                <w:kern w:val="10"/>
                <w:sz w:val="20"/>
                <w:szCs w:val="20"/>
                <w:highlight w:val="none"/>
                <w:lang w:val="en-US" w:eastAsia="zh-CN" w:bidi="ar-SA"/>
              </w:rPr>
              <w:t>何玉华</w:t>
            </w:r>
          </w:p>
        </w:tc>
      </w:tr>
      <w:tr w14:paraId="7E19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2231" w:type="dxa"/>
            <w:tcBorders>
              <w:left w:val="single" w:color="auto" w:sz="12" w:space="0"/>
            </w:tcBorders>
            <w:vAlign w:val="center"/>
          </w:tcPr>
          <w:p w14:paraId="09A77DEE">
            <w:pPr>
              <w:widowControl w:val="0"/>
              <w:shd w:val="clear"/>
              <w:spacing w:after="0" w:line="24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主    题</w:t>
            </w:r>
          </w:p>
        </w:tc>
        <w:tc>
          <w:tcPr>
            <w:tcW w:w="7329" w:type="dxa"/>
            <w:tcBorders>
              <w:right w:val="single" w:color="auto" w:sz="12" w:space="0"/>
            </w:tcBorders>
            <w:vAlign w:val="center"/>
          </w:tcPr>
          <w:p w14:paraId="7A853247">
            <w:pPr>
              <w:widowControl w:val="0"/>
              <w:shd w:val="clear"/>
              <w:spacing w:after="0" w:line="240" w:lineRule="auto"/>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关于</w:t>
            </w:r>
            <w:r>
              <w:rPr>
                <w:rFonts w:hint="eastAsia" w:ascii="仿宋" w:hAnsi="仿宋" w:eastAsia="仿宋" w:cs="仿宋"/>
                <w:color w:val="auto"/>
                <w:kern w:val="10"/>
                <w:sz w:val="20"/>
                <w:szCs w:val="20"/>
                <w:highlight w:val="none"/>
                <w:lang w:eastAsia="zh-CN"/>
              </w:rPr>
              <w:t>广西大学机械教学实验中心大楼项目精装修工程</w:t>
            </w:r>
            <w:r>
              <w:rPr>
                <w:rFonts w:hint="eastAsia" w:ascii="仿宋" w:hAnsi="仿宋" w:eastAsia="仿宋" w:cs="仿宋"/>
                <w:color w:val="auto"/>
                <w:sz w:val="20"/>
                <w:szCs w:val="20"/>
                <w:highlight w:val="none"/>
                <w:lang w:eastAsia="zh-CN"/>
              </w:rPr>
              <w:t>收款的授权的函</w:t>
            </w:r>
          </w:p>
        </w:tc>
      </w:tr>
      <w:tr w14:paraId="254C6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9560" w:type="dxa"/>
            <w:gridSpan w:val="2"/>
            <w:tcBorders>
              <w:left w:val="single" w:color="auto" w:sz="12" w:space="0"/>
              <w:right w:val="single" w:color="auto" w:sz="12" w:space="0"/>
            </w:tcBorders>
            <w:vAlign w:val="center"/>
          </w:tcPr>
          <w:p w14:paraId="0BF3E060">
            <w:pPr>
              <w:widowControl w:val="0"/>
              <w:shd w:val="clear"/>
              <w:spacing w:after="0" w:line="240" w:lineRule="auto"/>
              <w:jc w:val="center"/>
              <w:rPr>
                <w:rFonts w:ascii="仿宋" w:hAnsi="仿宋" w:eastAsia="仿宋" w:cs="仿宋"/>
                <w:b/>
                <w:color w:val="auto"/>
                <w:highlight w:val="none"/>
              </w:rPr>
            </w:pPr>
            <w:r>
              <w:rPr>
                <w:rFonts w:hint="eastAsia" w:ascii="仿宋" w:hAnsi="仿宋" w:eastAsia="仿宋" w:cs="仿宋"/>
                <w:b/>
                <w:color w:val="auto"/>
                <w:highlight w:val="none"/>
              </w:rPr>
              <w:t>函 件 内 容</w:t>
            </w:r>
          </w:p>
        </w:tc>
      </w:tr>
      <w:tr w14:paraId="7B19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5" w:hRule="atLeast"/>
          <w:jc w:val="center"/>
        </w:trPr>
        <w:tc>
          <w:tcPr>
            <w:tcW w:w="9560" w:type="dxa"/>
            <w:gridSpan w:val="2"/>
            <w:tcBorders>
              <w:left w:val="single" w:color="auto" w:sz="12" w:space="0"/>
              <w:right w:val="single" w:color="auto" w:sz="12" w:space="0"/>
            </w:tcBorders>
          </w:tcPr>
          <w:p w14:paraId="2DE6EB90">
            <w:pPr>
              <w:widowControl w:val="0"/>
              <w:shd w:val="clear"/>
              <w:snapToGrid w:val="0"/>
              <w:spacing w:after="0" w:line="360" w:lineRule="auto"/>
              <w:rPr>
                <w:rFonts w:ascii="仿宋" w:hAnsi="仿宋" w:eastAsia="仿宋" w:cs="仿宋"/>
                <w:color w:val="auto"/>
                <w:sz w:val="20"/>
                <w:szCs w:val="20"/>
                <w:highlight w:val="none"/>
                <w:u w:val="single"/>
                <w:lang w:eastAsia="zh-CN"/>
              </w:rPr>
            </w:pPr>
            <w:r>
              <w:rPr>
                <w:rFonts w:hint="eastAsia" w:ascii="仿宋" w:hAnsi="仿宋" w:eastAsia="仿宋" w:cs="仿宋"/>
                <w:color w:val="auto"/>
                <w:sz w:val="20"/>
                <w:szCs w:val="20"/>
                <w:highlight w:val="none"/>
                <w:lang w:eastAsia="zh-CN"/>
              </w:rPr>
              <w:t>致：</w:t>
            </w:r>
            <w:r>
              <w:rPr>
                <w:rFonts w:hint="eastAsia" w:ascii="仿宋" w:hAnsi="仿宋" w:eastAsia="仿宋" w:cs="仿宋"/>
                <w:color w:val="auto"/>
                <w:kern w:val="10"/>
                <w:sz w:val="20"/>
                <w:szCs w:val="20"/>
                <w:highlight w:val="none"/>
                <w:u w:val="single"/>
                <w:lang w:eastAsia="zh-CN"/>
              </w:rPr>
              <w:t>XXXX</w:t>
            </w:r>
            <w:r>
              <w:rPr>
                <w:rFonts w:hint="eastAsia" w:ascii="仿宋" w:hAnsi="仿宋" w:eastAsia="仿宋" w:cs="仿宋"/>
                <w:color w:val="auto"/>
                <w:kern w:val="10"/>
                <w:sz w:val="20"/>
                <w:szCs w:val="20"/>
                <w:highlight w:val="none"/>
                <w:lang w:eastAsia="zh-CN"/>
              </w:rPr>
              <w:t xml:space="preserve"> </w:t>
            </w:r>
            <w:r>
              <w:rPr>
                <w:rFonts w:hint="eastAsia" w:ascii="仿宋" w:hAnsi="仿宋" w:eastAsia="仿宋" w:cs="仿宋"/>
                <w:color w:val="auto"/>
                <w:sz w:val="20"/>
                <w:szCs w:val="20"/>
                <w:highlight w:val="none"/>
                <w:lang w:eastAsia="zh-CN"/>
              </w:rPr>
              <w:t>，</w:t>
            </w:r>
          </w:p>
          <w:p w14:paraId="7BCECC35">
            <w:pPr>
              <w:widowControl w:val="0"/>
              <w:shd w:val="clear" w:color="040000"/>
              <w:snapToGrid w:val="0"/>
              <w:spacing w:line="360" w:lineRule="auto"/>
              <w:ind w:firstLine="300" w:firstLineChars="150"/>
              <w:rPr>
                <w:rFonts w:ascii="仿宋" w:hAnsi="仿宋" w:eastAsia="仿宋" w:cs="仿宋"/>
                <w:color w:val="auto"/>
                <w:sz w:val="20"/>
                <w:szCs w:val="20"/>
                <w:highlight w:val="none"/>
                <w:lang w:eastAsia="zh-CN"/>
              </w:rPr>
            </w:pPr>
            <w:r>
              <w:rPr>
                <w:rFonts w:hint="eastAsia" w:ascii="仿宋" w:hAnsi="仿宋" w:eastAsia="仿宋" w:cs="仿宋"/>
                <w:color w:val="auto"/>
                <w:kern w:val="10"/>
                <w:sz w:val="20"/>
                <w:szCs w:val="20"/>
                <w:highlight w:val="none"/>
                <w:u w:val="single"/>
                <w:lang w:eastAsia="zh-CN"/>
              </w:rPr>
              <w:t>XXXX广西大学机械教学实验中心大楼项目部</w:t>
            </w:r>
            <w:r>
              <w:rPr>
                <w:rFonts w:hint="eastAsia" w:ascii="仿宋" w:hAnsi="仿宋" w:eastAsia="仿宋" w:cs="仿宋"/>
                <w:color w:val="auto"/>
                <w:sz w:val="20"/>
                <w:szCs w:val="20"/>
                <w:highlight w:val="none"/>
                <w:lang w:eastAsia="zh-CN"/>
              </w:rPr>
              <w:t>，尊敬的</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先生：</w:t>
            </w:r>
          </w:p>
          <w:p w14:paraId="22FD6C59">
            <w:pPr>
              <w:keepNext w:val="0"/>
              <w:keepLines w:val="0"/>
              <w:pageBreakBefore w:val="0"/>
              <w:widowControl w:val="0"/>
              <w:shd w:val="clear"/>
              <w:kinsoku/>
              <w:wordWrap w:val="0"/>
              <w:overflowPunct/>
              <w:topLinePunct w:val="0"/>
              <w:autoSpaceDE/>
              <w:autoSpaceDN/>
              <w:bidi w:val="0"/>
              <w:adjustRightInd/>
              <w:snapToGrid w:val="0"/>
              <w:spacing w:line="360" w:lineRule="auto"/>
              <w:ind w:firstLine="357"/>
              <w:jc w:val="left"/>
              <w:textAlignment w:val="auto"/>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按</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kern w:val="10"/>
                <w:sz w:val="20"/>
                <w:szCs w:val="20"/>
                <w:highlight w:val="none"/>
                <w:u w:val="single"/>
                <w:lang w:eastAsia="zh-CN"/>
              </w:rPr>
              <w:t>XXXX</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与</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kern w:val="10"/>
                <w:sz w:val="20"/>
                <w:szCs w:val="20"/>
                <w:highlight w:val="none"/>
                <w:u w:val="single"/>
                <w:lang w:val="en-US" w:eastAsia="zh-CN" w:bidi="ar-SA"/>
              </w:rPr>
              <w:t>XXXX</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于</w:t>
            </w:r>
            <w:r>
              <w:rPr>
                <w:rFonts w:hint="eastAsia" w:ascii="仿宋" w:hAnsi="仿宋" w:eastAsia="仿宋" w:cs="仿宋"/>
                <w:color w:val="auto"/>
                <w:sz w:val="20"/>
                <w:szCs w:val="20"/>
                <w:highlight w:val="none"/>
                <w:u w:val="single"/>
                <w:lang w:eastAsia="zh-CN"/>
              </w:rPr>
              <w:t>2025年6月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日签订</w:t>
            </w:r>
            <w:r>
              <w:rPr>
                <w:rFonts w:hint="eastAsia" w:ascii="仿宋" w:hAnsi="仿宋" w:eastAsia="仿宋" w:cs="仿宋"/>
                <w:color w:val="auto"/>
                <w:sz w:val="20"/>
                <w:szCs w:val="20"/>
                <w:highlight w:val="none"/>
                <w:lang w:eastAsia="zh-CN"/>
              </w:rPr>
              <w:t>的</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kern w:val="10"/>
                <w:sz w:val="20"/>
                <w:szCs w:val="20"/>
                <w:highlight w:val="none"/>
                <w:u w:val="single"/>
                <w:lang w:eastAsia="zh-CN"/>
              </w:rPr>
              <w:t>广西大学机械教学实验中心大楼项目精装修工程专业分包合同</w:t>
            </w:r>
            <w:r>
              <w:rPr>
                <w:rFonts w:hint="eastAsia" w:ascii="仿宋" w:hAnsi="仿宋" w:eastAsia="仿宋" w:cs="仿宋"/>
                <w:color w:val="auto"/>
                <w:sz w:val="20"/>
                <w:szCs w:val="20"/>
                <w:highlight w:val="none"/>
                <w:lang w:eastAsia="zh-CN"/>
              </w:rPr>
              <w:t>（合同编号：</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，以下简称“分包合同”），贵方应按照该合同支付我司工程款项。</w:t>
            </w:r>
          </w:p>
          <w:p w14:paraId="51589A97">
            <w:pPr>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本人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（身份证号：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）系我司法定代表人（或负责人），现委托我司人员</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（身份证号：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，办理本合同项下款收款事宜，由此产生的一切经济责任和法律后果由我司本人承担，与贵司无关。</w:t>
            </w:r>
          </w:p>
          <w:p w14:paraId="5A692691">
            <w:pPr>
              <w:widowControl w:val="0"/>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我司/我班组账户信息如下：（收款户名应当与签约单位全称相一致）</w:t>
            </w:r>
          </w:p>
          <w:p w14:paraId="39C7C4EF">
            <w:pPr>
              <w:widowControl w:val="0"/>
              <w:shd w:val="clear"/>
              <w:snapToGrid w:val="0"/>
              <w:spacing w:line="360" w:lineRule="auto"/>
              <w:ind w:firstLine="357"/>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开户行：</w:t>
            </w:r>
            <w:r>
              <w:rPr>
                <w:rFonts w:hint="eastAsia" w:ascii="仿宋" w:hAnsi="仿宋" w:eastAsia="仿宋" w:cs="仿宋"/>
                <w:color w:val="auto"/>
                <w:sz w:val="20"/>
                <w:szCs w:val="20"/>
                <w:highlight w:val="none"/>
                <w:lang w:val="en-US" w:eastAsia="zh-CN"/>
              </w:rPr>
              <w:t xml:space="preserve"> </w:t>
            </w:r>
          </w:p>
          <w:p w14:paraId="016C1472">
            <w:pPr>
              <w:widowControl w:val="0"/>
              <w:shd w:val="clear"/>
              <w:snapToGrid w:val="0"/>
              <w:spacing w:line="360" w:lineRule="auto"/>
              <w:ind w:firstLine="357"/>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户  名：XXXX  </w:t>
            </w:r>
          </w:p>
          <w:p w14:paraId="5BE81919">
            <w:pPr>
              <w:widowControl w:val="0"/>
              <w:shd w:val="clear"/>
              <w:snapToGrid w:val="0"/>
              <w:spacing w:line="360" w:lineRule="auto"/>
              <w:ind w:firstLine="357"/>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账  号：</w:t>
            </w:r>
            <w:r>
              <w:rPr>
                <w:rFonts w:hint="eastAsia" w:ascii="仿宋" w:hAnsi="仿宋" w:eastAsia="仿宋" w:cs="仿宋"/>
                <w:color w:val="auto"/>
                <w:sz w:val="20"/>
                <w:szCs w:val="20"/>
                <w:highlight w:val="none"/>
                <w:lang w:val="en-US" w:eastAsia="zh-CN"/>
              </w:rPr>
              <w:t xml:space="preserve"> </w:t>
            </w:r>
          </w:p>
          <w:p w14:paraId="4ED20C0B">
            <w:pPr>
              <w:widowControl w:val="0"/>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若上述账户名称与分包合同约定的账户名称不一致，以本工作联系函确认的收款账户为准。</w:t>
            </w:r>
          </w:p>
          <w:p w14:paraId="06EF0DC7">
            <w:pPr>
              <w:widowControl w:val="0"/>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被授权人无转委托权。上述被授权人的授权有效期从</w:t>
            </w:r>
            <w:r>
              <w:rPr>
                <w:rFonts w:hint="eastAsia" w:ascii="仿宋" w:hAnsi="仿宋" w:eastAsia="仿宋" w:cs="仿宋"/>
                <w:color w:val="auto"/>
                <w:sz w:val="20"/>
                <w:szCs w:val="20"/>
                <w:highlight w:val="none"/>
                <w:u w:val="single"/>
                <w:lang w:eastAsia="zh-CN"/>
              </w:rPr>
              <w:t>分包合同生效之日</w:t>
            </w:r>
            <w:r>
              <w:rPr>
                <w:rFonts w:hint="eastAsia" w:ascii="仿宋" w:hAnsi="仿宋" w:eastAsia="仿宋" w:cs="仿宋"/>
                <w:color w:val="auto"/>
                <w:sz w:val="20"/>
                <w:szCs w:val="20"/>
                <w:highlight w:val="none"/>
                <w:lang w:eastAsia="zh-CN"/>
              </w:rPr>
              <w:t>起至</w:t>
            </w:r>
            <w:r>
              <w:rPr>
                <w:rFonts w:hint="eastAsia" w:ascii="仿宋" w:hAnsi="仿宋" w:eastAsia="仿宋" w:cs="仿宋"/>
                <w:color w:val="auto"/>
                <w:sz w:val="20"/>
                <w:szCs w:val="20"/>
                <w:highlight w:val="none"/>
                <w:u w:val="single"/>
                <w:lang w:eastAsia="zh-CN"/>
              </w:rPr>
              <w:t xml:space="preserve">具体日期或分包合同履行完毕之日 </w:t>
            </w:r>
            <w:r>
              <w:rPr>
                <w:rFonts w:hint="eastAsia" w:ascii="仿宋" w:hAnsi="仿宋" w:eastAsia="仿宋" w:cs="仿宋"/>
                <w:color w:val="auto"/>
                <w:sz w:val="20"/>
                <w:szCs w:val="20"/>
                <w:highlight w:val="none"/>
                <w:lang w:eastAsia="zh-CN"/>
              </w:rPr>
              <w:t>止。如上述被授权人发生变动，我司将提前3日向贵方重新出具书面授权，被授权人以重新出具的授权文件记载为准。本授权委托书自授权人签字盖章之后生效。</w:t>
            </w:r>
          </w:p>
          <w:p w14:paraId="047082C5">
            <w:pPr>
              <w:widowControl w:val="0"/>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特发此函。</w:t>
            </w:r>
          </w:p>
          <w:p w14:paraId="402F09C8">
            <w:pPr>
              <w:widowControl w:val="0"/>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附上述人员身份证复印件（正反面，且需加盖分包单位公章）。</w:t>
            </w:r>
          </w:p>
          <w:p w14:paraId="32FAE731">
            <w:pPr>
              <w:widowControl w:val="0"/>
              <w:shd w:val="clear"/>
              <w:snapToGrid w:val="0"/>
              <w:spacing w:line="360" w:lineRule="auto"/>
              <w:ind w:firstLine="357"/>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被授权人签字字样、指模：</w:t>
            </w:r>
          </w:p>
          <w:p w14:paraId="1D72D660">
            <w:pPr>
              <w:widowControl w:val="0"/>
              <w:shd w:val="clear"/>
              <w:snapToGrid w:val="0"/>
              <w:spacing w:line="360" w:lineRule="auto"/>
              <w:ind w:firstLine="357"/>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姓名：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 xml:space="preserve">签字样式：   </w:t>
            </w:r>
          </w:p>
          <w:p w14:paraId="6401E60B">
            <w:pPr>
              <w:widowControl w:val="0"/>
              <w:shd w:val="clear"/>
              <w:wordWrap w:val="0"/>
              <w:snapToGrid w:val="0"/>
              <w:spacing w:line="360" w:lineRule="auto"/>
              <w:ind w:right="420"/>
              <w:jc w:val="both"/>
              <w:rPr>
                <w:rFonts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                            分包单位（公章）：</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kern w:val="10"/>
                <w:sz w:val="20"/>
                <w:szCs w:val="20"/>
                <w:highlight w:val="none"/>
                <w:lang w:val="en-US" w:eastAsia="zh-CN" w:bidi="ar-SA"/>
              </w:rPr>
              <w:t>XXXX</w:t>
            </w:r>
            <w:r>
              <w:rPr>
                <w:rFonts w:hint="eastAsia" w:ascii="仿宋" w:hAnsi="仿宋" w:eastAsia="仿宋" w:cs="仿宋"/>
                <w:b w:val="0"/>
                <w:bCs w:val="0"/>
                <w:snapToGrid/>
                <w:color w:val="auto"/>
                <w:kern w:val="10"/>
                <w:sz w:val="20"/>
                <w:szCs w:val="20"/>
                <w:highlight w:val="none"/>
                <w:u w:val="none"/>
                <w:lang w:val="en-US" w:eastAsia="zh-CN"/>
              </w:rPr>
              <w:t xml:space="preserve">           </w:t>
            </w:r>
          </w:p>
          <w:p w14:paraId="676C0BDD">
            <w:pPr>
              <w:widowControl w:val="0"/>
              <w:shd w:val="clear"/>
              <w:snapToGrid w:val="0"/>
              <w:spacing w:line="360" w:lineRule="auto"/>
              <w:ind w:firstLine="360"/>
              <w:rPr>
                <w:rFonts w:ascii="仿宋" w:hAnsi="仿宋" w:eastAsia="仿宋" w:cs="仿宋"/>
                <w:color w:val="auto"/>
                <w:sz w:val="20"/>
                <w:szCs w:val="20"/>
                <w:highlight w:val="none"/>
                <w:u w:val="single"/>
                <w:lang w:eastAsia="zh-CN"/>
              </w:rPr>
            </w:pPr>
            <w:r>
              <w:rPr>
                <w:rFonts w:hint="eastAsia" w:ascii="仿宋" w:hAnsi="仿宋" w:eastAsia="仿宋" w:cs="仿宋"/>
                <w:color w:val="auto"/>
                <w:sz w:val="20"/>
                <w:szCs w:val="20"/>
                <w:highlight w:val="none"/>
                <w:lang w:eastAsia="zh-CN"/>
              </w:rPr>
              <w:t xml:space="preserve">                       （法定代表人/负责人)（签字、指模）：          </w:t>
            </w:r>
          </w:p>
          <w:p w14:paraId="4D9D1C8B">
            <w:pPr>
              <w:widowControl w:val="0"/>
              <w:shd w:val="clear"/>
              <w:snapToGrid w:val="0"/>
              <w:spacing w:line="360" w:lineRule="auto"/>
              <w:ind w:right="800" w:firstLine="5400" w:firstLineChars="27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2025年6月18日</w:t>
            </w:r>
          </w:p>
        </w:tc>
      </w:tr>
    </w:tbl>
    <w:p w14:paraId="103F9C8C">
      <w:pPr>
        <w:shd w:val="clear"/>
        <w:tabs>
          <w:tab w:val="left" w:pos="388"/>
        </w:tabs>
        <w:spacing w:line="360" w:lineRule="auto"/>
        <w:jc w:val="left"/>
        <w:rPr>
          <w:rFonts w:hint="eastAsia" w:ascii="仿宋" w:hAnsi="仿宋" w:eastAsia="仿宋" w:cs="仿宋"/>
          <w:b/>
          <w:color w:val="auto"/>
          <w:sz w:val="24"/>
          <w:highlight w:val="none"/>
        </w:rPr>
      </w:pPr>
    </w:p>
    <w:p w14:paraId="1E0E0DC4">
      <w:pPr>
        <w:shd w:val="clear"/>
        <w:tabs>
          <w:tab w:val="left" w:pos="388"/>
        </w:tabs>
        <w:spacing w:line="360" w:lineRule="auto"/>
        <w:jc w:val="left"/>
        <w:rPr>
          <w:rFonts w:hint="eastAsia" w:ascii="仿宋" w:hAnsi="仿宋" w:eastAsia="仿宋" w:cs="仿宋"/>
          <w:b/>
          <w:color w:val="auto"/>
          <w:sz w:val="24"/>
          <w:highlight w:val="none"/>
        </w:rPr>
      </w:pPr>
    </w:p>
    <w:p w14:paraId="7D04A55E">
      <w:pPr>
        <w:shd w:val="clear"/>
        <w:tabs>
          <w:tab w:val="left" w:pos="388"/>
        </w:tabs>
        <w:spacing w:line="360" w:lineRule="auto"/>
        <w:jc w:val="left"/>
        <w:rPr>
          <w:rFonts w:hint="eastAsia" w:ascii="仿宋" w:hAnsi="仿宋" w:eastAsia="仿宋" w:cs="仿宋"/>
          <w:b/>
          <w:color w:val="auto"/>
          <w:sz w:val="24"/>
          <w:highlight w:val="none"/>
        </w:rPr>
      </w:pPr>
    </w:p>
    <w:p w14:paraId="0C21E563">
      <w:pPr>
        <w:shd w:val="clear"/>
        <w:tabs>
          <w:tab w:val="left" w:pos="388"/>
        </w:tabs>
        <w:spacing w:line="360" w:lineRule="auto"/>
        <w:jc w:val="left"/>
        <w:rPr>
          <w:rFonts w:ascii="仿宋" w:hAnsi="仿宋" w:eastAsia="仿宋" w:cs="仿宋"/>
          <w:b/>
          <w:color w:val="auto"/>
          <w:sz w:val="24"/>
          <w:highlight w:val="none"/>
        </w:rPr>
      </w:pPr>
      <w:r>
        <w:rPr>
          <w:rFonts w:hint="eastAsia" w:ascii="仿宋" w:hAnsi="仿宋" w:eastAsia="仿宋" w:cs="仿宋"/>
          <w:b/>
          <w:color w:val="auto"/>
          <w:sz w:val="24"/>
          <w:highlight w:val="none"/>
        </w:rPr>
        <w:t>法定代表人身份证（正反面）：</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DBD0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atLeast"/>
        </w:trPr>
        <w:tc>
          <w:tcPr>
            <w:tcW w:w="2500" w:type="pct"/>
          </w:tcPr>
          <w:p w14:paraId="01324358">
            <w:pPr>
              <w:pStyle w:val="9"/>
              <w:shd w:val="clear"/>
              <w:rPr>
                <w:rFonts w:ascii="仿宋" w:hAnsi="仿宋" w:eastAsia="仿宋" w:cs="仿宋"/>
                <w:b/>
                <w:color w:val="auto"/>
                <w:sz w:val="24"/>
                <w:highlight w:val="none"/>
              </w:rPr>
            </w:pPr>
          </w:p>
        </w:tc>
        <w:tc>
          <w:tcPr>
            <w:tcW w:w="2500" w:type="pct"/>
          </w:tcPr>
          <w:p w14:paraId="58EACB46">
            <w:pPr>
              <w:pStyle w:val="9"/>
              <w:shd w:val="clear"/>
              <w:rPr>
                <w:rFonts w:ascii="仿宋" w:hAnsi="仿宋" w:eastAsia="仿宋" w:cs="仿宋"/>
                <w:b/>
                <w:color w:val="auto"/>
                <w:sz w:val="24"/>
                <w:highlight w:val="none"/>
              </w:rPr>
            </w:pPr>
          </w:p>
        </w:tc>
      </w:tr>
    </w:tbl>
    <w:p w14:paraId="34662D01">
      <w:pPr>
        <w:pStyle w:val="9"/>
        <w:shd w:val="clear"/>
        <w:rPr>
          <w:rFonts w:ascii="宋体" w:hAnsi="宋体"/>
          <w:b/>
          <w:bCs/>
          <w:color w:val="auto"/>
          <w:szCs w:val="21"/>
          <w:highlight w:val="none"/>
        </w:rPr>
      </w:pPr>
    </w:p>
    <w:p w14:paraId="36D5AF2E">
      <w:pPr>
        <w:pStyle w:val="24"/>
        <w:shd w:val="clear"/>
        <w:spacing w:line="360" w:lineRule="auto"/>
        <w:ind w:firstLine="0" w:firstLineChars="0"/>
        <w:rPr>
          <w:rFonts w:ascii="宋体" w:hAnsi="宋体"/>
          <w:b/>
          <w:bCs/>
          <w:color w:val="auto"/>
          <w:szCs w:val="21"/>
          <w:highlight w:val="none"/>
        </w:rPr>
      </w:pPr>
      <w:r>
        <w:rPr>
          <w:rFonts w:hint="eastAsia" w:ascii="宋体" w:hAnsi="宋体"/>
          <w:b/>
          <w:bCs/>
          <w:color w:val="auto"/>
          <w:szCs w:val="21"/>
          <w:highlight w:val="none"/>
        </w:rPr>
        <w:t>乙方被授权人身份证（正反面）：</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202"/>
      </w:tblGrid>
      <w:tr w14:paraId="25685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5" w:hRule="atLeast"/>
        </w:trPr>
        <w:tc>
          <w:tcPr>
            <w:tcW w:w="2534" w:type="pct"/>
          </w:tcPr>
          <w:p w14:paraId="68325CA3">
            <w:pPr>
              <w:pStyle w:val="9"/>
              <w:shd w:val="clear"/>
              <w:rPr>
                <w:rFonts w:hint="eastAsia" w:ascii="仿宋" w:hAnsi="仿宋" w:eastAsia="仿宋" w:cs="仿宋"/>
                <w:b/>
                <w:color w:val="auto"/>
                <w:sz w:val="24"/>
                <w:highlight w:val="none"/>
                <w:lang w:eastAsia="zh-CN"/>
              </w:rPr>
            </w:pPr>
          </w:p>
        </w:tc>
        <w:tc>
          <w:tcPr>
            <w:tcW w:w="2465" w:type="pct"/>
          </w:tcPr>
          <w:p w14:paraId="5958DBE3">
            <w:pPr>
              <w:pStyle w:val="9"/>
              <w:shd w:val="clear"/>
              <w:rPr>
                <w:rFonts w:hint="eastAsia" w:ascii="仿宋" w:hAnsi="仿宋" w:eastAsia="仿宋" w:cs="仿宋"/>
                <w:b/>
                <w:color w:val="auto"/>
                <w:sz w:val="24"/>
                <w:highlight w:val="none"/>
                <w:lang w:eastAsia="zh-CN"/>
              </w:rPr>
            </w:pPr>
          </w:p>
        </w:tc>
      </w:tr>
      <w:tr w14:paraId="22AD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9" w:hRule="atLeast"/>
        </w:trPr>
        <w:tc>
          <w:tcPr>
            <w:tcW w:w="2534" w:type="pct"/>
          </w:tcPr>
          <w:p w14:paraId="4009F78A">
            <w:pPr>
              <w:pStyle w:val="9"/>
              <w:shd w:val="clear"/>
              <w:rPr>
                <w:rFonts w:hint="eastAsia" w:ascii="仿宋" w:hAnsi="仿宋" w:eastAsia="仿宋" w:cs="仿宋"/>
                <w:b/>
                <w:color w:val="auto"/>
                <w:sz w:val="24"/>
                <w:highlight w:val="none"/>
                <w:lang w:eastAsia="zh-CN"/>
              </w:rPr>
            </w:pPr>
          </w:p>
        </w:tc>
        <w:tc>
          <w:tcPr>
            <w:tcW w:w="2465" w:type="pct"/>
          </w:tcPr>
          <w:p w14:paraId="2584762A">
            <w:pPr>
              <w:pStyle w:val="9"/>
              <w:shd w:val="clear"/>
              <w:rPr>
                <w:rFonts w:hint="eastAsia" w:ascii="仿宋" w:hAnsi="仿宋" w:eastAsia="仿宋" w:cs="仿宋"/>
                <w:b/>
                <w:color w:val="auto"/>
                <w:sz w:val="24"/>
                <w:highlight w:val="none"/>
                <w:lang w:eastAsia="zh-CN"/>
              </w:rPr>
            </w:pPr>
          </w:p>
        </w:tc>
      </w:tr>
      <w:tr w14:paraId="6AE6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7" w:hRule="atLeast"/>
        </w:trPr>
        <w:tc>
          <w:tcPr>
            <w:tcW w:w="2534" w:type="pct"/>
          </w:tcPr>
          <w:p w14:paraId="616BA1C1">
            <w:pPr>
              <w:pStyle w:val="9"/>
              <w:shd w:val="clear"/>
              <w:rPr>
                <w:rFonts w:hint="eastAsia" w:ascii="仿宋" w:hAnsi="仿宋" w:eastAsia="仿宋" w:cs="仿宋"/>
                <w:b/>
                <w:color w:val="auto"/>
                <w:sz w:val="24"/>
                <w:highlight w:val="none"/>
                <w:lang w:eastAsia="zh-CN"/>
              </w:rPr>
            </w:pPr>
          </w:p>
        </w:tc>
        <w:tc>
          <w:tcPr>
            <w:tcW w:w="2465" w:type="pct"/>
          </w:tcPr>
          <w:p w14:paraId="593FC7B5">
            <w:pPr>
              <w:pStyle w:val="9"/>
              <w:shd w:val="clear"/>
              <w:rPr>
                <w:rFonts w:hint="eastAsia" w:ascii="仿宋" w:hAnsi="仿宋" w:eastAsia="仿宋" w:cs="仿宋"/>
                <w:b/>
                <w:color w:val="auto"/>
                <w:sz w:val="24"/>
                <w:highlight w:val="none"/>
                <w:lang w:eastAsia="zh-CN"/>
              </w:rPr>
            </w:pPr>
          </w:p>
        </w:tc>
      </w:tr>
      <w:tr w14:paraId="162F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trPr>
        <w:tc>
          <w:tcPr>
            <w:tcW w:w="2534" w:type="pct"/>
          </w:tcPr>
          <w:p w14:paraId="0B79EC66">
            <w:pPr>
              <w:pStyle w:val="9"/>
              <w:shd w:val="clear"/>
              <w:rPr>
                <w:rFonts w:hint="eastAsia" w:ascii="仿宋" w:hAnsi="仿宋" w:eastAsia="仿宋" w:cs="仿宋"/>
                <w:b/>
                <w:color w:val="auto"/>
                <w:sz w:val="24"/>
                <w:highlight w:val="none"/>
                <w:lang w:eastAsia="zh-CN"/>
              </w:rPr>
            </w:pPr>
          </w:p>
        </w:tc>
        <w:tc>
          <w:tcPr>
            <w:tcW w:w="2465" w:type="pct"/>
          </w:tcPr>
          <w:p w14:paraId="54A83091">
            <w:pPr>
              <w:pStyle w:val="9"/>
              <w:shd w:val="clear"/>
              <w:rPr>
                <w:rFonts w:hint="eastAsia" w:ascii="仿宋" w:hAnsi="仿宋" w:eastAsia="仿宋" w:cs="仿宋"/>
                <w:b/>
                <w:color w:val="auto"/>
                <w:sz w:val="24"/>
                <w:highlight w:val="none"/>
                <w:lang w:eastAsia="zh-CN"/>
              </w:rPr>
            </w:pPr>
          </w:p>
        </w:tc>
      </w:tr>
      <w:tr w14:paraId="48481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5" w:hRule="atLeast"/>
        </w:trPr>
        <w:tc>
          <w:tcPr>
            <w:tcW w:w="2534" w:type="pct"/>
          </w:tcPr>
          <w:p w14:paraId="3AEDC9E4">
            <w:pPr>
              <w:pStyle w:val="9"/>
              <w:shd w:val="clear"/>
              <w:rPr>
                <w:color w:val="auto"/>
                <w:highlight w:val="none"/>
              </w:rPr>
            </w:pPr>
          </w:p>
        </w:tc>
        <w:tc>
          <w:tcPr>
            <w:tcW w:w="2465" w:type="pct"/>
          </w:tcPr>
          <w:p w14:paraId="7D211CD8">
            <w:pPr>
              <w:pStyle w:val="9"/>
              <w:shd w:val="clear"/>
              <w:rPr>
                <w:color w:val="auto"/>
                <w:highlight w:val="none"/>
              </w:rPr>
            </w:pPr>
          </w:p>
        </w:tc>
      </w:tr>
    </w:tbl>
    <w:p w14:paraId="2CFDD4CF">
      <w:pPr>
        <w:shd w:val="clear"/>
        <w:tabs>
          <w:tab w:val="left" w:pos="388"/>
        </w:tabs>
        <w:spacing w:line="360" w:lineRule="auto"/>
        <w:jc w:val="left"/>
        <w:rPr>
          <w:rFonts w:hint="eastAsia" w:ascii="仿宋" w:hAnsi="仿宋" w:eastAsia="仿宋" w:cs="仿宋"/>
          <w:b/>
          <w:color w:val="auto"/>
          <w:sz w:val="24"/>
          <w:highlight w:val="none"/>
        </w:rPr>
      </w:pPr>
    </w:p>
    <w:p w14:paraId="2B98751D">
      <w:pPr>
        <w:shd w:val="clear"/>
        <w:tabs>
          <w:tab w:val="left" w:pos="388"/>
        </w:tabs>
        <w:spacing w:line="360" w:lineRule="auto"/>
        <w:jc w:val="left"/>
        <w:rPr>
          <w:rFonts w:hint="eastAsia" w:ascii="仿宋" w:hAnsi="仿宋" w:eastAsia="仿宋" w:cs="仿宋"/>
          <w:b/>
          <w:color w:val="auto"/>
          <w:sz w:val="24"/>
          <w:highlight w:val="none"/>
        </w:rPr>
      </w:pPr>
    </w:p>
    <w:p w14:paraId="7AFE2655">
      <w:pPr>
        <w:shd w:val="clear"/>
        <w:tabs>
          <w:tab w:val="left" w:pos="388"/>
        </w:tabs>
        <w:spacing w:line="360" w:lineRule="auto"/>
        <w:jc w:val="left"/>
        <w:rPr>
          <w:rFonts w:hint="eastAsia" w:ascii="仿宋" w:hAnsi="仿宋" w:eastAsia="仿宋" w:cs="仿宋"/>
          <w:b/>
          <w:color w:val="auto"/>
          <w:sz w:val="24"/>
          <w:highlight w:val="none"/>
        </w:rPr>
      </w:pPr>
    </w:p>
    <w:p w14:paraId="4033B5A8">
      <w:pPr>
        <w:shd w:val="clear"/>
        <w:spacing w:line="480" w:lineRule="exact"/>
        <w:ind w:firstLine="480" w:firstLineChars="200"/>
        <w:rPr>
          <w:rFonts w:asciiTheme="minorEastAsia" w:hAnsiTheme="minorEastAsia" w:cstheme="minorEastAsia"/>
          <w:b/>
          <w:color w:val="auto"/>
          <w:sz w:val="24"/>
          <w:highlight w:val="none"/>
        </w:rPr>
      </w:pPr>
    </w:p>
    <w:p w14:paraId="21B0F45F">
      <w:pPr>
        <w:pStyle w:val="24"/>
        <w:rPr>
          <w:rFonts w:hint="eastAsia"/>
          <w:color w:val="auto"/>
          <w:highlight w:val="none"/>
        </w:rPr>
      </w:pPr>
    </w:p>
    <w:p w14:paraId="14C7B7E3">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6A64834E">
      <w:pPr>
        <w:spacing w:line="480" w:lineRule="exact"/>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2966E198">
      <w:pPr>
        <w:jc w:val="cente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p>
    <w:p w14:paraId="1226EF9E">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22B0AAF6">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的比选申请文件，进入技术、价格评审采用</w:t>
      </w:r>
      <w:r>
        <w:rPr>
          <w:rFonts w:hint="eastAsia" w:ascii="宋体" w:hAnsi="宋体" w:eastAsia="宋体"/>
          <w:b/>
          <w:bCs/>
          <w:color w:val="auto"/>
          <w:sz w:val="24"/>
          <w:szCs w:val="24"/>
          <w:highlight w:val="none"/>
          <w:u w:val="single"/>
        </w:rPr>
        <w:t xml:space="preserve"> 综合评</w:t>
      </w:r>
      <w:r>
        <w:rPr>
          <w:rFonts w:hint="eastAsia" w:ascii="宋体" w:hAnsi="宋体" w:eastAsia="宋体"/>
          <w:b/>
          <w:bCs/>
          <w:color w:val="auto"/>
          <w:sz w:val="24"/>
          <w:szCs w:val="24"/>
          <w:highlight w:val="none"/>
          <w:u w:val="single"/>
          <w:lang w:eastAsia="zh-CN"/>
        </w:rPr>
        <w:t>分</w:t>
      </w:r>
      <w:r>
        <w:rPr>
          <w:rFonts w:hint="eastAsia" w:ascii="宋体" w:hAnsi="宋体" w:eastAsia="宋体"/>
          <w:b/>
          <w:bCs/>
          <w:color w:val="auto"/>
          <w:sz w:val="24"/>
          <w:szCs w:val="24"/>
          <w:highlight w:val="none"/>
          <w:u w:val="single"/>
        </w:rPr>
        <w:t>法</w:t>
      </w:r>
      <w:r>
        <w:rPr>
          <w:rFonts w:hint="eastAsia" w:ascii="宋体" w:hAnsi="宋体" w:eastAsia="宋体"/>
          <w:color w:val="auto"/>
          <w:sz w:val="24"/>
          <w:szCs w:val="24"/>
          <w:highlight w:val="none"/>
        </w:rPr>
        <w:t>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w:t>
      </w:r>
      <w:r>
        <w:rPr>
          <w:rFonts w:hint="eastAsia" w:ascii="宋体" w:hAnsi="宋体" w:eastAsia="宋体"/>
          <w:b/>
          <w:bCs/>
          <w:color w:val="auto"/>
          <w:sz w:val="24"/>
          <w:szCs w:val="24"/>
          <w:highlight w:val="none"/>
          <w:u w:val="single"/>
          <w:lang w:val="en-US" w:eastAsia="zh-CN"/>
        </w:rPr>
        <w:t>40</w:t>
      </w:r>
      <w:r>
        <w:rPr>
          <w:rFonts w:hint="eastAsia" w:ascii="宋体" w:hAnsi="宋体" w:eastAsia="宋体"/>
          <w:b/>
          <w:bCs/>
          <w:color w:val="auto"/>
          <w:sz w:val="24"/>
          <w:szCs w:val="24"/>
          <w:highlight w:val="none"/>
          <w:u w:val="single"/>
        </w:rPr>
        <w:t>分，价格得分</w:t>
      </w:r>
      <w:r>
        <w:rPr>
          <w:rFonts w:hint="eastAsia" w:ascii="宋体" w:hAnsi="宋体" w:eastAsia="宋体"/>
          <w:b/>
          <w:bCs/>
          <w:color w:val="auto"/>
          <w:sz w:val="24"/>
          <w:szCs w:val="24"/>
          <w:highlight w:val="none"/>
          <w:u w:val="single"/>
          <w:lang w:val="en-US" w:eastAsia="zh-CN"/>
        </w:rPr>
        <w:t>60</w:t>
      </w:r>
      <w:r>
        <w:rPr>
          <w:rFonts w:hint="eastAsia" w:ascii="宋体" w:hAnsi="宋体" w:eastAsia="宋体"/>
          <w:b/>
          <w:bCs/>
          <w:color w:val="auto"/>
          <w:sz w:val="24"/>
          <w:szCs w:val="24"/>
          <w:highlight w:val="none"/>
          <w:u w:val="single"/>
        </w:rPr>
        <w:t>分</w:t>
      </w:r>
      <w:r>
        <w:rPr>
          <w:rFonts w:hint="eastAsia" w:ascii="宋体" w:hAnsi="宋体" w:eastAsia="宋体"/>
          <w:color w:val="auto"/>
          <w:sz w:val="24"/>
          <w:szCs w:val="24"/>
          <w:highlight w:val="none"/>
        </w:rPr>
        <w:t>。</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highlight w:val="none"/>
          <w:u w:val="single"/>
          <w:lang w:val="en-US" w:eastAsia="zh-CN"/>
        </w:rPr>
        <w:t>3</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67" w:name="_Hlk36511445"/>
      <w:r>
        <w:rPr>
          <w:rFonts w:hint="eastAsia" w:ascii="宋体" w:hAnsi="宋体" w:eastAsia="宋体"/>
          <w:color w:val="auto"/>
          <w:sz w:val="24"/>
          <w:szCs w:val="24"/>
          <w:highlight w:val="none"/>
        </w:rPr>
        <w:t>比选申请报价清单如有漏项的比选申请文件，将予以否决。</w:t>
      </w:r>
      <w:bookmarkEnd w:id="867"/>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5D479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 w:val="21"/>
          <w:szCs w:val="21"/>
          <w:highlight w:val="none"/>
        </w:rPr>
      </w:pPr>
      <w:r>
        <w:rPr>
          <w:color w:val="auto"/>
          <w:sz w:val="21"/>
          <w:szCs w:val="21"/>
          <w:highlight w:val="none"/>
        </w:rPr>
        <w:br w:type="page"/>
      </w:r>
    </w:p>
    <w:p w14:paraId="6DB95817">
      <w:pPr>
        <w:pStyle w:val="2"/>
        <w:widowControl/>
        <w:spacing w:after="0" w:line="360" w:lineRule="auto"/>
        <w:ind w:right="-57"/>
        <w:rPr>
          <w:color w:val="auto"/>
          <w:sz w:val="21"/>
          <w:szCs w:val="21"/>
          <w:highlight w:val="none"/>
        </w:rPr>
      </w:pPr>
      <w:r>
        <w:rPr>
          <w:color w:val="auto"/>
          <w:sz w:val="21"/>
          <w:szCs w:val="21"/>
          <w:highlight w:val="none"/>
        </w:rPr>
        <w:t>附表一 资格审查表</w:t>
      </w:r>
    </w:p>
    <w:p w14:paraId="1EA776D2">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1B882623">
      <w:pPr>
        <w:snapToGrid w:val="0"/>
        <w:rPr>
          <w:rFonts w:hint="eastAsia" w:ascii="宋体" w:hAnsi="宋体" w:eastAsia="等线" w:cs="宋体"/>
          <w:b/>
          <w:color w:val="auto"/>
          <w:highlight w:val="none"/>
          <w:lang w:bidi="ar"/>
        </w:rPr>
      </w:pPr>
      <w:r>
        <w:rPr>
          <w:rFonts w:hint="eastAsia" w:ascii="宋体" w:hAnsi="宋体" w:eastAsia="等线" w:cs="宋体"/>
          <w:b/>
          <w:color w:val="auto"/>
          <w:highlight w:val="none"/>
          <w:lang w:bidi="ar"/>
        </w:rPr>
        <w:t>1.</w:t>
      </w:r>
      <w:r>
        <w:rPr>
          <w:rFonts w:hint="eastAsia" w:ascii="宋体" w:hAnsi="宋体"/>
          <w:b/>
          <w:color w:val="auto"/>
          <w:highlight w:val="none"/>
          <w:lang w:val="en-US" w:eastAsia="zh-CN"/>
        </w:rPr>
        <w:t>所有的资料必须提供，所提供的资料缺少任一项的</w:t>
      </w:r>
      <w:r>
        <w:rPr>
          <w:rFonts w:hint="eastAsia" w:ascii="宋体" w:hAnsi="宋体"/>
          <w:b/>
          <w:color w:val="auto"/>
          <w:highlight w:val="none"/>
        </w:rPr>
        <w:t>则</w:t>
      </w:r>
      <w:r>
        <w:rPr>
          <w:rFonts w:hint="eastAsia" w:ascii="宋体" w:hAnsi="宋体"/>
          <w:b/>
          <w:color w:val="auto"/>
          <w:highlight w:val="none"/>
          <w:lang w:val="en-US" w:eastAsia="zh-CN"/>
        </w:rPr>
        <w:t>为不合格</w:t>
      </w:r>
      <w:r>
        <w:rPr>
          <w:rFonts w:hint="eastAsia" w:ascii="宋体" w:hAnsi="宋体"/>
          <w:b/>
          <w:color w:val="auto"/>
          <w:highlight w:val="none"/>
        </w:rPr>
        <w:t>。</w:t>
      </w:r>
    </w:p>
    <w:p w14:paraId="6D0A6519">
      <w:pPr>
        <w:snapToGrid w:val="0"/>
        <w:rPr>
          <w:rFonts w:ascii="宋体" w:hAnsi="宋体" w:eastAsia="等线" w:cs="宋体"/>
          <w:b/>
          <w:color w:val="auto"/>
          <w:highlight w:val="none"/>
        </w:rPr>
      </w:pPr>
      <w:r>
        <w:rPr>
          <w:rFonts w:hint="eastAsia" w:ascii="宋体" w:hAnsi="宋体" w:eastAsia="等线" w:cs="Times New Roman"/>
          <w:b/>
          <w:color w:val="auto"/>
          <w:highlight w:val="none"/>
          <w:lang w:val="en-US" w:eastAsia="zh-CN" w:bidi="ar"/>
        </w:rPr>
        <w:t>2.</w:t>
      </w:r>
      <w:r>
        <w:rPr>
          <w:rFonts w:hint="eastAsia" w:ascii="宋体" w:hAnsi="宋体" w:eastAsia="等线" w:cs="Times New Roman"/>
          <w:b/>
          <w:color w:val="auto"/>
          <w:highlight w:val="none"/>
          <w:lang w:bidi="ar"/>
        </w:rPr>
        <w:t>所有证明资料的复印件加盖公章，原件备查。</w:t>
      </w:r>
    </w:p>
    <w:p w14:paraId="20AAE1CE">
      <w:pPr>
        <w:snapToGrid w:val="0"/>
        <w:rPr>
          <w:rFonts w:ascii="宋体" w:hAnsi="宋体" w:eastAsia="等线" w:cs="宋体"/>
          <w:b/>
          <w:color w:val="auto"/>
          <w:highlight w:val="none"/>
        </w:rPr>
      </w:pPr>
      <w:r>
        <w:rPr>
          <w:rFonts w:hint="eastAsia" w:ascii="宋体" w:hAnsi="宋体" w:eastAsia="等线" w:cs="宋体"/>
          <w:b/>
          <w:color w:val="auto"/>
          <w:highlight w:val="none"/>
          <w:lang w:val="en-US" w:eastAsia="zh-CN" w:bidi="ar"/>
        </w:rPr>
        <w:t>3</w:t>
      </w:r>
      <w:r>
        <w:rPr>
          <w:rFonts w:hint="eastAsia" w:ascii="宋体" w:hAnsi="宋体" w:eastAsia="等线" w:cs="宋体"/>
          <w:b/>
          <w:color w:val="auto"/>
          <w:highlight w:val="none"/>
          <w:lang w:bidi="ar"/>
        </w:rPr>
        <w:t>.</w:t>
      </w:r>
      <w:r>
        <w:rPr>
          <w:rFonts w:hint="eastAsia" w:ascii="宋体" w:hAnsi="宋体" w:eastAsia="等线" w:cs="Times New Roman"/>
          <w:b/>
          <w:color w:val="auto"/>
          <w:highlight w:val="none"/>
          <w:lang w:bidi="ar"/>
        </w:rPr>
        <w:t>评审结果填写合格或不合格，凡评审结果有一项不合格者，结论为不合格。</w:t>
      </w:r>
    </w:p>
    <w:p w14:paraId="69A5C672">
      <w:pPr>
        <w:snapToGrid w:val="0"/>
        <w:rPr>
          <w:rFonts w:ascii="宋体" w:hAnsi="宋体" w:eastAsia="等线" w:cs="宋体"/>
          <w:b/>
          <w:color w:val="auto"/>
          <w:highlight w:val="none"/>
        </w:rPr>
      </w:pPr>
      <w:r>
        <w:rPr>
          <w:rFonts w:hint="eastAsia" w:ascii="宋体" w:hAnsi="宋体" w:eastAsia="等线" w:cs="宋体"/>
          <w:b/>
          <w:color w:val="auto"/>
          <w:highlight w:val="none"/>
          <w:lang w:val="en-US" w:eastAsia="zh-CN" w:bidi="ar"/>
        </w:rPr>
        <w:t>4</w:t>
      </w:r>
      <w:r>
        <w:rPr>
          <w:rFonts w:hint="eastAsia" w:ascii="宋体" w:hAnsi="宋体" w:eastAsia="等线" w:cs="宋体"/>
          <w:b/>
          <w:color w:val="auto"/>
          <w:highlight w:val="none"/>
          <w:lang w:bidi="ar"/>
        </w:rPr>
        <w:t>.</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4EFDCEDF">
      <w:pPr>
        <w:snapToGrid w:val="0"/>
        <w:spacing w:line="360" w:lineRule="exact"/>
        <w:ind w:right="24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BF912B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26D2B55">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49B2AB1A">
            <w:pPr>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42483AAD">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4A2CBC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E07332A">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11115DA">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6D02595">
            <w:pPr>
              <w:snapToGrid w:val="0"/>
              <w:spacing w:line="360" w:lineRule="exact"/>
              <w:ind w:right="240"/>
              <w:jc w:val="center"/>
              <w:rPr>
                <w:rFonts w:ascii="宋体" w:hAnsi="宋体" w:eastAsia="等线" w:cs="宋体"/>
                <w:b/>
                <w:color w:val="auto"/>
                <w:sz w:val="24"/>
                <w:szCs w:val="24"/>
                <w:highlight w:val="none"/>
              </w:rPr>
            </w:pPr>
          </w:p>
        </w:tc>
      </w:tr>
      <w:tr w14:paraId="67695F9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CA38989">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47076282">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61BA6626">
            <w:pPr>
              <w:snapToGrid w:val="0"/>
              <w:spacing w:line="360" w:lineRule="exact"/>
              <w:ind w:right="240"/>
              <w:jc w:val="center"/>
              <w:rPr>
                <w:rFonts w:ascii="宋体" w:hAnsi="宋体" w:eastAsia="等线" w:cs="宋体"/>
                <w:b/>
                <w:color w:val="auto"/>
                <w:sz w:val="24"/>
                <w:szCs w:val="24"/>
                <w:highlight w:val="none"/>
              </w:rPr>
            </w:pPr>
          </w:p>
        </w:tc>
      </w:tr>
      <w:tr w14:paraId="63D4255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9D3AA9E">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7EF9BD3">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29AE2F6">
            <w:pPr>
              <w:snapToGrid w:val="0"/>
              <w:spacing w:line="360" w:lineRule="exact"/>
              <w:ind w:right="240"/>
              <w:jc w:val="center"/>
              <w:rPr>
                <w:rFonts w:ascii="宋体" w:hAnsi="宋体" w:eastAsia="等线" w:cs="宋体"/>
                <w:b/>
                <w:color w:val="auto"/>
                <w:sz w:val="24"/>
                <w:szCs w:val="24"/>
                <w:highlight w:val="none"/>
              </w:rPr>
            </w:pPr>
          </w:p>
        </w:tc>
      </w:tr>
      <w:tr w14:paraId="79819BA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048BC24A">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B059CB">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E5389FD">
            <w:pPr>
              <w:snapToGrid w:val="0"/>
              <w:spacing w:line="360" w:lineRule="exact"/>
              <w:ind w:right="240"/>
              <w:jc w:val="center"/>
              <w:rPr>
                <w:rFonts w:ascii="宋体" w:hAnsi="宋体" w:eastAsia="等线" w:cs="宋体"/>
                <w:b/>
                <w:color w:val="auto"/>
                <w:sz w:val="24"/>
                <w:szCs w:val="24"/>
                <w:highlight w:val="none"/>
              </w:rPr>
            </w:pPr>
          </w:p>
        </w:tc>
      </w:tr>
    </w:tbl>
    <w:p w14:paraId="5B4100A5">
      <w:pPr>
        <w:snapToGrid w:val="0"/>
        <w:spacing w:line="360" w:lineRule="exact"/>
        <w:ind w:right="240"/>
        <w:jc w:val="center"/>
        <w:rPr>
          <w:rFonts w:ascii="宋体" w:hAnsi="宋体" w:eastAsia="等线" w:cs="宋体"/>
          <w:b/>
          <w:color w:val="auto"/>
          <w:sz w:val="24"/>
          <w:szCs w:val="24"/>
          <w:highlight w:val="none"/>
        </w:rPr>
      </w:pPr>
    </w:p>
    <w:p w14:paraId="59E5E84F">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2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A4B69F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0273A55E">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12021D62">
            <w:pPr>
              <w:jc w:val="cente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6A10D51F">
            <w:pPr>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B40EAB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DA15C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793B2">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BB1D0B4">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96030C9">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797FEFB2">
            <w:pPr>
              <w:snapToGrid w:val="0"/>
              <w:spacing w:line="400" w:lineRule="exact"/>
              <w:ind w:right="240"/>
              <w:jc w:val="center"/>
              <w:rPr>
                <w:rFonts w:ascii="宋体" w:hAnsi="宋体" w:eastAsia="等线" w:cs="宋体"/>
                <w:b/>
                <w:color w:val="auto"/>
                <w:sz w:val="24"/>
                <w:szCs w:val="24"/>
                <w:highlight w:val="none"/>
              </w:rPr>
            </w:pPr>
          </w:p>
        </w:tc>
      </w:tr>
      <w:tr w14:paraId="5CE78A9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2773"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E58402E">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708F359">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D8724AB">
            <w:p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6CC18D29">
            <w:pPr>
              <w:spacing w:line="400" w:lineRule="exact"/>
              <w:rPr>
                <w:rFonts w:hint="default" w:ascii="宋体" w:hAnsi="宋体"/>
                <w:color w:val="auto"/>
                <w:highlight w:val="none"/>
                <w:lang w:val="en-US" w:eastAsia="zh-CN"/>
              </w:rPr>
            </w:pPr>
            <w:r>
              <w:rPr>
                <w:rFonts w:hint="eastAsia" w:ascii="宋体" w:hAnsi="宋体"/>
                <w:color w:val="auto"/>
                <w:highlight w:val="none"/>
                <w:lang w:val="en-US" w:eastAsia="zh-CN"/>
              </w:rPr>
              <w:t>1、营业执照、资质证书、安全生产许可证</w:t>
            </w:r>
          </w:p>
          <w:p w14:paraId="2D30748A">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2、拟配置项目管理机构要求：</w:t>
            </w:r>
          </w:p>
          <w:p w14:paraId="6C0E4B3D">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①拟配置项目负责人：具有建筑工程专业二级或以上建造师注册证书及安全考核B证。</w:t>
            </w:r>
          </w:p>
          <w:p w14:paraId="46E6D455">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②拟配置项目管理人员：</w:t>
            </w:r>
          </w:p>
          <w:p w14:paraId="138ED0C0">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技术负责人1人，具有中级或以上工程师职称；</w:t>
            </w:r>
          </w:p>
          <w:p w14:paraId="20F2D091">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专职安全员1人，具有安全员证及安全考核C证（广西以外若无岗位证书的必须提供安全考核C证）</w:t>
            </w:r>
          </w:p>
          <w:p w14:paraId="625D5400">
            <w:pPr>
              <w:spacing w:line="400" w:lineRule="exact"/>
              <w:rPr>
                <w:rFonts w:hint="default" w:ascii="宋体" w:hAnsi="宋体"/>
                <w:color w:val="auto"/>
                <w:highlight w:val="none"/>
                <w:lang w:val="en-US" w:eastAsia="zh-CN"/>
              </w:rPr>
            </w:pPr>
            <w:r>
              <w:rPr>
                <w:rFonts w:hint="eastAsia" w:ascii="宋体" w:hAnsi="宋体"/>
                <w:color w:val="auto"/>
                <w:highlight w:val="none"/>
                <w:lang w:val="en-US" w:eastAsia="zh-CN"/>
              </w:rPr>
              <w:t>3、无重大税收违法失信主体截图</w:t>
            </w:r>
          </w:p>
          <w:p w14:paraId="4841FD4B">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4、无严重失信主体名单截图</w:t>
            </w:r>
          </w:p>
          <w:p w14:paraId="24B84A04">
            <w:pPr>
              <w:spacing w:line="400" w:lineRule="exact"/>
              <w:rPr>
                <w:rFonts w:hint="default" w:ascii="宋体" w:hAnsi="宋体"/>
                <w:color w:val="auto"/>
                <w:highlight w:val="none"/>
                <w:lang w:val="en-US" w:eastAsia="zh-CN"/>
              </w:rPr>
            </w:pPr>
            <w:r>
              <w:rPr>
                <w:rFonts w:hint="eastAsia" w:ascii="宋体" w:hAnsi="宋体"/>
                <w:color w:val="auto"/>
                <w:highlight w:val="none"/>
                <w:lang w:val="en-US" w:eastAsia="zh-CN"/>
              </w:rPr>
              <w:t>5、财务报表或银行资信证明</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3520CBCA">
            <w:pPr>
              <w:snapToGrid w:val="0"/>
              <w:spacing w:line="400" w:lineRule="exact"/>
              <w:ind w:right="240"/>
              <w:jc w:val="center"/>
              <w:rPr>
                <w:rFonts w:ascii="宋体" w:hAnsi="宋体" w:eastAsia="等线" w:cs="宋体"/>
                <w:b/>
                <w:color w:val="auto"/>
                <w:sz w:val="24"/>
                <w:szCs w:val="24"/>
                <w:highlight w:val="none"/>
              </w:rPr>
            </w:pPr>
          </w:p>
        </w:tc>
      </w:tr>
      <w:tr w14:paraId="20D1DE9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2773"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545D71B3">
            <w:pPr>
              <w:spacing w:line="400" w:lineRule="exact"/>
              <w:jc w:val="center"/>
              <w:rPr>
                <w:rFonts w:hint="eastAsia"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69ABE236">
            <w:pPr>
              <w:spacing w:line="400" w:lineRule="exact"/>
              <w:jc w:val="center"/>
              <w:rPr>
                <w:rFonts w:hint="default" w:ascii="宋体" w:hAnsi="宋体" w:eastAsia="等线" w:cs="Times New Roman"/>
                <w:color w:val="auto"/>
                <w:highlight w:val="none"/>
                <w:lang w:val="en-US" w:eastAsia="zh-CN" w:bidi="ar"/>
              </w:rPr>
            </w:pPr>
            <w:r>
              <w:rPr>
                <w:rFonts w:hint="eastAsia" w:ascii="宋体" w:hAnsi="宋体" w:eastAsia="等线" w:cs="Times New Roman"/>
                <w:color w:val="auto"/>
                <w:highlight w:val="none"/>
                <w:lang w:val="en-US" w:eastAsia="zh-CN" w:bidi="ar"/>
              </w:rPr>
              <w:t>类似工程业绩</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28C73507">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val="en-US" w:eastAsia="zh-CN"/>
              </w:rPr>
            </w:pPr>
            <w:r>
              <w:rPr>
                <w:rFonts w:hint="eastAsia" w:ascii="宋体" w:hAnsi="宋体" w:cs="宋体"/>
                <w:color w:val="auto"/>
                <w:highlight w:val="none"/>
              </w:rPr>
              <w:t>提供</w:t>
            </w:r>
            <w:r>
              <w:rPr>
                <w:rFonts w:hint="eastAsia" w:ascii="宋体" w:hAnsi="宋体" w:cs="宋体"/>
                <w:color w:val="auto"/>
                <w:highlight w:val="none"/>
                <w:lang w:val="en-US" w:eastAsia="zh-CN"/>
              </w:rPr>
              <w:t>一个</w:t>
            </w:r>
            <w:r>
              <w:rPr>
                <w:rFonts w:hint="eastAsia" w:ascii="宋体" w:hAnsi="宋体" w:cs="宋体"/>
                <w:color w:val="auto"/>
                <w:highlight w:val="none"/>
              </w:rPr>
              <w:t>自</w:t>
            </w:r>
            <w:r>
              <w:rPr>
                <w:rFonts w:hint="eastAsia" w:ascii="宋体" w:hAnsi="宋体" w:cs="宋体"/>
                <w:color w:val="auto"/>
                <w:highlight w:val="none"/>
                <w:lang w:val="en-US" w:eastAsia="zh-CN"/>
              </w:rPr>
              <w:t>2022</w:t>
            </w:r>
            <w:r>
              <w:rPr>
                <w:rFonts w:hint="eastAsia" w:ascii="宋体" w:hAnsi="宋体" w:cs="宋体"/>
                <w:color w:val="auto"/>
                <w:highlight w:val="none"/>
              </w:rPr>
              <w:t>年</w:t>
            </w:r>
            <w:r>
              <w:rPr>
                <w:rFonts w:hint="eastAsia" w:ascii="宋体" w:hAnsi="宋体" w:cs="宋体"/>
                <w:color w:val="auto"/>
                <w:highlight w:val="none"/>
                <w:lang w:val="en-US" w:eastAsia="zh-CN"/>
              </w:rPr>
              <w:t>1</w:t>
            </w:r>
            <w:r>
              <w:rPr>
                <w:rFonts w:hint="eastAsia" w:ascii="宋体" w:hAnsi="宋体" w:cs="宋体"/>
                <w:color w:val="auto"/>
                <w:highlight w:val="none"/>
              </w:rPr>
              <w:t>月</w:t>
            </w:r>
            <w:r>
              <w:rPr>
                <w:rFonts w:hint="eastAsia" w:ascii="宋体" w:hAnsi="宋体" w:cs="宋体"/>
                <w:color w:val="auto"/>
                <w:highlight w:val="none"/>
                <w:lang w:val="en-US" w:eastAsia="zh-CN"/>
              </w:rPr>
              <w:t>1</w:t>
            </w:r>
            <w:r>
              <w:rPr>
                <w:rFonts w:hint="eastAsia" w:ascii="宋体" w:hAnsi="宋体" w:cs="宋体"/>
                <w:color w:val="auto"/>
                <w:highlight w:val="none"/>
              </w:rPr>
              <w:t>日至比选申请截止日期至内完成过或</w:t>
            </w:r>
            <w:r>
              <w:rPr>
                <w:rFonts w:hint="eastAsia" w:ascii="宋体" w:hAnsi="宋体" w:cs="宋体"/>
                <w:color w:val="auto"/>
                <w:highlight w:val="none"/>
                <w:lang w:val="en-US" w:eastAsia="zh-CN"/>
              </w:rPr>
              <w:t>在建</w:t>
            </w:r>
            <w:r>
              <w:rPr>
                <w:rFonts w:hint="eastAsia" w:ascii="宋体" w:hAnsi="宋体" w:cs="宋体"/>
                <w:color w:val="auto"/>
                <w:highlight w:val="none"/>
              </w:rPr>
              <w:t>单项合同金额达</w:t>
            </w:r>
            <w:r>
              <w:rPr>
                <w:rFonts w:hint="eastAsia" w:ascii="宋体" w:hAnsi="宋体" w:cs="宋体"/>
                <w:color w:val="auto"/>
                <w:highlight w:val="none"/>
                <w:lang w:val="en-US" w:eastAsia="zh-CN"/>
              </w:rPr>
              <w:t>500万元及以上装饰装修工程类业绩合同</w:t>
            </w:r>
          </w:p>
          <w:p w14:paraId="760A135B">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提供下述材料之一即可：</w:t>
            </w:r>
          </w:p>
          <w:p w14:paraId="687A16DC">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①合同文件；</w:t>
            </w:r>
          </w:p>
          <w:p w14:paraId="115C22A7">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②中标通知书。</w:t>
            </w:r>
          </w:p>
          <w:p w14:paraId="3BD83177">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合同内容需体现具体工程内容、合同总价、签约日期。</w:t>
            </w:r>
          </w:p>
          <w:p w14:paraId="050CE47E">
            <w:pPr>
              <w:spacing w:line="400" w:lineRule="exact"/>
              <w:rPr>
                <w:rFonts w:hint="eastAsia" w:ascii="宋体" w:hAnsi="宋体" w:eastAsiaTheme="minorEastAsia"/>
                <w:color w:val="auto"/>
                <w:highlight w:val="none"/>
                <w:lang w:val="en-US" w:eastAsia="zh-CN"/>
              </w:rPr>
            </w:pPr>
            <w:r>
              <w:rPr>
                <w:rFonts w:hint="eastAsia" w:ascii="宋体" w:hAnsi="宋体" w:cs="宋体"/>
                <w:color w:val="auto"/>
                <w:highlight w:val="none"/>
                <w:lang w:bidi="ar"/>
              </w:rPr>
              <w:t>所提供的材料须能明确反映类似项目特征</w:t>
            </w:r>
            <w:r>
              <w:rPr>
                <w:rFonts w:hint="eastAsia" w:ascii="宋体" w:hAnsi="宋体" w:cs="宋体"/>
                <w:color w:val="auto"/>
                <w:highlight w:val="none"/>
                <w:lang w:eastAsia="zh-CN" w:bidi="ar"/>
              </w:rPr>
              <w:t>。</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44A478E1">
            <w:pPr>
              <w:snapToGrid w:val="0"/>
              <w:spacing w:line="400" w:lineRule="exact"/>
              <w:ind w:right="240"/>
              <w:jc w:val="center"/>
              <w:rPr>
                <w:rFonts w:ascii="宋体" w:hAnsi="宋体" w:eastAsia="等线" w:cs="宋体"/>
                <w:b/>
                <w:color w:val="auto"/>
                <w:sz w:val="24"/>
                <w:szCs w:val="24"/>
                <w:highlight w:val="none"/>
              </w:rPr>
            </w:pPr>
          </w:p>
        </w:tc>
      </w:tr>
      <w:tr w14:paraId="65EA37D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614826F">
            <w:pPr>
              <w:spacing w:line="400" w:lineRule="exact"/>
              <w:jc w:val="center"/>
              <w:rPr>
                <w:rFonts w:hint="default"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C6729D6">
            <w:pPr>
              <w:spacing w:line="400" w:lineRule="exact"/>
              <w:jc w:val="center"/>
              <w:rPr>
                <w:rFonts w:hint="eastAsia" w:ascii="宋体" w:hAnsi="宋体" w:eastAsia="等线" w:cs="宋体"/>
                <w:color w:val="auto"/>
                <w:kern w:val="2"/>
                <w:sz w:val="21"/>
                <w:szCs w:val="22"/>
                <w:highlight w:val="none"/>
                <w:lang w:val="en-US" w:eastAsia="zh-CN" w:bidi="ar-SA"/>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BABE386">
            <w:pPr>
              <w:spacing w:line="400" w:lineRule="exact"/>
              <w:rPr>
                <w:rFonts w:hint="eastAsia" w:asciiTheme="minorHAnsi" w:hAnsiTheme="minorHAnsi" w:eastAsiaTheme="minorEastAsia" w:cstheme="minorBidi"/>
                <w:color w:val="auto"/>
                <w:kern w:val="2"/>
                <w:sz w:val="21"/>
                <w:szCs w:val="22"/>
                <w:highlight w:val="none"/>
                <w:lang w:val="en-US" w:eastAsia="zh-CN" w:bidi="ar-SA"/>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DAEE03">
            <w:pPr>
              <w:snapToGrid w:val="0"/>
              <w:spacing w:line="400" w:lineRule="exact"/>
              <w:ind w:right="240"/>
              <w:jc w:val="center"/>
              <w:rPr>
                <w:rFonts w:ascii="宋体" w:hAnsi="宋体" w:eastAsia="等线" w:cs="宋体"/>
                <w:b/>
                <w:color w:val="auto"/>
                <w:sz w:val="24"/>
                <w:szCs w:val="24"/>
                <w:highlight w:val="none"/>
              </w:rPr>
            </w:pPr>
          </w:p>
        </w:tc>
      </w:tr>
    </w:tbl>
    <w:p w14:paraId="5898B1DA">
      <w:pPr>
        <w:rPr>
          <w:b/>
          <w:bCs/>
          <w:color w:val="auto"/>
          <w:highlight w:val="none"/>
        </w:rPr>
      </w:pPr>
      <w:r>
        <w:rPr>
          <w:rFonts w:hint="eastAsia"/>
          <w:b/>
          <w:bCs/>
          <w:color w:val="auto"/>
          <w:highlight w:val="none"/>
        </w:rPr>
        <w:br w:type="page"/>
      </w:r>
    </w:p>
    <w:p w14:paraId="6ACE54D4">
      <w:pPr>
        <w:rPr>
          <w:b/>
          <w:bCs/>
          <w:color w:val="auto"/>
          <w:highlight w:val="none"/>
        </w:rPr>
      </w:pPr>
      <w:r>
        <w:rPr>
          <w:rFonts w:hint="eastAsia"/>
          <w:b/>
          <w:bCs/>
          <w:color w:val="auto"/>
          <w:highlight w:val="none"/>
        </w:rPr>
        <w:t>附表二《技术文件评分表》</w:t>
      </w:r>
    </w:p>
    <w:p w14:paraId="66D36B58">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6997A67E">
      <w:pPr>
        <w:jc w:val="both"/>
        <w:rPr>
          <w:rFonts w:hint="eastAsia"/>
          <w:b/>
          <w:bCs/>
          <w:color w:val="auto"/>
          <w:highlight w:val="none"/>
        </w:rPr>
      </w:pPr>
      <w:r>
        <w:rPr>
          <w:rFonts w:hint="eastAsia" w:ascii="宋体" w:hAnsi="宋体" w:eastAsia="等线" w:cs="宋体"/>
          <w:b/>
          <w:color w:val="auto"/>
          <w:highlight w:val="none"/>
          <w:lang w:bidi="ar"/>
        </w:rPr>
        <w:t>1.</w:t>
      </w:r>
      <w:r>
        <w:rPr>
          <w:rFonts w:hint="eastAsia" w:ascii="宋体" w:hAnsi="宋体"/>
          <w:b/>
          <w:color w:val="auto"/>
          <w:highlight w:val="none"/>
          <w:lang w:val="en-US" w:eastAsia="zh-CN"/>
        </w:rPr>
        <w:t>评审内容的相关文件必须提供，所提供的资料缺少任一项的</w:t>
      </w:r>
      <w:r>
        <w:rPr>
          <w:rFonts w:hint="eastAsia" w:ascii="宋体" w:hAnsi="宋体"/>
          <w:b/>
          <w:color w:val="auto"/>
          <w:highlight w:val="none"/>
        </w:rPr>
        <w:t>则</w:t>
      </w:r>
      <w:r>
        <w:rPr>
          <w:rFonts w:hint="eastAsia" w:ascii="宋体" w:hAnsi="宋体"/>
          <w:b/>
          <w:color w:val="auto"/>
          <w:highlight w:val="none"/>
          <w:lang w:val="en-US" w:eastAsia="zh-CN"/>
        </w:rPr>
        <w:t>为不合格</w:t>
      </w:r>
      <w:r>
        <w:rPr>
          <w:rFonts w:hint="eastAsia" w:ascii="宋体" w:hAnsi="宋体"/>
          <w:b/>
          <w:color w:val="auto"/>
          <w:highlight w:val="none"/>
        </w:rPr>
        <w:t>。</w:t>
      </w:r>
    </w:p>
    <w:p w14:paraId="720640CF">
      <w:pPr>
        <w:jc w:val="center"/>
        <w:rPr>
          <w:rFonts w:hint="eastAsia"/>
          <w:b/>
          <w:bCs/>
          <w:color w:val="auto"/>
          <w:highlight w:val="none"/>
        </w:rPr>
      </w:pPr>
    </w:p>
    <w:p w14:paraId="47DFCD77">
      <w:pPr>
        <w:ind w:firstLine="420" w:firstLineChars="0"/>
        <w:jc w:val="center"/>
        <w:rPr>
          <w:b/>
          <w:bCs/>
          <w:color w:val="auto"/>
          <w:highlight w:val="none"/>
        </w:rPr>
      </w:pPr>
      <w:r>
        <w:rPr>
          <w:rFonts w:hint="eastAsia"/>
          <w:b/>
          <w:bCs/>
          <w:color w:val="auto"/>
          <w:highlight w:val="none"/>
        </w:rPr>
        <w:t>技术文件评分表</w:t>
      </w:r>
    </w:p>
    <w:tbl>
      <w:tblPr>
        <w:tblStyle w:val="25"/>
        <w:tblW w:w="9316" w:type="dxa"/>
        <w:jc w:val="center"/>
        <w:tblLayout w:type="fixed"/>
        <w:tblCellMar>
          <w:top w:w="0" w:type="dxa"/>
          <w:left w:w="108" w:type="dxa"/>
          <w:bottom w:w="0" w:type="dxa"/>
          <w:right w:w="108" w:type="dxa"/>
        </w:tblCellMar>
      </w:tblPr>
      <w:tblGrid>
        <w:gridCol w:w="595"/>
        <w:gridCol w:w="1035"/>
        <w:gridCol w:w="4620"/>
        <w:gridCol w:w="2241"/>
        <w:gridCol w:w="825"/>
      </w:tblGrid>
      <w:tr w14:paraId="2CCD8052">
        <w:tblPrEx>
          <w:tblCellMar>
            <w:top w:w="0" w:type="dxa"/>
            <w:left w:w="108" w:type="dxa"/>
            <w:bottom w:w="0" w:type="dxa"/>
            <w:right w:w="108" w:type="dxa"/>
          </w:tblCellMar>
        </w:tblPrEx>
        <w:trPr>
          <w:trHeight w:val="58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5C73">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B9EA">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58822">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1C25">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BADFE">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49262F1C">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F8CC3">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lang w:val="en-US" w:eastAsia="zh-CN" w:bidi="ar"/>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B1CC0">
            <w:pPr>
              <w:keepNext w:val="0"/>
              <w:keepLines w:val="0"/>
              <w:pageBreakBefore w:val="0"/>
              <w:widowControl w:val="0"/>
              <w:kinsoku/>
              <w:wordWrap/>
              <w:overflowPunct/>
              <w:topLinePunct w:val="0"/>
              <w:autoSpaceDE/>
              <w:autoSpaceDN/>
              <w:bidi w:val="0"/>
              <w:adjustRightInd/>
              <w:snapToGrid/>
              <w:ind w:firstLine="0"/>
              <w:jc w:val="both"/>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施工方案</w:t>
            </w:r>
          </w:p>
          <w:p w14:paraId="1E30C790">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w:t>
            </w:r>
          </w:p>
          <w:p w14:paraId="51AE8F34">
            <w:pPr>
              <w:keepNext w:val="0"/>
              <w:keepLines w:val="0"/>
              <w:pageBreakBefore w:val="0"/>
              <w:widowControl w:val="0"/>
              <w:kinsoku/>
              <w:wordWrap/>
              <w:overflowPunct/>
              <w:topLinePunct w:val="0"/>
              <w:autoSpaceDE/>
              <w:autoSpaceDN/>
              <w:bidi w:val="0"/>
              <w:adjustRightInd/>
              <w:snapToGrid/>
              <w:ind w:firstLine="0" w:firstLineChars="0"/>
              <w:jc w:val="center"/>
              <w:textAlignment w:val="center"/>
              <w:rPr>
                <w:rFonts w:hint="eastAsia" w:ascii="宋体" w:hAnsi="宋体" w:cs="宋体" w:eastAsiaTheme="minorEastAsia"/>
                <w:color w:val="auto"/>
                <w:kern w:val="2"/>
                <w:sz w:val="18"/>
                <w:szCs w:val="18"/>
                <w:highlight w:val="none"/>
                <w:lang w:val="en-US" w:eastAsia="zh-CN" w:bidi="ar"/>
              </w:rPr>
            </w:pPr>
            <w:r>
              <w:rPr>
                <w:rFonts w:hint="eastAsia" w:ascii="宋体" w:hAnsi="宋体" w:cs="宋体"/>
                <w:color w:val="auto"/>
                <w:sz w:val="18"/>
                <w:szCs w:val="18"/>
                <w:highlight w:val="none"/>
                <w:lang w:bidi="ar"/>
              </w:rPr>
              <w:t>评审)</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C3489">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rPr>
            </w:pPr>
            <w:r>
              <w:rPr>
                <w:rFonts w:hint="eastAsia" w:ascii="宋体" w:hAnsi="宋体" w:cs="宋体"/>
                <w:color w:val="auto"/>
                <w:highlight w:val="none"/>
              </w:rPr>
              <w:t>施工方案及质量控制措施、方案:</w:t>
            </w:r>
          </w:p>
          <w:p w14:paraId="39275B84">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rPr>
            </w:pPr>
            <w:r>
              <w:rPr>
                <w:rFonts w:hint="eastAsia" w:ascii="宋体" w:hAnsi="宋体" w:cs="宋体"/>
                <w:color w:val="auto"/>
                <w:highlight w:val="none"/>
              </w:rPr>
              <w:t>①方案优秀、针对性很强，得</w:t>
            </w:r>
            <w:r>
              <w:rPr>
                <w:rFonts w:hint="eastAsia" w:ascii="宋体" w:hAnsi="宋体" w:cs="宋体"/>
                <w:color w:val="auto"/>
                <w:highlight w:val="none"/>
                <w:lang w:val="en-US" w:eastAsia="zh-CN" w:bidi="ar"/>
              </w:rPr>
              <w:t>21</w:t>
            </w:r>
            <w:r>
              <w:rPr>
                <w:rFonts w:hint="eastAsia" w:ascii="宋体" w:hAnsi="宋体" w:cs="宋体"/>
                <w:color w:val="auto"/>
                <w:highlight w:val="none"/>
                <w:lang w:bidi="ar"/>
              </w:rPr>
              <w:t>-</w:t>
            </w:r>
            <w:r>
              <w:rPr>
                <w:rFonts w:hint="eastAsia" w:ascii="宋体" w:hAnsi="宋体" w:cs="宋体"/>
                <w:color w:val="auto"/>
                <w:highlight w:val="none"/>
                <w:lang w:val="en-US" w:eastAsia="zh-CN" w:bidi="ar"/>
              </w:rPr>
              <w:t>30</w:t>
            </w:r>
            <w:r>
              <w:rPr>
                <w:rFonts w:hint="eastAsia" w:ascii="宋体" w:hAnsi="宋体" w:cs="宋体"/>
                <w:color w:val="auto"/>
                <w:highlight w:val="none"/>
              </w:rPr>
              <w:t>分;</w:t>
            </w:r>
          </w:p>
          <w:p w14:paraId="41E6B888">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rPr>
            </w:pPr>
            <w:r>
              <w:rPr>
                <w:rFonts w:hint="eastAsia" w:ascii="宋体" w:hAnsi="宋体" w:cs="宋体"/>
                <w:color w:val="auto"/>
                <w:highlight w:val="none"/>
              </w:rPr>
              <w:t xml:space="preserve">②方案合理，有一定针对性，得 </w:t>
            </w:r>
            <w:r>
              <w:rPr>
                <w:rFonts w:hint="eastAsia" w:ascii="宋体" w:hAnsi="宋体" w:cs="宋体"/>
                <w:color w:val="auto"/>
                <w:highlight w:val="none"/>
                <w:lang w:val="en-US" w:eastAsia="zh-CN" w:bidi="ar"/>
              </w:rPr>
              <w:t>11</w:t>
            </w:r>
            <w:r>
              <w:rPr>
                <w:rFonts w:hint="eastAsia" w:ascii="宋体" w:hAnsi="宋体" w:cs="宋体"/>
                <w:color w:val="auto"/>
                <w:highlight w:val="none"/>
                <w:lang w:bidi="ar"/>
              </w:rPr>
              <w:t>-</w:t>
            </w:r>
            <w:r>
              <w:rPr>
                <w:rFonts w:hint="eastAsia" w:ascii="宋体" w:hAnsi="宋体" w:cs="宋体"/>
                <w:color w:val="auto"/>
                <w:highlight w:val="none"/>
                <w:lang w:val="en-US" w:eastAsia="zh-CN" w:bidi="ar"/>
              </w:rPr>
              <w:t>20</w:t>
            </w:r>
            <w:r>
              <w:rPr>
                <w:rFonts w:hint="eastAsia" w:ascii="宋体" w:hAnsi="宋体" w:cs="宋体"/>
                <w:color w:val="auto"/>
                <w:highlight w:val="none"/>
              </w:rPr>
              <w:t>分;</w:t>
            </w:r>
          </w:p>
          <w:p w14:paraId="7EFF5F56">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rPr>
              <w:t>③方案一般，有少部分内容具有针对性，得</w:t>
            </w:r>
            <w:r>
              <w:rPr>
                <w:rFonts w:hint="eastAsia" w:ascii="宋体" w:hAnsi="宋体" w:cs="宋体"/>
                <w:color w:val="auto"/>
                <w:highlight w:val="none"/>
                <w:lang w:val="en-US" w:eastAsia="zh-CN"/>
              </w:rPr>
              <w:t>0</w:t>
            </w:r>
            <w:r>
              <w:rPr>
                <w:rFonts w:hint="eastAsia" w:ascii="宋体" w:hAnsi="宋体" w:cs="宋体"/>
                <w:color w:val="auto"/>
                <w:highlight w:val="none"/>
                <w:lang w:bidi="ar"/>
              </w:rPr>
              <w:t>-</w:t>
            </w:r>
            <w:r>
              <w:rPr>
                <w:rFonts w:hint="eastAsia" w:ascii="宋体" w:hAnsi="宋体" w:cs="宋体"/>
                <w:color w:val="auto"/>
                <w:highlight w:val="none"/>
                <w:lang w:val="en-US" w:eastAsia="zh-CN" w:bidi="ar"/>
              </w:rPr>
              <w:t>10</w:t>
            </w:r>
            <w:r>
              <w:rPr>
                <w:rFonts w:hint="eastAsia" w:ascii="宋体" w:hAnsi="宋体" w:cs="宋体"/>
                <w:color w:val="auto"/>
                <w:highlight w:val="none"/>
              </w:rPr>
              <w:t>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71157">
            <w:pPr>
              <w:keepNext w:val="0"/>
              <w:keepLines w:val="0"/>
              <w:pageBreakBefore w:val="0"/>
              <w:widowControl w:val="0"/>
              <w:kinsoku/>
              <w:wordWrap/>
              <w:overflowPunct/>
              <w:topLinePunct w:val="0"/>
              <w:autoSpaceDE/>
              <w:autoSpaceDN/>
              <w:bidi w:val="0"/>
              <w:adjustRightInd/>
              <w:snapToGrid/>
              <w:ind w:firstLine="0"/>
              <w:jc w:val="center"/>
              <w:textAlignment w:val="center"/>
              <w:rPr>
                <w:rFonts w:hint="default"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lang w:val="en-US" w:eastAsia="zh-CN"/>
              </w:rPr>
              <w:t>30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28642">
            <w:pPr>
              <w:keepNext w:val="0"/>
              <w:keepLines w:val="0"/>
              <w:pageBreakBefore w:val="0"/>
              <w:widowControl w:val="0"/>
              <w:kinsoku/>
              <w:wordWrap/>
              <w:overflowPunct/>
              <w:topLinePunct w:val="0"/>
              <w:autoSpaceDE/>
              <w:autoSpaceDN/>
              <w:bidi w:val="0"/>
              <w:adjustRightInd/>
              <w:snapToGrid/>
              <w:ind w:firstLine="0"/>
              <w:jc w:val="center"/>
              <w:rPr>
                <w:rFonts w:ascii="宋体" w:hAnsi="宋体" w:cs="宋体"/>
                <w:color w:val="auto"/>
                <w:highlight w:val="none"/>
              </w:rPr>
            </w:pPr>
          </w:p>
        </w:tc>
      </w:tr>
      <w:tr w14:paraId="222E356B">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51582">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eastAsiaTheme="minorEastAsia"/>
                <w:color w:val="auto"/>
                <w:highlight w:val="none"/>
                <w:lang w:eastAsia="zh-CN"/>
              </w:rPr>
            </w:pPr>
            <w:r>
              <w:rPr>
                <w:rFonts w:hint="eastAsia" w:ascii="宋体" w:hAnsi="宋体" w:cs="宋体"/>
                <w:color w:val="auto"/>
                <w:highlight w:val="none"/>
                <w:lang w:val="en-US" w:eastAsia="zh-CN" w:bidi="ar"/>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74C74">
            <w:pPr>
              <w:keepNext w:val="0"/>
              <w:keepLines w:val="0"/>
              <w:pageBreakBefore w:val="0"/>
              <w:widowControl w:val="0"/>
              <w:kinsoku/>
              <w:wordWrap/>
              <w:overflowPunct/>
              <w:topLinePunct w:val="0"/>
              <w:autoSpaceDE/>
              <w:autoSpaceDN/>
              <w:bidi w:val="0"/>
              <w:adjustRightInd/>
              <w:snapToGrid/>
              <w:ind w:firstLine="0"/>
              <w:jc w:val="both"/>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进度计划:</w:t>
            </w:r>
          </w:p>
          <w:p w14:paraId="4344F914">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w:t>
            </w:r>
          </w:p>
          <w:p w14:paraId="66E3255D">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评审)</w:t>
            </w:r>
          </w:p>
          <w:p w14:paraId="5407CA3C">
            <w:pPr>
              <w:pStyle w:val="16"/>
              <w:rPr>
                <w:color w:val="auto"/>
                <w:highlight w:val="none"/>
              </w:rPr>
            </w:pPr>
            <w:r>
              <w:rPr>
                <w:rFonts w:hint="eastAsia" w:ascii="宋体" w:hAnsi="宋体" w:eastAsia="宋体"/>
                <w:color w:val="auto"/>
                <w:sz w:val="24"/>
                <w:szCs w:val="24"/>
                <w:highlight w:val="none"/>
                <w:u w:val="single"/>
                <w:lang w:val="en-US" w:eastAsia="zh-CN"/>
              </w:rPr>
              <w:t>总工期：194日历天</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0D188">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工期大于工期要求的得0分，小于等于工期要求的按如下计分:</w:t>
            </w:r>
          </w:p>
          <w:p w14:paraId="3078B86A">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根据进度计划编排的合理性、施工内容分解列项的详细程度、工序穿插及搭接的合理性、劳动力配备的人数及工作时长、计划编制的形式等情况分三档评分:</w:t>
            </w:r>
          </w:p>
          <w:p w14:paraId="1E8EDCFE">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①优秀得8-10分；</w:t>
            </w:r>
          </w:p>
          <w:p w14:paraId="4F2E94A5">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②良好得4-7分；</w:t>
            </w:r>
          </w:p>
          <w:p w14:paraId="0FA8C876">
            <w:pPr>
              <w:keepNext w:val="0"/>
              <w:keepLines w:val="0"/>
              <w:pageBreakBefore w:val="0"/>
              <w:widowControl w:val="0"/>
              <w:kinsoku/>
              <w:wordWrap/>
              <w:overflowPunct/>
              <w:topLinePunct w:val="0"/>
              <w:autoSpaceDE/>
              <w:autoSpaceDN/>
              <w:bidi w:val="0"/>
              <w:adjustRightInd/>
              <w:snapToGrid/>
              <w:ind w:firstLine="0"/>
              <w:jc w:val="left"/>
              <w:textAlignment w:val="center"/>
              <w:rPr>
                <w:rFonts w:ascii="宋体" w:hAnsi="宋体" w:cs="宋体"/>
                <w:color w:val="auto"/>
                <w:highlight w:val="none"/>
                <w:lang w:bidi="ar"/>
              </w:rPr>
            </w:pPr>
            <w:r>
              <w:rPr>
                <w:rFonts w:hint="eastAsia" w:ascii="宋体" w:hAnsi="宋体" w:cs="宋体"/>
                <w:color w:val="auto"/>
                <w:highlight w:val="none"/>
                <w:lang w:val="en-US" w:eastAsia="zh-CN" w:bidi="ar"/>
              </w:rPr>
              <w:t>③一般得0-3分。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46E7A">
            <w:pPr>
              <w:keepNext w:val="0"/>
              <w:keepLines w:val="0"/>
              <w:pageBreakBefore w:val="0"/>
              <w:widowControl w:val="0"/>
              <w:kinsoku/>
              <w:wordWrap/>
              <w:overflowPunct/>
              <w:topLinePunct w:val="0"/>
              <w:autoSpaceDE/>
              <w:autoSpaceDN/>
              <w:bidi w:val="0"/>
              <w:adjustRightInd/>
              <w:snapToGrid/>
              <w:ind w:firstLine="0"/>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6D06">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color w:val="auto"/>
                <w:highlight w:val="none"/>
              </w:rPr>
            </w:pPr>
          </w:p>
        </w:tc>
      </w:tr>
      <w:tr w14:paraId="15D30230">
        <w:tblPrEx>
          <w:tblCellMar>
            <w:top w:w="0" w:type="dxa"/>
            <w:left w:w="108" w:type="dxa"/>
            <w:bottom w:w="0" w:type="dxa"/>
            <w:right w:w="108" w:type="dxa"/>
          </w:tblCellMar>
        </w:tblPrEx>
        <w:trPr>
          <w:trHeight w:val="540" w:hRule="atLeast"/>
          <w:jc w:val="center"/>
        </w:trPr>
        <w:tc>
          <w:tcPr>
            <w:tcW w:w="16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9FCBC">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76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50A4">
            <w:pPr>
              <w:keepNext w:val="0"/>
              <w:keepLines w:val="0"/>
              <w:pageBreakBefore w:val="0"/>
              <w:widowControl w:val="0"/>
              <w:kinsoku/>
              <w:wordWrap/>
              <w:overflowPunct/>
              <w:topLinePunct w:val="0"/>
              <w:autoSpaceDE/>
              <w:autoSpaceDN/>
              <w:bidi w:val="0"/>
              <w:adjustRightInd/>
              <w:snapToGrid/>
              <w:ind w:firstLine="0"/>
              <w:jc w:val="center"/>
              <w:rPr>
                <w:rFonts w:ascii="宋体" w:hAnsi="宋体" w:cs="宋体"/>
                <w:color w:val="auto"/>
                <w:sz w:val="22"/>
                <w:highlight w:val="none"/>
              </w:rPr>
            </w:pPr>
          </w:p>
        </w:tc>
      </w:tr>
    </w:tbl>
    <w:p w14:paraId="330E608A">
      <w:pPr>
        <w:rPr>
          <w:b/>
          <w:bCs/>
          <w:color w:val="auto"/>
          <w:highlight w:val="none"/>
        </w:rPr>
      </w:pPr>
    </w:p>
    <w:p w14:paraId="2D567F77">
      <w:pPr>
        <w:rPr>
          <w:b/>
          <w:bCs/>
          <w:color w:val="auto"/>
          <w:highlight w:val="none"/>
        </w:rPr>
      </w:pPr>
    </w:p>
    <w:p w14:paraId="0D9D4127">
      <w:pPr>
        <w:rPr>
          <w:b/>
          <w:bCs/>
          <w:color w:val="auto"/>
          <w:highlight w:val="none"/>
        </w:rPr>
      </w:pPr>
    </w:p>
    <w:p w14:paraId="0EBCAC2E">
      <w:pPr>
        <w:rPr>
          <w:b/>
          <w:bCs/>
          <w:color w:val="auto"/>
          <w:highlight w:val="none"/>
        </w:rPr>
      </w:pPr>
    </w:p>
    <w:p w14:paraId="6EC82CE1">
      <w:pPr>
        <w:rPr>
          <w:b/>
          <w:bCs/>
          <w:color w:val="auto"/>
          <w:highlight w:val="none"/>
        </w:rPr>
      </w:pPr>
    </w:p>
    <w:p w14:paraId="321A287D">
      <w:pPr>
        <w:rPr>
          <w:b/>
          <w:bCs/>
          <w:color w:val="auto"/>
          <w:highlight w:val="none"/>
        </w:rPr>
      </w:pPr>
      <w:r>
        <w:rPr>
          <w:b/>
          <w:bCs/>
          <w:color w:val="auto"/>
          <w:highlight w:val="none"/>
        </w:rPr>
        <w:br w:type="page"/>
      </w:r>
    </w:p>
    <w:p w14:paraId="74C0CADC">
      <w:pPr>
        <w:jc w:val="left"/>
        <w:rPr>
          <w:b/>
          <w:bCs/>
          <w:color w:val="auto"/>
          <w:highlight w:val="none"/>
        </w:rPr>
      </w:pPr>
    </w:p>
    <w:p w14:paraId="5B4FCBC7">
      <w:pPr>
        <w:jc w:val="left"/>
        <w:rPr>
          <w:b/>
          <w:bCs/>
          <w:color w:val="auto"/>
          <w:highlight w:val="none"/>
        </w:rPr>
      </w:pPr>
      <w:r>
        <w:rPr>
          <w:rFonts w:hint="eastAsia"/>
          <w:b/>
          <w:bCs/>
          <w:color w:val="auto"/>
          <w:highlight w:val="none"/>
        </w:rPr>
        <w:t>附表三《价格文件评分表》</w:t>
      </w:r>
    </w:p>
    <w:p w14:paraId="6DE9839A">
      <w:pPr>
        <w:jc w:val="center"/>
        <w:rPr>
          <w:b/>
          <w:bCs/>
          <w:color w:val="auto"/>
          <w:highlight w:val="none"/>
        </w:rPr>
      </w:pPr>
      <w:r>
        <w:rPr>
          <w:rFonts w:hint="eastAsia"/>
          <w:b/>
          <w:bCs/>
          <w:color w:val="auto"/>
          <w:highlight w:val="none"/>
        </w:rPr>
        <w:t>价格文件评分表</w:t>
      </w:r>
    </w:p>
    <w:tbl>
      <w:tblPr>
        <w:tblStyle w:val="25"/>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1DC13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2CE94E47">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78E0A739">
            <w:pPr>
              <w:spacing w:line="440" w:lineRule="exact"/>
              <w:jc w:val="center"/>
              <w:textAlignment w:val="center"/>
              <w:rPr>
                <w:b/>
                <w:color w:val="auto"/>
                <w:highlight w:val="none"/>
              </w:rPr>
            </w:pPr>
            <w:r>
              <w:rPr>
                <w:rFonts w:hint="eastAsia"/>
                <w:color w:val="auto"/>
                <w:highlight w:val="none"/>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605E5595">
            <w:pPr>
              <w:spacing w:line="440" w:lineRule="exact"/>
              <w:jc w:val="center"/>
              <w:textAlignment w:val="center"/>
              <w:rPr>
                <w:b/>
                <w:bCs/>
                <w:color w:val="auto"/>
                <w:highlight w:val="none"/>
              </w:rPr>
            </w:pPr>
            <w:r>
              <w:rPr>
                <w:rFonts w:hint="eastAsia"/>
                <w:color w:val="auto"/>
                <w:highlight w:val="none"/>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65F9DEDB">
            <w:pPr>
              <w:spacing w:line="440" w:lineRule="exact"/>
              <w:jc w:val="center"/>
              <w:textAlignment w:val="center"/>
              <w:rPr>
                <w:color w:val="auto"/>
                <w:highlight w:val="none"/>
              </w:rPr>
            </w:pPr>
            <w:r>
              <w:rPr>
                <w:rFonts w:hint="eastAsia"/>
                <w:color w:val="auto"/>
                <w:highlight w:val="none"/>
              </w:rPr>
              <w:t>得分</w:t>
            </w:r>
          </w:p>
        </w:tc>
      </w:tr>
      <w:tr w14:paraId="71CA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1D419195">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74AAF25C">
            <w:pPr>
              <w:spacing w:line="440" w:lineRule="exact"/>
              <w:jc w:val="center"/>
              <w:textAlignment w:val="center"/>
              <w:rPr>
                <w:b/>
                <w:color w:val="auto"/>
                <w:highlight w:val="none"/>
              </w:rPr>
            </w:pPr>
            <w:r>
              <w:rPr>
                <w:rFonts w:hint="eastAsia" w:ascii="宋体" w:hAnsi="宋体"/>
                <w:color w:val="auto"/>
                <w:highlight w:val="none"/>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1E3CCD3F">
            <w:pPr>
              <w:pStyle w:val="9"/>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 xml:space="preserve">评标基准价的确定方法 </w:t>
            </w:r>
          </w:p>
          <w:p w14:paraId="269A5003">
            <w:pPr>
              <w:pStyle w:val="9"/>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 xml:space="preserve"> （1）有效报价范围：为通过资格评审、投标总价低于或等于招标控制价的报价，若总报价有算术错误，取经算术错误改正后的总报价（下同）。</w:t>
            </w:r>
          </w:p>
          <w:p w14:paraId="7F0ADFAB">
            <w:pPr>
              <w:pStyle w:val="9"/>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 xml:space="preserve"> （2）确定评标基准价 P。</w:t>
            </w:r>
          </w:p>
          <w:p w14:paraId="4CA9EB8E">
            <w:pPr>
              <w:pStyle w:val="9"/>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 xml:space="preserve"> ☑房屋建筑项目，取大于招标控制价的 85%的有效报价参与评标基准价计算。当参与计算的有效报价数量大于 4 时，参与计算的有效报价由高到低排序后去掉一个最高报价和一个最低报价，其余报价的算术平均值为评标基准价 P。当参与计算的有效报价数量小于等于 4 时，取所有报价的算术平均值为评标基准价 P。当所有有效报价均低于或等于招标控制价的 85%时，否决所有投标。</w:t>
            </w:r>
          </w:p>
          <w:p w14:paraId="79065D8E">
            <w:pPr>
              <w:pStyle w:val="9"/>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ascii="宋体" w:hAnsi="宋体"/>
                <w:color w:val="auto"/>
                <w:sz w:val="24"/>
                <w:highlight w:val="none"/>
              </w:rPr>
            </w:pPr>
            <w:r>
              <w:rPr>
                <w:rFonts w:hint="eastAsia"/>
                <w:color w:val="auto"/>
                <w:highlight w:val="none"/>
              </w:rPr>
              <w:t xml:space="preserve"> □市政基础设施项目，取大于招标控制价的 80%的有效报价参与评标基准价计算。当参与计算的有效报价数量大于 4 时，参与计算的有效报价由高到低排序后去掉一个最高和一个最低报价，其余报价的算术平均值为评标基准价 P。当参与计算的有效报价数量小于等于 4 时，所有报价的算术平均值为评标基准价 P。当所有有效报价均低于或等于招标控制价的 80%时，否决所有投标。</w:t>
            </w:r>
          </w:p>
        </w:tc>
        <w:tc>
          <w:tcPr>
            <w:tcW w:w="2693" w:type="dxa"/>
            <w:tcBorders>
              <w:top w:val="single" w:color="auto" w:sz="4" w:space="0"/>
              <w:left w:val="single" w:color="auto" w:sz="4" w:space="0"/>
              <w:bottom w:val="single" w:color="auto" w:sz="4" w:space="0"/>
              <w:right w:val="single" w:color="auto" w:sz="4" w:space="0"/>
            </w:tcBorders>
            <w:vAlign w:val="center"/>
          </w:tcPr>
          <w:p w14:paraId="047059AA">
            <w:pPr>
              <w:pStyle w:val="11"/>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 xml:space="preserve">报价分评分标准（满分60.00 分） </w:t>
            </w:r>
          </w:p>
          <w:p w14:paraId="724F6F49">
            <w:pPr>
              <w:pStyle w:val="11"/>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总报价得分以60分为基数扣减：</w:t>
            </w:r>
          </w:p>
          <w:p w14:paraId="209634A0">
            <w:pPr>
              <w:pStyle w:val="11"/>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（1）总报价</w:t>
            </w:r>
            <w:r>
              <w:rPr>
                <w:rFonts w:hint="eastAsia"/>
                <w:color w:val="auto"/>
                <w:highlight w:val="none"/>
                <w:lang w:val="en-US" w:eastAsia="zh-CN"/>
              </w:rPr>
              <w:t>等于</w:t>
            </w:r>
            <w:r>
              <w:rPr>
                <w:rFonts w:hint="eastAsia"/>
                <w:color w:val="auto"/>
                <w:highlight w:val="none"/>
              </w:rPr>
              <w:t xml:space="preserve"> P的, 总报价得基本分60分。</w:t>
            </w:r>
          </w:p>
          <w:p w14:paraId="40C3F1FA">
            <w:pPr>
              <w:pStyle w:val="11"/>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color w:val="auto"/>
                <w:highlight w:val="none"/>
              </w:rPr>
            </w:pPr>
            <w:r>
              <w:rPr>
                <w:rFonts w:hint="eastAsia"/>
                <w:color w:val="auto"/>
                <w:highlight w:val="none"/>
              </w:rPr>
              <w:t>（2）总报价高于</w:t>
            </w:r>
            <w:r>
              <w:rPr>
                <w:rFonts w:hint="eastAsia"/>
                <w:color w:val="auto"/>
                <w:highlight w:val="none"/>
                <w:lang w:val="en-US" w:eastAsia="zh-CN"/>
              </w:rPr>
              <w:t>或低于</w:t>
            </w:r>
            <w:r>
              <w:rPr>
                <w:rFonts w:hint="eastAsia"/>
                <w:color w:val="auto"/>
                <w:highlight w:val="none"/>
              </w:rPr>
              <w:t>P的，以60分为基数，每高于</w:t>
            </w:r>
            <w:r>
              <w:rPr>
                <w:rFonts w:hint="eastAsia"/>
                <w:color w:val="auto"/>
                <w:highlight w:val="none"/>
                <w:lang w:val="en-US" w:eastAsia="zh-CN"/>
              </w:rPr>
              <w:t>或每低于</w:t>
            </w:r>
            <w:r>
              <w:rPr>
                <w:rFonts w:hint="eastAsia"/>
                <w:color w:val="auto"/>
                <w:highlight w:val="none"/>
              </w:rPr>
              <w:t>一个百分点扣</w:t>
            </w:r>
            <w:r>
              <w:rPr>
                <w:rFonts w:hint="eastAsia"/>
                <w:color w:val="auto"/>
                <w:highlight w:val="none"/>
                <w:lang w:val="en-US" w:eastAsia="zh-CN"/>
              </w:rPr>
              <w:t>0.5</w:t>
            </w:r>
            <w:r>
              <w:rPr>
                <w:rFonts w:hint="eastAsia"/>
                <w:color w:val="auto"/>
                <w:highlight w:val="none"/>
              </w:rPr>
              <w:t>分，不足一个百分点时，用内插法计算，最多扣 60分。</w:t>
            </w:r>
          </w:p>
        </w:tc>
        <w:tc>
          <w:tcPr>
            <w:tcW w:w="992" w:type="dxa"/>
            <w:tcBorders>
              <w:top w:val="single" w:color="auto" w:sz="4" w:space="0"/>
              <w:left w:val="single" w:color="auto" w:sz="4" w:space="0"/>
              <w:bottom w:val="single" w:color="auto" w:sz="4" w:space="0"/>
              <w:right w:val="single" w:color="auto" w:sz="4" w:space="0"/>
            </w:tcBorders>
            <w:vAlign w:val="center"/>
          </w:tcPr>
          <w:p w14:paraId="57A17CCE">
            <w:pPr>
              <w:keepNext w:val="0"/>
              <w:keepLines w:val="0"/>
              <w:pageBreakBefore w:val="0"/>
              <w:kinsoku/>
              <w:wordWrap/>
              <w:overflowPunct/>
              <w:topLinePunct w:val="0"/>
              <w:autoSpaceDE/>
              <w:autoSpaceDN/>
              <w:bidi w:val="0"/>
              <w:adjustRightInd/>
              <w:snapToGrid/>
              <w:spacing w:line="300" w:lineRule="exact"/>
              <w:jc w:val="center"/>
              <w:textAlignment w:val="center"/>
              <w:rPr>
                <w:rFonts w:ascii="宋体" w:hAnsi="宋体"/>
                <w:color w:val="auto"/>
                <w:highlight w:val="none"/>
              </w:rPr>
            </w:pPr>
          </w:p>
        </w:tc>
      </w:tr>
      <w:tr w14:paraId="1DEB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0092977E">
            <w:pPr>
              <w:spacing w:line="440" w:lineRule="exact"/>
              <w:jc w:val="center"/>
              <w:textAlignment w:val="center"/>
              <w:rPr>
                <w:b/>
                <w:bCs/>
                <w:color w:val="auto"/>
                <w:highlight w:val="none"/>
              </w:rPr>
            </w:pPr>
            <w:r>
              <w:rPr>
                <w:rFonts w:hint="eastAsia"/>
                <w:b/>
                <w:bCs/>
                <w:color w:val="auto"/>
                <w:highlight w:val="none"/>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5B6D0A1E">
            <w:pPr>
              <w:keepNext w:val="0"/>
              <w:keepLines w:val="0"/>
              <w:pageBreakBefore w:val="0"/>
              <w:kinsoku/>
              <w:wordWrap/>
              <w:overflowPunct/>
              <w:topLinePunct w:val="0"/>
              <w:autoSpaceDE/>
              <w:autoSpaceDN/>
              <w:bidi w:val="0"/>
              <w:adjustRightInd/>
              <w:snapToGrid/>
              <w:spacing w:line="300" w:lineRule="exact"/>
              <w:jc w:val="center"/>
              <w:textAlignment w:val="center"/>
              <w:rPr>
                <w:rFonts w:ascii="宋体" w:hAnsi="宋体"/>
                <w:b/>
                <w:bCs/>
                <w:color w:val="auto"/>
                <w:highlight w:val="none"/>
              </w:rPr>
            </w:pPr>
          </w:p>
        </w:tc>
        <w:tc>
          <w:tcPr>
            <w:tcW w:w="2693" w:type="dxa"/>
            <w:tcBorders>
              <w:top w:val="single" w:color="auto" w:sz="4" w:space="0"/>
              <w:left w:val="single" w:color="000000" w:sz="4" w:space="0"/>
              <w:bottom w:val="single" w:color="auto" w:sz="4" w:space="0"/>
              <w:right w:val="single" w:color="000000" w:sz="4" w:space="0"/>
            </w:tcBorders>
            <w:vAlign w:val="center"/>
          </w:tcPr>
          <w:p w14:paraId="507AEF93">
            <w:pPr>
              <w:keepNext w:val="0"/>
              <w:keepLines w:val="0"/>
              <w:pageBreakBefore w:val="0"/>
              <w:kinsoku/>
              <w:wordWrap/>
              <w:overflowPunct/>
              <w:topLinePunct w:val="0"/>
              <w:autoSpaceDE/>
              <w:autoSpaceDN/>
              <w:bidi w:val="0"/>
              <w:adjustRightInd/>
              <w:snapToGrid/>
              <w:spacing w:line="300" w:lineRule="exact"/>
              <w:jc w:val="center"/>
              <w:textAlignment w:val="center"/>
              <w:rPr>
                <w:rFonts w:ascii="宋体" w:hAnsi="宋体"/>
                <w:b/>
                <w:bCs/>
                <w:color w:val="auto"/>
                <w:highlight w:val="none"/>
              </w:rPr>
            </w:pPr>
          </w:p>
        </w:tc>
        <w:tc>
          <w:tcPr>
            <w:tcW w:w="992" w:type="dxa"/>
            <w:tcBorders>
              <w:top w:val="single" w:color="auto" w:sz="4" w:space="0"/>
              <w:left w:val="single" w:color="000000" w:sz="4" w:space="0"/>
              <w:bottom w:val="single" w:color="auto" w:sz="4" w:space="0"/>
              <w:right w:val="single" w:color="auto" w:sz="4" w:space="0"/>
            </w:tcBorders>
            <w:vAlign w:val="center"/>
          </w:tcPr>
          <w:p w14:paraId="5EE68796">
            <w:pPr>
              <w:keepNext w:val="0"/>
              <w:keepLines w:val="0"/>
              <w:pageBreakBefore w:val="0"/>
              <w:kinsoku/>
              <w:wordWrap/>
              <w:overflowPunct/>
              <w:topLinePunct w:val="0"/>
              <w:autoSpaceDE/>
              <w:autoSpaceDN/>
              <w:bidi w:val="0"/>
              <w:adjustRightInd/>
              <w:snapToGrid/>
              <w:spacing w:line="300" w:lineRule="exact"/>
              <w:jc w:val="center"/>
              <w:textAlignment w:val="center"/>
              <w:rPr>
                <w:rFonts w:ascii="宋体" w:hAnsi="宋体"/>
                <w:b/>
                <w:bCs/>
                <w:color w:val="auto"/>
                <w:highlight w:val="none"/>
              </w:rPr>
            </w:pPr>
          </w:p>
        </w:tc>
      </w:tr>
    </w:tbl>
    <w:p w14:paraId="42843BC7">
      <w:pPr>
        <w:pStyle w:val="11"/>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38793D94">
      <w:pPr>
        <w:jc w:val="center"/>
        <w:rPr>
          <w:b/>
          <w:bCs/>
          <w:color w:val="auto"/>
          <w:highlight w:val="none"/>
        </w:rPr>
      </w:pPr>
      <w:r>
        <w:rPr>
          <w:rFonts w:hint="eastAsia"/>
          <w:b/>
          <w:bCs/>
          <w:color w:val="auto"/>
          <w:highlight w:val="none"/>
        </w:rPr>
        <w:t>（如有）比选申请报价修正表</w:t>
      </w:r>
    </w:p>
    <w:tbl>
      <w:tblPr>
        <w:tblStyle w:val="2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A4E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67AA21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1C9AD1C6">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165328A4">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4F5374BC">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702F3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7EAD32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ECDB1F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613041C4">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9823328">
            <w:pPr>
              <w:jc w:val="center"/>
              <w:rPr>
                <w:rFonts w:ascii="宋体" w:hAnsi="宋体"/>
                <w:color w:val="auto"/>
                <w:szCs w:val="21"/>
                <w:highlight w:val="none"/>
              </w:rPr>
            </w:pPr>
          </w:p>
        </w:tc>
      </w:tr>
      <w:tr w14:paraId="53917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9E03CC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74C21E5">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1E06C2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73377B3B">
            <w:pPr>
              <w:jc w:val="center"/>
              <w:rPr>
                <w:rFonts w:ascii="宋体" w:hAnsi="宋体"/>
                <w:color w:val="auto"/>
                <w:szCs w:val="21"/>
                <w:highlight w:val="none"/>
              </w:rPr>
            </w:pPr>
          </w:p>
        </w:tc>
      </w:tr>
      <w:tr w14:paraId="49CA6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E0B725D">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0753C4F4">
            <w:pPr>
              <w:rPr>
                <w:rFonts w:ascii="宋体" w:hAnsi="宋体" w:cs="宋体"/>
                <w:b/>
                <w:color w:val="auto"/>
                <w:szCs w:val="21"/>
                <w:highlight w:val="none"/>
              </w:rPr>
            </w:pPr>
          </w:p>
        </w:tc>
      </w:tr>
      <w:tr w14:paraId="1190F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4FAEE07">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21BF3D1D">
            <w:pPr>
              <w:rPr>
                <w:rFonts w:ascii="宋体" w:hAnsi="宋体" w:cs="宋体"/>
                <w:b/>
                <w:color w:val="auto"/>
                <w:szCs w:val="21"/>
                <w:highlight w:val="none"/>
              </w:rPr>
            </w:pPr>
          </w:p>
        </w:tc>
      </w:tr>
      <w:tr w14:paraId="76AF0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2F35491">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558DF722">
            <w:pPr>
              <w:rPr>
                <w:rFonts w:ascii="宋体" w:hAnsi="宋体" w:cs="宋体"/>
                <w:b/>
                <w:color w:val="auto"/>
                <w:szCs w:val="21"/>
                <w:highlight w:val="none"/>
              </w:rPr>
            </w:pPr>
          </w:p>
        </w:tc>
      </w:tr>
      <w:tr w14:paraId="3DA62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BD012C0">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2200788">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072EB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4A1ED317">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7F9937C5">
            <w:pPr>
              <w:rPr>
                <w:rFonts w:ascii="宋体" w:hAnsi="宋体" w:cs="宋体"/>
                <w:b/>
                <w:color w:val="auto"/>
                <w:szCs w:val="21"/>
                <w:highlight w:val="none"/>
              </w:rPr>
            </w:pPr>
          </w:p>
          <w:p w14:paraId="01A9C32A">
            <w:pPr>
              <w:ind w:left="1050" w:hanging="1051" w:hangingChars="500"/>
              <w:rPr>
                <w:rFonts w:ascii="宋体" w:hAnsi="宋体" w:cs="宋体"/>
                <w:b/>
                <w:color w:val="auto"/>
                <w:szCs w:val="21"/>
                <w:highlight w:val="none"/>
              </w:rPr>
            </w:pPr>
          </w:p>
          <w:p w14:paraId="2A2FAE98">
            <w:pPr>
              <w:ind w:left="1050" w:hanging="1051" w:hangingChars="500"/>
              <w:rPr>
                <w:rFonts w:ascii="宋体" w:hAnsi="宋体" w:cs="宋体"/>
                <w:b/>
                <w:color w:val="auto"/>
                <w:szCs w:val="21"/>
                <w:highlight w:val="none"/>
              </w:rPr>
            </w:pPr>
          </w:p>
          <w:p w14:paraId="108C2296">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71B2971E">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53763A9F">
      <w:pPr>
        <w:widowControl/>
        <w:jc w:val="left"/>
        <w:rPr>
          <w:b/>
          <w:bCs/>
          <w:color w:val="auto"/>
          <w:highlight w:val="none"/>
        </w:rPr>
      </w:pPr>
      <w:r>
        <w:rPr>
          <w:b/>
          <w:bCs/>
          <w:color w:val="auto"/>
          <w:highlight w:val="none"/>
        </w:rPr>
        <w:br w:type="page"/>
      </w:r>
    </w:p>
    <w:p w14:paraId="041A444D">
      <w:pPr>
        <w:jc w:val="left"/>
        <w:rPr>
          <w:b/>
          <w:bCs/>
          <w:color w:val="auto"/>
          <w:highlight w:val="none"/>
        </w:rPr>
      </w:pPr>
      <w:r>
        <w:rPr>
          <w:rFonts w:hint="eastAsia"/>
          <w:b/>
          <w:bCs/>
          <w:color w:val="auto"/>
          <w:highlight w:val="none"/>
        </w:rPr>
        <w:t>附表四评审得分汇总表</w:t>
      </w:r>
    </w:p>
    <w:p w14:paraId="72570243">
      <w:pPr>
        <w:pStyle w:val="11"/>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26"/>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52C4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59DD1DDF">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449D1989">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1BC82408">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7A1FCB27">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727C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430623C8">
            <w:pPr>
              <w:pStyle w:val="11"/>
              <w:jc w:val="center"/>
              <w:rPr>
                <w:rFonts w:hAnsi="宋体"/>
                <w:b/>
                <w:color w:val="auto"/>
                <w:highlight w:val="none"/>
              </w:rPr>
            </w:pPr>
            <w:r>
              <w:rPr>
                <w:rFonts w:hint="eastAsia" w:hAnsi="宋体"/>
                <w:b/>
                <w:color w:val="auto"/>
                <w:highlight w:val="none"/>
              </w:rPr>
              <w:t>1</w:t>
            </w:r>
          </w:p>
        </w:tc>
        <w:tc>
          <w:tcPr>
            <w:tcW w:w="2694" w:type="dxa"/>
            <w:vAlign w:val="center"/>
          </w:tcPr>
          <w:p w14:paraId="5F93C3E2">
            <w:pPr>
              <w:pStyle w:val="11"/>
              <w:jc w:val="center"/>
              <w:rPr>
                <w:rFonts w:hAnsi="宋体"/>
                <w:b/>
                <w:color w:val="auto"/>
                <w:highlight w:val="none"/>
              </w:rPr>
            </w:pPr>
            <w:r>
              <w:rPr>
                <w:rFonts w:hint="eastAsia" w:hAnsi="宋体"/>
                <w:b/>
                <w:color w:val="auto"/>
                <w:highlight w:val="none"/>
              </w:rPr>
              <w:t>技术文件得分</w:t>
            </w:r>
          </w:p>
        </w:tc>
        <w:tc>
          <w:tcPr>
            <w:tcW w:w="2409" w:type="dxa"/>
            <w:vAlign w:val="center"/>
          </w:tcPr>
          <w:p w14:paraId="65EC4AB5">
            <w:pPr>
              <w:pStyle w:val="11"/>
              <w:jc w:val="center"/>
              <w:rPr>
                <w:rFonts w:hint="default" w:hAnsi="宋体" w:eastAsia="宋体"/>
                <w:b/>
                <w:color w:val="auto"/>
                <w:highlight w:val="none"/>
                <w:lang w:val="en-US" w:eastAsia="zh-CN"/>
              </w:rPr>
            </w:pPr>
            <w:r>
              <w:rPr>
                <w:rFonts w:hint="eastAsia" w:hAnsi="宋体"/>
                <w:b/>
                <w:color w:val="auto"/>
                <w:highlight w:val="none"/>
                <w:lang w:val="en-US" w:eastAsia="zh-CN"/>
              </w:rPr>
              <w:t>40</w:t>
            </w:r>
          </w:p>
        </w:tc>
        <w:tc>
          <w:tcPr>
            <w:tcW w:w="1985" w:type="dxa"/>
            <w:vAlign w:val="center"/>
          </w:tcPr>
          <w:p w14:paraId="7E19F410">
            <w:pPr>
              <w:pStyle w:val="11"/>
              <w:jc w:val="center"/>
              <w:rPr>
                <w:rFonts w:hAnsi="宋体"/>
                <w:b/>
                <w:color w:val="auto"/>
                <w:highlight w:val="none"/>
              </w:rPr>
            </w:pPr>
          </w:p>
        </w:tc>
      </w:tr>
      <w:tr w14:paraId="5E95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3FBCB50F">
            <w:pPr>
              <w:pStyle w:val="11"/>
              <w:jc w:val="center"/>
              <w:rPr>
                <w:rFonts w:hAnsi="宋体"/>
                <w:b/>
                <w:color w:val="auto"/>
                <w:highlight w:val="none"/>
              </w:rPr>
            </w:pPr>
            <w:r>
              <w:rPr>
                <w:rFonts w:hint="eastAsia" w:hAnsi="宋体"/>
                <w:b/>
                <w:color w:val="auto"/>
                <w:highlight w:val="none"/>
              </w:rPr>
              <w:t>2</w:t>
            </w:r>
          </w:p>
        </w:tc>
        <w:tc>
          <w:tcPr>
            <w:tcW w:w="2694" w:type="dxa"/>
            <w:vAlign w:val="center"/>
          </w:tcPr>
          <w:p w14:paraId="0E456BB6">
            <w:pPr>
              <w:pStyle w:val="11"/>
              <w:jc w:val="center"/>
              <w:rPr>
                <w:rFonts w:hAnsi="宋体"/>
                <w:b/>
                <w:color w:val="auto"/>
                <w:highlight w:val="none"/>
              </w:rPr>
            </w:pPr>
            <w:r>
              <w:rPr>
                <w:rFonts w:hint="eastAsia" w:hAnsi="宋体"/>
                <w:b/>
                <w:color w:val="auto"/>
                <w:highlight w:val="none"/>
              </w:rPr>
              <w:t>价格文件得分</w:t>
            </w:r>
          </w:p>
        </w:tc>
        <w:tc>
          <w:tcPr>
            <w:tcW w:w="2409" w:type="dxa"/>
            <w:vAlign w:val="center"/>
          </w:tcPr>
          <w:p w14:paraId="200CBDEE">
            <w:pPr>
              <w:pStyle w:val="11"/>
              <w:jc w:val="center"/>
              <w:rPr>
                <w:rFonts w:hint="default" w:hAnsi="宋体" w:eastAsia="宋体"/>
                <w:b/>
                <w:color w:val="auto"/>
                <w:highlight w:val="none"/>
                <w:lang w:val="en-US" w:eastAsia="zh-CN"/>
              </w:rPr>
            </w:pPr>
            <w:r>
              <w:rPr>
                <w:rFonts w:hint="eastAsia" w:hAnsi="宋体"/>
                <w:b/>
                <w:color w:val="auto"/>
                <w:highlight w:val="none"/>
                <w:lang w:val="en-US" w:eastAsia="zh-CN"/>
              </w:rPr>
              <w:t>60</w:t>
            </w:r>
          </w:p>
        </w:tc>
        <w:tc>
          <w:tcPr>
            <w:tcW w:w="1985" w:type="dxa"/>
            <w:vAlign w:val="center"/>
          </w:tcPr>
          <w:p w14:paraId="395AC5C1">
            <w:pPr>
              <w:pStyle w:val="11"/>
              <w:ind w:left="0" w:firstLine="0"/>
              <w:jc w:val="center"/>
              <w:rPr>
                <w:rFonts w:hAnsi="宋体"/>
                <w:b/>
                <w:color w:val="auto"/>
                <w:highlight w:val="none"/>
              </w:rPr>
            </w:pPr>
          </w:p>
        </w:tc>
      </w:tr>
      <w:tr w14:paraId="26C8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3069CAE4">
            <w:pPr>
              <w:pStyle w:val="11"/>
              <w:jc w:val="center"/>
              <w:rPr>
                <w:rFonts w:hAnsi="宋体"/>
                <w:b/>
                <w:color w:val="auto"/>
                <w:highlight w:val="none"/>
              </w:rPr>
            </w:pPr>
            <w:r>
              <w:rPr>
                <w:rFonts w:hint="eastAsia" w:hAnsi="宋体"/>
                <w:b/>
                <w:color w:val="auto"/>
                <w:highlight w:val="none"/>
              </w:rPr>
              <w:t>最终得分（合计）</w:t>
            </w:r>
          </w:p>
        </w:tc>
        <w:tc>
          <w:tcPr>
            <w:tcW w:w="1985" w:type="dxa"/>
            <w:vAlign w:val="center"/>
          </w:tcPr>
          <w:p w14:paraId="6C84A74D">
            <w:pPr>
              <w:pStyle w:val="11"/>
              <w:jc w:val="center"/>
              <w:rPr>
                <w:rFonts w:hAnsi="宋体"/>
                <w:b/>
                <w:color w:val="auto"/>
                <w:highlight w:val="none"/>
              </w:rPr>
            </w:pPr>
          </w:p>
        </w:tc>
      </w:tr>
    </w:tbl>
    <w:p w14:paraId="60395B0B">
      <w:pPr>
        <w:rPr>
          <w:b/>
          <w:bCs/>
          <w:color w:val="auto"/>
          <w:highlight w:val="none"/>
        </w:rPr>
      </w:pPr>
    </w:p>
    <w:p w14:paraId="68E2D30D">
      <w:pPr>
        <w:rPr>
          <w:b/>
          <w:bCs/>
          <w:color w:val="auto"/>
          <w:highlight w:val="none"/>
        </w:rPr>
      </w:pPr>
    </w:p>
    <w:p w14:paraId="263A71CE">
      <w:pPr>
        <w:rPr>
          <w:b/>
          <w:bCs/>
          <w:color w:val="auto"/>
          <w:highlight w:val="none"/>
        </w:rPr>
      </w:pPr>
    </w:p>
    <w:p w14:paraId="18E47F77">
      <w:pPr>
        <w:pStyle w:val="9"/>
        <w:rPr>
          <w:color w:val="auto"/>
          <w:highlight w:val="none"/>
        </w:rPr>
      </w:pPr>
    </w:p>
    <w:p w14:paraId="2B807956">
      <w:pPr>
        <w:rPr>
          <w:b/>
          <w:bCs/>
          <w:color w:val="auto"/>
          <w:highlight w:val="none"/>
        </w:rPr>
      </w:pPr>
    </w:p>
    <w:p w14:paraId="617522EE">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01317E9">
      <w:pPr>
        <w:rPr>
          <w:b/>
          <w:bCs/>
          <w:color w:val="auto"/>
          <w:highlight w:val="none"/>
        </w:rPr>
      </w:pPr>
    </w:p>
    <w:p w14:paraId="486F4071">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68F4C5C8">
      <w:pPr>
        <w:jc w:val="center"/>
        <w:rPr>
          <w:rFonts w:ascii="宋体" w:hAnsi="宋体" w:eastAsia="宋体"/>
          <w:b/>
          <w:bCs/>
          <w:color w:val="auto"/>
          <w:sz w:val="36"/>
          <w:szCs w:val="36"/>
          <w:highlight w:val="none"/>
        </w:rPr>
      </w:pPr>
    </w:p>
    <w:p w14:paraId="7122917E">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0DF4C30">
      <w:pPr>
        <w:jc w:val="center"/>
        <w:rPr>
          <w:rFonts w:ascii="宋体" w:hAnsi="宋体" w:eastAsia="宋体"/>
          <w:b/>
          <w:bCs/>
          <w:color w:val="auto"/>
          <w:sz w:val="36"/>
          <w:szCs w:val="36"/>
          <w:highlight w:val="none"/>
        </w:rPr>
      </w:pPr>
    </w:p>
    <w:p w14:paraId="1E7D3D62">
      <w:pPr>
        <w:jc w:val="center"/>
        <w:rPr>
          <w:rFonts w:ascii="宋体" w:hAnsi="宋体" w:eastAsia="宋体"/>
          <w:b/>
          <w:bCs/>
          <w:color w:val="auto"/>
          <w:sz w:val="36"/>
          <w:szCs w:val="36"/>
          <w:highlight w:val="none"/>
        </w:rPr>
      </w:pPr>
    </w:p>
    <w:p w14:paraId="7A15183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4F47503">
      <w:pPr>
        <w:jc w:val="center"/>
        <w:rPr>
          <w:rFonts w:ascii="宋体" w:hAnsi="宋体" w:eastAsia="宋体"/>
          <w:color w:val="auto"/>
          <w:sz w:val="52"/>
          <w:szCs w:val="52"/>
          <w:highlight w:val="none"/>
          <w:u w:val="single"/>
        </w:rPr>
      </w:pPr>
    </w:p>
    <w:p w14:paraId="4995D0D5">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eastAsia="zh-CN"/>
        </w:rPr>
        <w:t>广西大学机械教学实验中心大楼项目精装修工程专业分包专业分包</w:t>
      </w:r>
    </w:p>
    <w:p w14:paraId="5CD8C2F6">
      <w:pPr>
        <w:jc w:val="center"/>
        <w:rPr>
          <w:rFonts w:ascii="宋体" w:hAnsi="宋体" w:eastAsia="宋体"/>
          <w:color w:val="auto"/>
          <w:sz w:val="36"/>
          <w:szCs w:val="36"/>
          <w:highlight w:val="none"/>
        </w:rPr>
      </w:pPr>
    </w:p>
    <w:p w14:paraId="2C41A99F">
      <w:pPr>
        <w:jc w:val="center"/>
        <w:rPr>
          <w:rFonts w:ascii="宋体" w:hAnsi="宋体" w:eastAsia="宋体"/>
          <w:color w:val="auto"/>
          <w:sz w:val="36"/>
          <w:szCs w:val="36"/>
          <w:highlight w:val="none"/>
        </w:rPr>
      </w:pPr>
    </w:p>
    <w:p w14:paraId="4D3364EC">
      <w:pPr>
        <w:jc w:val="center"/>
        <w:rPr>
          <w:rFonts w:ascii="宋体" w:hAnsi="宋体" w:eastAsia="宋体"/>
          <w:color w:val="auto"/>
          <w:sz w:val="36"/>
          <w:szCs w:val="36"/>
          <w:highlight w:val="none"/>
        </w:rPr>
      </w:pPr>
    </w:p>
    <w:p w14:paraId="71F66CAC">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4C48F857">
      <w:pPr>
        <w:jc w:val="center"/>
        <w:rPr>
          <w:rFonts w:ascii="宋体" w:hAnsi="宋体" w:eastAsia="宋体"/>
          <w:color w:val="auto"/>
          <w:sz w:val="36"/>
          <w:szCs w:val="36"/>
          <w:highlight w:val="none"/>
        </w:rPr>
      </w:pPr>
    </w:p>
    <w:p w14:paraId="0F73A822">
      <w:pPr>
        <w:jc w:val="center"/>
        <w:rPr>
          <w:rFonts w:ascii="宋体" w:hAnsi="宋体" w:eastAsia="宋体"/>
          <w:color w:val="auto"/>
          <w:sz w:val="36"/>
          <w:szCs w:val="36"/>
          <w:highlight w:val="none"/>
        </w:rPr>
      </w:pPr>
    </w:p>
    <w:p w14:paraId="7EFDB646">
      <w:pPr>
        <w:jc w:val="center"/>
        <w:rPr>
          <w:rFonts w:ascii="宋体" w:hAnsi="宋体" w:eastAsia="宋体"/>
          <w:color w:val="auto"/>
          <w:sz w:val="36"/>
          <w:szCs w:val="36"/>
          <w:highlight w:val="none"/>
        </w:rPr>
      </w:pPr>
    </w:p>
    <w:p w14:paraId="4EBDEB21">
      <w:pPr>
        <w:jc w:val="center"/>
        <w:rPr>
          <w:rFonts w:ascii="宋体" w:hAnsi="宋体" w:eastAsia="宋体"/>
          <w:color w:val="auto"/>
          <w:sz w:val="36"/>
          <w:szCs w:val="36"/>
          <w:highlight w:val="none"/>
        </w:rPr>
      </w:pPr>
    </w:p>
    <w:p w14:paraId="032DE630">
      <w:pPr>
        <w:jc w:val="center"/>
        <w:rPr>
          <w:rFonts w:ascii="宋体" w:hAnsi="宋体" w:eastAsia="宋体"/>
          <w:color w:val="auto"/>
          <w:sz w:val="36"/>
          <w:szCs w:val="36"/>
          <w:highlight w:val="none"/>
        </w:rPr>
      </w:pPr>
    </w:p>
    <w:p w14:paraId="518236B8">
      <w:pPr>
        <w:jc w:val="center"/>
        <w:rPr>
          <w:rFonts w:ascii="宋体" w:hAnsi="宋体" w:eastAsia="宋体"/>
          <w:color w:val="auto"/>
          <w:sz w:val="36"/>
          <w:szCs w:val="36"/>
          <w:highlight w:val="none"/>
        </w:rPr>
      </w:pPr>
    </w:p>
    <w:p w14:paraId="40686E11">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1A43274">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5B9CC8C">
      <w:pPr>
        <w:rPr>
          <w:rFonts w:ascii="宋体" w:hAnsi="宋体" w:eastAsia="宋体"/>
          <w:b/>
          <w:bCs/>
          <w:color w:val="auto"/>
          <w:sz w:val="36"/>
          <w:szCs w:val="36"/>
          <w:highlight w:val="none"/>
        </w:rPr>
      </w:pPr>
    </w:p>
    <w:p w14:paraId="45CCF8B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9939263">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08B9361">
      <w:pPr>
        <w:rPr>
          <w:rFonts w:ascii="宋体" w:hAnsi="宋体" w:eastAsia="宋体"/>
          <w:b/>
          <w:bCs/>
          <w:color w:val="auto"/>
          <w:sz w:val="36"/>
          <w:szCs w:val="36"/>
          <w:highlight w:val="none"/>
        </w:rPr>
      </w:pPr>
    </w:p>
    <w:p w14:paraId="6B45422C">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7AD02872">
      <w:pPr>
        <w:rPr>
          <w:rFonts w:hint="eastAsia" w:ascii="宋体" w:hAnsi="宋体" w:eastAsia="宋体"/>
          <w:b/>
          <w:bCs/>
          <w:color w:val="auto"/>
          <w:sz w:val="30"/>
          <w:szCs w:val="30"/>
          <w:highlight w:val="none"/>
          <w:lang w:eastAsia="zh-CN"/>
        </w:rPr>
      </w:pPr>
      <w:r>
        <w:rPr>
          <w:rFonts w:hint="eastAsia" w:ascii="宋体" w:hAnsi="宋体" w:eastAsia="宋体"/>
          <w:b/>
          <w:bCs/>
          <w:color w:val="auto"/>
          <w:sz w:val="30"/>
          <w:szCs w:val="30"/>
          <w:highlight w:val="none"/>
        </w:rPr>
        <w:t>第二部分技术文件</w:t>
      </w:r>
    </w:p>
    <w:p w14:paraId="320C34FB">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第二部分报价文件</w:t>
      </w:r>
    </w:p>
    <w:p w14:paraId="74A4612B">
      <w:pPr>
        <w:rPr>
          <w:rFonts w:ascii="宋体" w:hAnsi="宋体" w:eastAsia="宋体" w:cs="宋体"/>
          <w:b/>
          <w:bCs/>
          <w:color w:val="auto"/>
          <w:sz w:val="32"/>
          <w:szCs w:val="32"/>
          <w:highlight w:val="none"/>
        </w:rPr>
      </w:pPr>
    </w:p>
    <w:p w14:paraId="144CAB52">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5623F1A8">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0A1276B5">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7B2A449F">
      <w:pPr>
        <w:pStyle w:val="35"/>
        <w:numPr>
          <w:ilvl w:val="0"/>
          <w:numId w:val="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4E14513D">
      <w:pPr>
        <w:pStyle w:val="35"/>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284F0A49">
      <w:pPr>
        <w:spacing w:line="700" w:lineRule="exact"/>
        <w:ind w:firstLine="612"/>
        <w:rPr>
          <w:rFonts w:ascii="宋体" w:hAnsi="宋体" w:eastAsia="宋体" w:cs="宋体"/>
          <w:color w:val="auto"/>
          <w:sz w:val="24"/>
          <w:szCs w:val="24"/>
          <w:highlight w:val="none"/>
        </w:rPr>
      </w:pPr>
      <w:bookmarkStart w:id="868"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广西大学机械教学实验中心大楼项目精装修工程专业分包专业分包</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68"/>
    </w:p>
    <w:p w14:paraId="7B2C1A70">
      <w:pPr>
        <w:spacing w:line="700" w:lineRule="exact"/>
        <w:ind w:firstLine="480" w:firstLineChars="200"/>
        <w:rPr>
          <w:rFonts w:ascii="宋体" w:hAnsi="宋体" w:eastAsia="宋体" w:cs="宋体"/>
          <w:color w:val="auto"/>
          <w:sz w:val="24"/>
          <w:szCs w:val="24"/>
          <w:highlight w:val="none"/>
        </w:rPr>
      </w:pPr>
      <w:bookmarkStart w:id="869" w:name="_Toc251051978"/>
      <w:r>
        <w:rPr>
          <w:rFonts w:hint="eastAsia" w:ascii="宋体" w:hAnsi="宋体" w:eastAsia="宋体" w:cs="宋体"/>
          <w:color w:val="auto"/>
          <w:sz w:val="24"/>
          <w:szCs w:val="24"/>
          <w:highlight w:val="none"/>
        </w:rPr>
        <w:t>代理人无转委托权，特此委托。</w:t>
      </w:r>
      <w:bookmarkEnd w:id="869"/>
    </w:p>
    <w:p w14:paraId="13295310">
      <w:pPr>
        <w:spacing w:line="700" w:lineRule="exact"/>
        <w:rPr>
          <w:rFonts w:ascii="宋体" w:hAnsi="宋体" w:eastAsia="宋体" w:cs="宋体"/>
          <w:color w:val="auto"/>
          <w:sz w:val="24"/>
          <w:szCs w:val="24"/>
          <w:highlight w:val="none"/>
        </w:rPr>
      </w:pPr>
      <w:bookmarkStart w:id="870" w:name="_Toc251051981"/>
    </w:p>
    <w:p w14:paraId="5CEB07A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70"/>
    </w:p>
    <w:p w14:paraId="2BE23BB7">
      <w:pPr>
        <w:spacing w:line="700" w:lineRule="exact"/>
        <w:rPr>
          <w:rFonts w:ascii="宋体" w:hAnsi="宋体" w:eastAsia="宋体" w:cs="宋体"/>
          <w:color w:val="auto"/>
          <w:sz w:val="24"/>
          <w:szCs w:val="24"/>
          <w:highlight w:val="none"/>
        </w:rPr>
      </w:pPr>
      <w:bookmarkStart w:id="871" w:name="_Toc251051979"/>
      <w:bookmarkStart w:id="872"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001AC3D0">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71"/>
      <w:bookmarkStart w:id="873"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72"/>
    <w:bookmarkEnd w:id="873"/>
    <w:p w14:paraId="6CFDF83A">
      <w:pPr>
        <w:spacing w:line="700" w:lineRule="exact"/>
        <w:rPr>
          <w:rFonts w:ascii="宋体" w:hAnsi="宋体" w:eastAsia="宋体" w:cs="宋体"/>
          <w:color w:val="auto"/>
          <w:sz w:val="24"/>
          <w:szCs w:val="24"/>
          <w:highlight w:val="none"/>
        </w:rPr>
      </w:pPr>
      <w:bookmarkStart w:id="874"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74"/>
    </w:p>
    <w:p w14:paraId="1E91FB70">
      <w:pPr>
        <w:spacing w:line="700" w:lineRule="exact"/>
        <w:rPr>
          <w:rFonts w:ascii="宋体" w:hAnsi="宋体" w:eastAsia="宋体" w:cs="宋体"/>
          <w:color w:val="auto"/>
          <w:sz w:val="24"/>
          <w:szCs w:val="24"/>
          <w:highlight w:val="none"/>
        </w:rPr>
      </w:pPr>
    </w:p>
    <w:p w14:paraId="5D14386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0323581">
      <w:pPr>
        <w:jc w:val="center"/>
        <w:rPr>
          <w:rFonts w:ascii="宋体" w:hAnsi="宋体" w:eastAsia="宋体" w:cs="宋体"/>
          <w:b/>
          <w:bCs/>
          <w:color w:val="auto"/>
          <w:sz w:val="36"/>
          <w:szCs w:val="36"/>
          <w:highlight w:val="none"/>
        </w:rPr>
      </w:pPr>
    </w:p>
    <w:p w14:paraId="624F67C5">
      <w:pPr>
        <w:jc w:val="center"/>
        <w:rPr>
          <w:rFonts w:ascii="宋体" w:hAnsi="宋体" w:eastAsia="宋体" w:cs="宋体"/>
          <w:b/>
          <w:bCs/>
          <w:color w:val="auto"/>
          <w:sz w:val="36"/>
          <w:szCs w:val="36"/>
          <w:highlight w:val="none"/>
        </w:rPr>
      </w:pPr>
    </w:p>
    <w:p w14:paraId="7BF41312">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1D4CBC0">
      <w:pPr>
        <w:pStyle w:val="35"/>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1D5F5729">
      <w:pPr>
        <w:spacing w:line="800" w:lineRule="exact"/>
        <w:rPr>
          <w:rFonts w:ascii="宋体" w:hAnsi="宋体" w:eastAsia="宋体" w:cs="宋体"/>
          <w:color w:val="auto"/>
          <w:kern w:val="0"/>
          <w:sz w:val="28"/>
          <w:szCs w:val="28"/>
          <w:highlight w:val="none"/>
        </w:rPr>
      </w:pPr>
    </w:p>
    <w:p w14:paraId="5BEB6DC2">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2E7DC50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069EA398">
      <w:pPr>
        <w:spacing w:line="800" w:lineRule="exact"/>
        <w:rPr>
          <w:rFonts w:ascii="宋体" w:hAnsi="宋体" w:eastAsia="宋体" w:cs="宋体"/>
          <w:color w:val="auto"/>
          <w:sz w:val="28"/>
          <w:szCs w:val="28"/>
          <w:highlight w:val="none"/>
        </w:rPr>
      </w:pPr>
    </w:p>
    <w:p w14:paraId="0927A94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41688F1">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07A82D29">
      <w:pPr>
        <w:jc w:val="center"/>
        <w:rPr>
          <w:rFonts w:ascii="宋体" w:hAnsi="宋体" w:eastAsia="宋体" w:cs="宋体"/>
          <w:b/>
          <w:bCs/>
          <w:color w:val="auto"/>
          <w:sz w:val="36"/>
          <w:szCs w:val="36"/>
          <w:highlight w:val="none"/>
        </w:rPr>
      </w:pPr>
    </w:p>
    <w:p w14:paraId="2FF9FD23">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6DB77377">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E5FC9A5">
      <w:pPr>
        <w:jc w:val="left"/>
        <w:rPr>
          <w:rFonts w:ascii="宋体" w:hAnsi="宋体" w:eastAsia="宋体" w:cs="宋体"/>
          <w:b/>
          <w:bCs/>
          <w:color w:val="auto"/>
          <w:sz w:val="28"/>
          <w:szCs w:val="28"/>
          <w:highlight w:val="none"/>
        </w:rPr>
      </w:pPr>
    </w:p>
    <w:p w14:paraId="0C1BB058">
      <w:pPr>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61FDC131">
      <w:pPr>
        <w:rPr>
          <w:rFonts w:ascii="宋体" w:hAnsi="宋体" w:eastAsia="宋体" w:cs="宋体"/>
          <w:color w:val="auto"/>
          <w:sz w:val="24"/>
          <w:szCs w:val="24"/>
          <w:highlight w:val="none"/>
        </w:rPr>
      </w:pPr>
    </w:p>
    <w:p w14:paraId="420C88C1">
      <w:pPr>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2872F1EF">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41B75980">
      <w:pPr>
        <w:pStyle w:val="35"/>
        <w:ind w:firstLine="0" w:firstLineChars="0"/>
        <w:jc w:val="left"/>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三、类似工程业绩</w:t>
      </w:r>
    </w:p>
    <w:p w14:paraId="593F9CA7">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sz w:val="24"/>
          <w:szCs w:val="28"/>
          <w:highlight w:val="none"/>
          <w:lang w:val="en-US" w:eastAsia="zh-CN"/>
        </w:rPr>
      </w:pPr>
      <w:r>
        <w:rPr>
          <w:rFonts w:hint="eastAsia" w:ascii="宋体" w:hAnsi="宋体" w:cs="宋体"/>
          <w:color w:val="auto"/>
          <w:sz w:val="24"/>
          <w:szCs w:val="28"/>
          <w:highlight w:val="none"/>
        </w:rPr>
        <w:t>提供一个自2022年1月1日至比选申请截止日期至内完成过或在建单项合同金额达500万元及以上装饰装修工程类业绩合同</w:t>
      </w:r>
    </w:p>
    <w:p w14:paraId="0BE30A8D">
      <w:pPr>
        <w:jc w:val="left"/>
        <w:textAlignment w:val="center"/>
        <w:rPr>
          <w:rFonts w:hint="eastAsia" w:ascii="宋体" w:hAnsi="宋体" w:cs="宋体"/>
          <w:color w:val="auto"/>
          <w:sz w:val="24"/>
          <w:szCs w:val="28"/>
          <w:highlight w:val="none"/>
          <w:lang w:bidi="ar"/>
        </w:rPr>
      </w:pPr>
      <w:r>
        <w:rPr>
          <w:rFonts w:hint="eastAsia" w:ascii="宋体" w:hAnsi="宋体" w:cs="宋体"/>
          <w:color w:val="auto"/>
          <w:sz w:val="24"/>
          <w:szCs w:val="28"/>
          <w:highlight w:val="none"/>
          <w:lang w:bidi="ar"/>
        </w:rPr>
        <w:t>提供下述材料之一即可：</w:t>
      </w:r>
    </w:p>
    <w:p w14:paraId="3567F16B">
      <w:pPr>
        <w:jc w:val="left"/>
        <w:textAlignment w:val="center"/>
        <w:rPr>
          <w:rFonts w:hint="eastAsia" w:ascii="宋体" w:hAnsi="宋体" w:cs="宋体"/>
          <w:color w:val="auto"/>
          <w:sz w:val="24"/>
          <w:szCs w:val="28"/>
          <w:highlight w:val="none"/>
          <w:lang w:bidi="ar"/>
        </w:rPr>
      </w:pPr>
      <w:r>
        <w:rPr>
          <w:rFonts w:hint="eastAsia" w:ascii="宋体" w:hAnsi="宋体" w:cs="宋体"/>
          <w:color w:val="auto"/>
          <w:sz w:val="24"/>
          <w:szCs w:val="28"/>
          <w:highlight w:val="none"/>
          <w:lang w:bidi="ar"/>
        </w:rPr>
        <w:t>①合同文件；</w:t>
      </w:r>
    </w:p>
    <w:p w14:paraId="0A22C38C">
      <w:pPr>
        <w:jc w:val="left"/>
        <w:textAlignment w:val="center"/>
        <w:rPr>
          <w:rFonts w:hint="eastAsia" w:ascii="宋体" w:hAnsi="宋体" w:cs="宋体"/>
          <w:color w:val="auto"/>
          <w:sz w:val="24"/>
          <w:szCs w:val="28"/>
          <w:highlight w:val="none"/>
          <w:lang w:bidi="ar"/>
        </w:rPr>
      </w:pPr>
      <w:r>
        <w:rPr>
          <w:rFonts w:hint="eastAsia" w:ascii="宋体" w:hAnsi="宋体" w:cs="宋体"/>
          <w:color w:val="auto"/>
          <w:sz w:val="24"/>
          <w:szCs w:val="28"/>
          <w:highlight w:val="none"/>
          <w:lang w:bidi="ar"/>
        </w:rPr>
        <w:t>②中标通知书。</w:t>
      </w:r>
    </w:p>
    <w:p w14:paraId="503DF88B">
      <w:pPr>
        <w:jc w:val="left"/>
        <w:textAlignment w:val="center"/>
        <w:rPr>
          <w:rFonts w:hint="eastAsia" w:ascii="宋体" w:hAnsi="宋体" w:cs="宋体"/>
          <w:color w:val="auto"/>
          <w:sz w:val="24"/>
          <w:szCs w:val="28"/>
          <w:highlight w:val="none"/>
          <w:lang w:bidi="ar"/>
        </w:rPr>
      </w:pPr>
      <w:r>
        <w:rPr>
          <w:rFonts w:hint="eastAsia" w:ascii="宋体" w:hAnsi="宋体" w:cs="宋体"/>
          <w:color w:val="auto"/>
          <w:sz w:val="24"/>
          <w:szCs w:val="28"/>
          <w:highlight w:val="none"/>
          <w:lang w:bidi="ar"/>
        </w:rPr>
        <w:t>合同内容需体现具体工程内容、合同总价、签约日期。</w:t>
      </w:r>
    </w:p>
    <w:p w14:paraId="3C5FA877">
      <w:pPr>
        <w:rPr>
          <w:rFonts w:hint="eastAsia" w:ascii="宋体" w:hAnsi="宋体" w:eastAsia="宋体" w:cs="宋体"/>
          <w:b/>
          <w:bCs/>
          <w:color w:val="auto"/>
          <w:sz w:val="32"/>
          <w:szCs w:val="32"/>
          <w:highlight w:val="none"/>
          <w:lang w:val="en-US" w:eastAsia="zh-CN"/>
        </w:rPr>
      </w:pPr>
      <w:r>
        <w:rPr>
          <w:rFonts w:hint="eastAsia" w:ascii="宋体" w:hAnsi="宋体" w:cs="宋体"/>
          <w:color w:val="auto"/>
          <w:sz w:val="24"/>
          <w:szCs w:val="28"/>
          <w:highlight w:val="none"/>
          <w:lang w:bidi="ar"/>
        </w:rPr>
        <w:t>所提供的材料须能明确反映类似项目特征</w:t>
      </w:r>
      <w:r>
        <w:rPr>
          <w:rFonts w:hint="eastAsia" w:ascii="宋体" w:hAnsi="宋体" w:cs="宋体"/>
          <w:color w:val="auto"/>
          <w:sz w:val="24"/>
          <w:szCs w:val="28"/>
          <w:highlight w:val="none"/>
          <w:lang w:eastAsia="zh-CN" w:bidi="ar"/>
        </w:rPr>
        <w:t>。</w:t>
      </w:r>
      <w:r>
        <w:rPr>
          <w:rFonts w:hint="eastAsia" w:ascii="宋体" w:hAnsi="宋体" w:eastAsia="宋体" w:cs="宋体"/>
          <w:b/>
          <w:bCs/>
          <w:color w:val="auto"/>
          <w:sz w:val="32"/>
          <w:szCs w:val="32"/>
          <w:highlight w:val="none"/>
          <w:lang w:val="en-US" w:eastAsia="zh-CN"/>
        </w:rPr>
        <w:br w:type="page"/>
      </w:r>
    </w:p>
    <w:p w14:paraId="0F431233">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CEBDC35">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A5439DF">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0DA0BF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广西大学机械教学实验中心大楼项目精装修工程专业分包专业分包</w:t>
      </w:r>
      <w:r>
        <w:rPr>
          <w:rFonts w:hint="eastAsia" w:ascii="宋体" w:hAnsi="宋体" w:eastAsia="宋体" w:cs="宋体"/>
          <w:color w:val="auto"/>
          <w:highlight w:val="none"/>
        </w:rPr>
        <w:t>的比选文件后，我公司经慎重考虑，郑重承诺参加项目的比选申请活动。</w:t>
      </w:r>
    </w:p>
    <w:p w14:paraId="1704770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6C5D70B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0C460A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BA8088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2EC2FE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7F3644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43A092A">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30C7C420">
      <w:pPr>
        <w:spacing w:line="440" w:lineRule="exact"/>
        <w:ind w:firstLine="200"/>
        <w:rPr>
          <w:rFonts w:ascii="宋体" w:hAnsi="宋体" w:eastAsia="宋体" w:cs="宋体"/>
          <w:color w:val="auto"/>
          <w:highlight w:val="none"/>
        </w:rPr>
      </w:pPr>
    </w:p>
    <w:p w14:paraId="4B7A80B8">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5CD7C6EF">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8AA0159">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788D74D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0F903C73">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34CC753C">
      <w:pPr>
        <w:spacing w:line="600" w:lineRule="exact"/>
        <w:ind w:firstLine="560" w:firstLineChars="200"/>
        <w:jc w:val="center"/>
        <w:rPr>
          <w:rFonts w:ascii="宋体" w:hAnsi="宋体" w:eastAsia="宋体" w:cs="宋体"/>
          <w:color w:val="auto"/>
          <w:sz w:val="28"/>
          <w:szCs w:val="28"/>
          <w:highlight w:val="none"/>
        </w:rPr>
      </w:pPr>
    </w:p>
    <w:p w14:paraId="008ABB68">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1BDC066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广西大学机械教学实验中心大楼项目精装修工程专业分包专业分包</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C0A278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F52ECA">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42D19055">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17EDDF89">
      <w:pPr>
        <w:spacing w:line="600" w:lineRule="exact"/>
        <w:jc w:val="left"/>
        <w:rPr>
          <w:rFonts w:ascii="宋体" w:hAnsi="宋体" w:eastAsia="宋体" w:cs="宋体"/>
          <w:color w:val="auto"/>
          <w:sz w:val="28"/>
          <w:szCs w:val="28"/>
          <w:highlight w:val="none"/>
        </w:rPr>
      </w:pPr>
    </w:p>
    <w:p w14:paraId="4EC24CC0">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69ACD978">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427D37CE">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08CBCED8">
      <w:pPr>
        <w:pStyle w:val="9"/>
        <w:rPr>
          <w:rFonts w:ascii="宋体" w:hAnsi="宋体" w:cs="宋体"/>
          <w:color w:val="auto"/>
          <w:sz w:val="24"/>
          <w:szCs w:val="24"/>
          <w:highlight w:val="none"/>
        </w:rPr>
      </w:pPr>
    </w:p>
    <w:p w14:paraId="5414A6E6">
      <w:pPr>
        <w:rPr>
          <w:rFonts w:ascii="宋体" w:hAnsi="宋体" w:eastAsia="宋体" w:cs="宋体"/>
          <w:color w:val="auto"/>
          <w:sz w:val="24"/>
          <w:szCs w:val="24"/>
          <w:highlight w:val="none"/>
        </w:rPr>
      </w:pPr>
    </w:p>
    <w:p w14:paraId="187480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705D094D">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3、专业分包服务承诺书</w:t>
      </w:r>
    </w:p>
    <w:p w14:paraId="6849A4EF">
      <w:pPr>
        <w:spacing w:line="600" w:lineRule="exact"/>
        <w:ind w:firstLine="560" w:firstLineChars="200"/>
        <w:jc w:val="center"/>
        <w:rPr>
          <w:rFonts w:ascii="宋体" w:hAnsi="宋体" w:eastAsia="宋体" w:cs="宋体"/>
          <w:color w:val="auto"/>
          <w:sz w:val="28"/>
          <w:szCs w:val="28"/>
          <w:highlight w:val="none"/>
        </w:rPr>
      </w:pPr>
    </w:p>
    <w:p w14:paraId="3557203E">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7E379497">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我公司承诺如因我公司原因发生税务风险，则我公司愿承担税务风险给贵公司带来的一切损失。</w:t>
      </w:r>
    </w:p>
    <w:p w14:paraId="358A8803">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我公司承诺按贵公司的工期要求，为贵司</w:t>
      </w:r>
      <w:r>
        <w:rPr>
          <w:rFonts w:hint="eastAsia" w:ascii="宋体" w:hAnsi="宋体" w:eastAsia="宋体" w:cs="宋体"/>
          <w:color w:val="auto"/>
          <w:sz w:val="28"/>
          <w:szCs w:val="28"/>
          <w:highlight w:val="none"/>
          <w:u w:val="single"/>
          <w:lang w:eastAsia="zh-CN"/>
        </w:rPr>
        <w:t>广西大学机械教学实验中心大楼项目精装修工程专业分包专业分包</w:t>
      </w:r>
      <w:r>
        <w:rPr>
          <w:rFonts w:hint="eastAsia" w:ascii="宋体" w:hAnsi="宋体" w:eastAsia="宋体" w:cs="宋体"/>
          <w:color w:val="auto"/>
          <w:sz w:val="28"/>
          <w:szCs w:val="28"/>
          <w:highlight w:val="none"/>
        </w:rPr>
        <w:t>提供符合国家、地方的符合施工规范、企业标准等施工服务，提供的样板符合业主公司的选样要求；确保配置足够有丰富经验的施工管理人员和施工作业人员；使用质量安全有保障的工器具；执行符合规范的施工操作流程。如出现时间紧迫情况，我公司承诺及时调配所有资源，保证服务的及时性。</w:t>
      </w:r>
    </w:p>
    <w:p w14:paraId="32CE6989">
      <w:pPr>
        <w:spacing w:line="600" w:lineRule="exact"/>
        <w:ind w:firstLine="200"/>
        <w:rPr>
          <w:rFonts w:ascii="宋体" w:hAnsi="宋体" w:eastAsia="宋体" w:cs="宋体"/>
          <w:color w:val="auto"/>
          <w:sz w:val="28"/>
          <w:szCs w:val="28"/>
          <w:highlight w:val="none"/>
        </w:rPr>
      </w:pPr>
    </w:p>
    <w:p w14:paraId="54A954B5">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A725E71">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5EC3DA98">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2A19B5F7">
      <w:pPr>
        <w:pStyle w:val="8"/>
        <w:rPr>
          <w:color w:val="auto"/>
          <w:highlight w:val="none"/>
        </w:rPr>
      </w:pPr>
    </w:p>
    <w:p w14:paraId="6A48F552">
      <w:pPr>
        <w:pStyle w:val="8"/>
        <w:rPr>
          <w:color w:val="auto"/>
          <w:highlight w:val="none"/>
        </w:rPr>
      </w:pPr>
    </w:p>
    <w:p w14:paraId="41B87DC1">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4322F77E">
      <w:pPr>
        <w:pStyle w:val="35"/>
        <w:ind w:firstLine="0" w:firstLineChars="0"/>
        <w:jc w:val="left"/>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五、现场交底</w:t>
      </w:r>
      <w:r>
        <w:rPr>
          <w:rFonts w:hint="eastAsia" w:ascii="宋体" w:hAnsi="宋体" w:eastAsia="宋体" w:cs="宋体"/>
          <w:b/>
          <w:bCs/>
          <w:color w:val="auto"/>
          <w:sz w:val="32"/>
          <w:szCs w:val="32"/>
          <w:highlight w:val="none"/>
          <w:lang w:eastAsia="zh-CN"/>
        </w:rPr>
        <w:t>（</w:t>
      </w:r>
      <w:r>
        <w:rPr>
          <w:rFonts w:hint="eastAsia" w:ascii="宋体" w:hAnsi="宋体" w:eastAsia="宋体" w:cs="宋体"/>
          <w:b/>
          <w:bCs/>
          <w:color w:val="auto"/>
          <w:sz w:val="32"/>
          <w:szCs w:val="32"/>
          <w:highlight w:val="none"/>
          <w:lang w:val="en-US" w:eastAsia="zh-CN"/>
        </w:rPr>
        <w:t>无需</w:t>
      </w:r>
      <w:r>
        <w:rPr>
          <w:rFonts w:hint="eastAsia" w:ascii="宋体" w:hAnsi="宋体" w:eastAsia="宋体" w:cs="宋体"/>
          <w:b/>
          <w:bCs/>
          <w:color w:val="auto"/>
          <w:sz w:val="32"/>
          <w:szCs w:val="32"/>
          <w:highlight w:val="none"/>
          <w:lang w:eastAsia="zh-CN"/>
        </w:rPr>
        <w:t>）</w:t>
      </w:r>
    </w:p>
    <w:p w14:paraId="2CCCE713">
      <w:pPr>
        <w:rPr>
          <w:rFonts w:ascii="宋体" w:hAnsi="宋体" w:eastAsia="宋体" w:cs="宋体"/>
          <w:color w:val="auto"/>
          <w:sz w:val="30"/>
          <w:szCs w:val="30"/>
          <w:highlight w:val="none"/>
        </w:rPr>
      </w:pPr>
    </w:p>
    <w:p w14:paraId="70A95B8A">
      <w:pPr>
        <w:rPr>
          <w:rFonts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1963D543">
      <w:pPr>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第二部分 技术文件</w:t>
      </w:r>
    </w:p>
    <w:p w14:paraId="7031400D">
      <w:pPr>
        <w:jc w:val="left"/>
        <w:rPr>
          <w:rFonts w:ascii="宋体" w:hAnsi="宋体" w:eastAsia="宋体" w:cs="宋体"/>
          <w:b/>
          <w:bCs/>
          <w:color w:val="auto"/>
          <w:sz w:val="28"/>
          <w:szCs w:val="28"/>
          <w:highlight w:val="none"/>
        </w:rPr>
      </w:pPr>
    </w:p>
    <w:p w14:paraId="002E3790">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一、</w:t>
      </w:r>
      <w:r>
        <w:rPr>
          <w:rFonts w:hint="eastAsia" w:ascii="宋体" w:hAnsi="宋体" w:eastAsia="宋体" w:cs="宋体"/>
          <w:b/>
          <w:bCs/>
          <w:color w:val="auto"/>
          <w:sz w:val="36"/>
          <w:szCs w:val="36"/>
          <w:highlight w:val="none"/>
          <w:lang w:val="en-US" w:eastAsia="zh-CN"/>
        </w:rPr>
        <w:t>施工方案</w:t>
      </w:r>
    </w:p>
    <w:p w14:paraId="6EDBF91F">
      <w:pPr>
        <w:numPr>
          <w:ilvl w:val="0"/>
          <w:numId w:val="0"/>
        </w:numPr>
        <w:rPr>
          <w:rFonts w:hint="eastAsia" w:ascii="宋体" w:hAnsi="宋体" w:eastAsia="宋体" w:cs="宋体"/>
          <w:b/>
          <w:bCs/>
          <w:color w:val="auto"/>
          <w:kern w:val="2"/>
          <w:sz w:val="36"/>
          <w:szCs w:val="36"/>
          <w:highlight w:val="none"/>
          <w:lang w:val="en-US" w:eastAsia="zh-CN" w:bidi="ar-SA"/>
        </w:rPr>
      </w:pPr>
    </w:p>
    <w:p w14:paraId="59505CEB">
      <w:pPr>
        <w:numPr>
          <w:ilvl w:val="0"/>
          <w:numId w:val="0"/>
        </w:num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kern w:val="2"/>
          <w:sz w:val="36"/>
          <w:szCs w:val="36"/>
          <w:highlight w:val="none"/>
          <w:lang w:val="en-US" w:eastAsia="zh-CN" w:bidi="ar-SA"/>
        </w:rPr>
        <w:t>二、进度计划</w:t>
      </w:r>
    </w:p>
    <w:p w14:paraId="57877DCA">
      <w:pPr>
        <w:numPr>
          <w:ilvl w:val="0"/>
          <w:numId w:val="0"/>
        </w:numPr>
        <w:rPr>
          <w:rFonts w:hint="eastAsia" w:ascii="宋体" w:hAnsi="宋体" w:eastAsia="宋体" w:cs="宋体"/>
          <w:b/>
          <w:bCs/>
          <w:color w:val="auto"/>
          <w:kern w:val="2"/>
          <w:sz w:val="36"/>
          <w:szCs w:val="36"/>
          <w:highlight w:val="none"/>
          <w:lang w:val="en-US" w:eastAsia="zh-CN" w:bidi="ar-SA"/>
        </w:rPr>
      </w:pPr>
    </w:p>
    <w:p w14:paraId="1D986AAE">
      <w:pPr>
        <w:numPr>
          <w:ilvl w:val="0"/>
          <w:numId w:val="0"/>
        </w:num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0A92A327">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4185D83">
      <w:pPr>
        <w:pStyle w:val="24"/>
        <w:ind w:left="0" w:leftChars="0" w:firstLine="0" w:firstLineChars="0"/>
        <w:rPr>
          <w:rFonts w:ascii="宋体" w:hAnsi="宋体" w:eastAsia="宋体" w:cs="宋体"/>
          <w:b/>
          <w:bCs/>
          <w:color w:val="auto"/>
          <w:sz w:val="28"/>
          <w:szCs w:val="28"/>
          <w:highlight w:val="none"/>
        </w:rPr>
      </w:pPr>
    </w:p>
    <w:p w14:paraId="702974DB">
      <w:pPr>
        <w:pStyle w:val="2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3B313079">
      <w:pPr>
        <w:pStyle w:val="24"/>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58CC779E">
      <w:pPr>
        <w:pStyle w:val="24"/>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6E1394F">
      <w:pPr>
        <w:widowControl/>
        <w:jc w:val="left"/>
        <w:rPr>
          <w:rFonts w:ascii="宋体" w:hAnsi="宋体" w:eastAsia="宋体" w:cs="宋体"/>
          <w:b/>
          <w:bCs/>
          <w:color w:val="auto"/>
          <w:sz w:val="36"/>
          <w:szCs w:val="36"/>
          <w:highlight w:val="none"/>
        </w:rPr>
      </w:pPr>
    </w:p>
    <w:p w14:paraId="3437791C">
      <w:pPr>
        <w:pStyle w:val="9"/>
        <w:rPr>
          <w:rFonts w:ascii="宋体" w:hAnsi="宋体" w:cs="宋体"/>
          <w:b/>
          <w:bCs/>
          <w:color w:val="auto"/>
          <w:sz w:val="36"/>
          <w:szCs w:val="36"/>
          <w:highlight w:val="none"/>
        </w:rPr>
      </w:pPr>
    </w:p>
    <w:p w14:paraId="38F7B88A">
      <w:pPr>
        <w:rPr>
          <w:rFonts w:ascii="宋体" w:hAnsi="宋体" w:eastAsia="宋体" w:cs="宋体"/>
          <w:color w:val="auto"/>
          <w:highlight w:val="none"/>
        </w:rPr>
      </w:pPr>
    </w:p>
    <w:p w14:paraId="560530D8">
      <w:pPr>
        <w:jc w:val="center"/>
        <w:rPr>
          <w:rFonts w:ascii="宋体" w:hAnsi="宋体" w:eastAsia="宋体" w:cs="宋体"/>
          <w:b/>
          <w:bCs/>
          <w:color w:val="auto"/>
          <w:sz w:val="36"/>
          <w:szCs w:val="36"/>
          <w:highlight w:val="none"/>
        </w:rPr>
      </w:pPr>
    </w:p>
    <w:p w14:paraId="041201E7">
      <w:pPr>
        <w:widowControl/>
        <w:jc w:val="left"/>
        <w:rPr>
          <w:rFonts w:ascii="宋体" w:hAnsi="宋体" w:eastAsia="宋体" w:cs="宋体"/>
          <w:b/>
          <w:bCs/>
          <w:color w:val="auto"/>
          <w:sz w:val="36"/>
          <w:szCs w:val="36"/>
          <w:highlight w:val="none"/>
        </w:rPr>
      </w:pPr>
    </w:p>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仿宋_GBK">
    <w:altName w:val="Arial Unicode MS"/>
    <w:panose1 w:val="02000000000000000000"/>
    <w:charset w:val="86"/>
    <w:family w:val="script"/>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26E41">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7044B">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076E5">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7E5A5">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FB7E1">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2E254">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72E254">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4C54C">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60771">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56013">
    <w:pP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C35DC">
    <w:pPr>
      <w:pStyle w:val="1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EBF3">
    <w:pPr>
      <w:pStyle w:val="16"/>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BB371"/>
    <w:multiLevelType w:val="singleLevel"/>
    <w:tmpl w:val="9D5BB371"/>
    <w:lvl w:ilvl="0" w:tentative="0">
      <w:start w:val="7"/>
      <w:numFmt w:val="chineseCounting"/>
      <w:suff w:val="nothing"/>
      <w:lvlText w:val="%1、"/>
      <w:lvlJc w:val="left"/>
      <w:rPr>
        <w:rFonts w:hint="eastAsia"/>
      </w:rPr>
    </w:lvl>
  </w:abstractNum>
  <w:abstractNum w:abstractNumId="1">
    <w:nsid w:val="AFBC68A6"/>
    <w:multiLevelType w:val="singleLevel"/>
    <w:tmpl w:val="AFBC68A6"/>
    <w:lvl w:ilvl="0" w:tentative="0">
      <w:start w:val="1"/>
      <w:numFmt w:val="decimal"/>
      <w:suff w:val="nothing"/>
      <w:lvlText w:val="(%1）"/>
      <w:lvlJc w:val="left"/>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2A00"/>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1570"/>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22E6EEA"/>
    <w:rsid w:val="024A3CE3"/>
    <w:rsid w:val="028A186A"/>
    <w:rsid w:val="028D7421"/>
    <w:rsid w:val="02A604E3"/>
    <w:rsid w:val="02DE573B"/>
    <w:rsid w:val="02E64D83"/>
    <w:rsid w:val="031173EF"/>
    <w:rsid w:val="0328776E"/>
    <w:rsid w:val="035B79A0"/>
    <w:rsid w:val="035C0C4A"/>
    <w:rsid w:val="03661F65"/>
    <w:rsid w:val="0370464D"/>
    <w:rsid w:val="038375EC"/>
    <w:rsid w:val="0398035D"/>
    <w:rsid w:val="03BE360A"/>
    <w:rsid w:val="03C2759E"/>
    <w:rsid w:val="03C36E72"/>
    <w:rsid w:val="03D75FFA"/>
    <w:rsid w:val="03EC4652"/>
    <w:rsid w:val="044F0706"/>
    <w:rsid w:val="04545D1C"/>
    <w:rsid w:val="048E122E"/>
    <w:rsid w:val="04A10F62"/>
    <w:rsid w:val="04A44EF6"/>
    <w:rsid w:val="04A67D1B"/>
    <w:rsid w:val="04D330E5"/>
    <w:rsid w:val="04D806FC"/>
    <w:rsid w:val="05257385"/>
    <w:rsid w:val="053E2B58"/>
    <w:rsid w:val="054B711F"/>
    <w:rsid w:val="054C5EE4"/>
    <w:rsid w:val="054F4E62"/>
    <w:rsid w:val="05700168"/>
    <w:rsid w:val="05997E8B"/>
    <w:rsid w:val="059B1E55"/>
    <w:rsid w:val="05A827C4"/>
    <w:rsid w:val="05C173E2"/>
    <w:rsid w:val="05D36833"/>
    <w:rsid w:val="061027E2"/>
    <w:rsid w:val="06113EC5"/>
    <w:rsid w:val="063C4113"/>
    <w:rsid w:val="06400C4E"/>
    <w:rsid w:val="06471FDD"/>
    <w:rsid w:val="064F49ED"/>
    <w:rsid w:val="06640499"/>
    <w:rsid w:val="06A25465"/>
    <w:rsid w:val="06A92350"/>
    <w:rsid w:val="06BD04FC"/>
    <w:rsid w:val="06D550B2"/>
    <w:rsid w:val="070677A2"/>
    <w:rsid w:val="073D0CEA"/>
    <w:rsid w:val="07996868"/>
    <w:rsid w:val="07AA1C9F"/>
    <w:rsid w:val="0802440D"/>
    <w:rsid w:val="081A4B31"/>
    <w:rsid w:val="081C058D"/>
    <w:rsid w:val="08274BDD"/>
    <w:rsid w:val="082D603F"/>
    <w:rsid w:val="08393BA7"/>
    <w:rsid w:val="086C395F"/>
    <w:rsid w:val="08DD4532"/>
    <w:rsid w:val="091D7F9E"/>
    <w:rsid w:val="09317B12"/>
    <w:rsid w:val="093E7609"/>
    <w:rsid w:val="09603C0E"/>
    <w:rsid w:val="09630EDC"/>
    <w:rsid w:val="09741A2E"/>
    <w:rsid w:val="099037DC"/>
    <w:rsid w:val="09B3373D"/>
    <w:rsid w:val="09B62700"/>
    <w:rsid w:val="09C46B72"/>
    <w:rsid w:val="09C83435"/>
    <w:rsid w:val="09C90EF7"/>
    <w:rsid w:val="09CA0F5B"/>
    <w:rsid w:val="0A1C108A"/>
    <w:rsid w:val="0A1E388E"/>
    <w:rsid w:val="0A620AA0"/>
    <w:rsid w:val="0A866038"/>
    <w:rsid w:val="0AB063A2"/>
    <w:rsid w:val="0AB1211B"/>
    <w:rsid w:val="0B114967"/>
    <w:rsid w:val="0B2E57BB"/>
    <w:rsid w:val="0B3D750A"/>
    <w:rsid w:val="0B4C599F"/>
    <w:rsid w:val="0B510CC2"/>
    <w:rsid w:val="0B68030A"/>
    <w:rsid w:val="0B684935"/>
    <w:rsid w:val="0BC93830"/>
    <w:rsid w:val="0C085820"/>
    <w:rsid w:val="0C142961"/>
    <w:rsid w:val="0C230DF6"/>
    <w:rsid w:val="0C2D757F"/>
    <w:rsid w:val="0C97215F"/>
    <w:rsid w:val="0CD402F9"/>
    <w:rsid w:val="0CEA7622"/>
    <w:rsid w:val="0D04104B"/>
    <w:rsid w:val="0D1D5845"/>
    <w:rsid w:val="0D295F98"/>
    <w:rsid w:val="0D5F2E7C"/>
    <w:rsid w:val="0D975F08"/>
    <w:rsid w:val="0DC2517F"/>
    <w:rsid w:val="0DC43F13"/>
    <w:rsid w:val="0DCB52A1"/>
    <w:rsid w:val="0DCD71FF"/>
    <w:rsid w:val="0E275B53"/>
    <w:rsid w:val="0E386917"/>
    <w:rsid w:val="0E666D78"/>
    <w:rsid w:val="0E852540"/>
    <w:rsid w:val="0EA115D7"/>
    <w:rsid w:val="0EB13A8C"/>
    <w:rsid w:val="0ECC307F"/>
    <w:rsid w:val="0EDB32C2"/>
    <w:rsid w:val="0EDD528C"/>
    <w:rsid w:val="0EDE7D0A"/>
    <w:rsid w:val="0EE851DC"/>
    <w:rsid w:val="0EF95E3E"/>
    <w:rsid w:val="0EFA7D76"/>
    <w:rsid w:val="0F225395"/>
    <w:rsid w:val="0F2412A4"/>
    <w:rsid w:val="0F2B249C"/>
    <w:rsid w:val="0F3479B4"/>
    <w:rsid w:val="0F7A0D2D"/>
    <w:rsid w:val="0F7E574B"/>
    <w:rsid w:val="0F8D1B79"/>
    <w:rsid w:val="0FD51400"/>
    <w:rsid w:val="0FE33C86"/>
    <w:rsid w:val="10016553"/>
    <w:rsid w:val="10067489"/>
    <w:rsid w:val="10156CA8"/>
    <w:rsid w:val="103475FA"/>
    <w:rsid w:val="107668AE"/>
    <w:rsid w:val="10A047C3"/>
    <w:rsid w:val="10AC3C68"/>
    <w:rsid w:val="10CD30DE"/>
    <w:rsid w:val="11053ABE"/>
    <w:rsid w:val="112533CF"/>
    <w:rsid w:val="114E421F"/>
    <w:rsid w:val="11660951"/>
    <w:rsid w:val="11691059"/>
    <w:rsid w:val="117C46D6"/>
    <w:rsid w:val="118539B9"/>
    <w:rsid w:val="11961BFD"/>
    <w:rsid w:val="11962DA9"/>
    <w:rsid w:val="11B73BE0"/>
    <w:rsid w:val="11BA701A"/>
    <w:rsid w:val="11CF580B"/>
    <w:rsid w:val="12046804"/>
    <w:rsid w:val="121A67F7"/>
    <w:rsid w:val="12416638"/>
    <w:rsid w:val="12451AE6"/>
    <w:rsid w:val="12843C71"/>
    <w:rsid w:val="128C26B2"/>
    <w:rsid w:val="12AF0CEE"/>
    <w:rsid w:val="12B72298"/>
    <w:rsid w:val="12B74C45"/>
    <w:rsid w:val="12B85E9B"/>
    <w:rsid w:val="12EF558E"/>
    <w:rsid w:val="12FA6367"/>
    <w:rsid w:val="12FC4426"/>
    <w:rsid w:val="131E40C5"/>
    <w:rsid w:val="133A65B2"/>
    <w:rsid w:val="13434F53"/>
    <w:rsid w:val="13531FC1"/>
    <w:rsid w:val="136F6921"/>
    <w:rsid w:val="13742CE6"/>
    <w:rsid w:val="137B1518"/>
    <w:rsid w:val="139E0753"/>
    <w:rsid w:val="13B86493"/>
    <w:rsid w:val="13EB01C3"/>
    <w:rsid w:val="140D10BC"/>
    <w:rsid w:val="14250B1D"/>
    <w:rsid w:val="146D732C"/>
    <w:rsid w:val="147A17CF"/>
    <w:rsid w:val="147C5547"/>
    <w:rsid w:val="147E12BF"/>
    <w:rsid w:val="148D32B1"/>
    <w:rsid w:val="14922675"/>
    <w:rsid w:val="14D0319D"/>
    <w:rsid w:val="153B3244"/>
    <w:rsid w:val="154702AC"/>
    <w:rsid w:val="15A22D8C"/>
    <w:rsid w:val="15F64DA5"/>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56365D"/>
    <w:rsid w:val="1AC75042"/>
    <w:rsid w:val="1AC9700C"/>
    <w:rsid w:val="1AD13776"/>
    <w:rsid w:val="1AE31E7C"/>
    <w:rsid w:val="1AEA0E54"/>
    <w:rsid w:val="1B122762"/>
    <w:rsid w:val="1B440441"/>
    <w:rsid w:val="1B516EFF"/>
    <w:rsid w:val="1B647201"/>
    <w:rsid w:val="1B721452"/>
    <w:rsid w:val="1B7828A4"/>
    <w:rsid w:val="1B801CC8"/>
    <w:rsid w:val="1B88172B"/>
    <w:rsid w:val="1B97689A"/>
    <w:rsid w:val="1B9A62B3"/>
    <w:rsid w:val="1BAB226E"/>
    <w:rsid w:val="1C20736E"/>
    <w:rsid w:val="1C3D736A"/>
    <w:rsid w:val="1C3F5943"/>
    <w:rsid w:val="1C4C59FD"/>
    <w:rsid w:val="1C642CF5"/>
    <w:rsid w:val="1C8D752E"/>
    <w:rsid w:val="1CC23D13"/>
    <w:rsid w:val="1CC46C32"/>
    <w:rsid w:val="1CFF2872"/>
    <w:rsid w:val="1D0D1432"/>
    <w:rsid w:val="1D0E1A25"/>
    <w:rsid w:val="1D3C1D18"/>
    <w:rsid w:val="1D3D2FA4"/>
    <w:rsid w:val="1D6D7F6D"/>
    <w:rsid w:val="1D807E56"/>
    <w:rsid w:val="1D8E6A35"/>
    <w:rsid w:val="1DA37E94"/>
    <w:rsid w:val="1DB206FF"/>
    <w:rsid w:val="1DDA4574"/>
    <w:rsid w:val="1DE9461A"/>
    <w:rsid w:val="1E213CE4"/>
    <w:rsid w:val="1E2A22F5"/>
    <w:rsid w:val="1E5D77F2"/>
    <w:rsid w:val="1E7C18CE"/>
    <w:rsid w:val="1E7D0965"/>
    <w:rsid w:val="1E892D3B"/>
    <w:rsid w:val="1EA0669C"/>
    <w:rsid w:val="1EAC07D7"/>
    <w:rsid w:val="1EB63E6E"/>
    <w:rsid w:val="1EE066D3"/>
    <w:rsid w:val="1F0F20B8"/>
    <w:rsid w:val="1F5D0F05"/>
    <w:rsid w:val="1F703EFB"/>
    <w:rsid w:val="1F9E2816"/>
    <w:rsid w:val="1FA579ED"/>
    <w:rsid w:val="1FA80B45"/>
    <w:rsid w:val="1FA83694"/>
    <w:rsid w:val="1FC57DA2"/>
    <w:rsid w:val="1FD71884"/>
    <w:rsid w:val="1FF031A1"/>
    <w:rsid w:val="203D0806"/>
    <w:rsid w:val="20506E01"/>
    <w:rsid w:val="20517888"/>
    <w:rsid w:val="207B66B3"/>
    <w:rsid w:val="20895C0A"/>
    <w:rsid w:val="208C361B"/>
    <w:rsid w:val="209A437D"/>
    <w:rsid w:val="20B83463"/>
    <w:rsid w:val="20CE0ED9"/>
    <w:rsid w:val="20D81FA4"/>
    <w:rsid w:val="212E3725"/>
    <w:rsid w:val="2143792E"/>
    <w:rsid w:val="216A6FA9"/>
    <w:rsid w:val="218A0AEA"/>
    <w:rsid w:val="21960CEA"/>
    <w:rsid w:val="2196425A"/>
    <w:rsid w:val="21B434A3"/>
    <w:rsid w:val="21CC2F31"/>
    <w:rsid w:val="21E20569"/>
    <w:rsid w:val="220B214E"/>
    <w:rsid w:val="228C128A"/>
    <w:rsid w:val="22972076"/>
    <w:rsid w:val="22A04AF7"/>
    <w:rsid w:val="22A07A2E"/>
    <w:rsid w:val="22BD1205"/>
    <w:rsid w:val="22D7082A"/>
    <w:rsid w:val="23337719"/>
    <w:rsid w:val="237C3DA7"/>
    <w:rsid w:val="23897339"/>
    <w:rsid w:val="23AB2B2B"/>
    <w:rsid w:val="23AD6B8C"/>
    <w:rsid w:val="23DC309A"/>
    <w:rsid w:val="23DE341D"/>
    <w:rsid w:val="23ED1676"/>
    <w:rsid w:val="2415163D"/>
    <w:rsid w:val="24183F9D"/>
    <w:rsid w:val="244D0366"/>
    <w:rsid w:val="24925E82"/>
    <w:rsid w:val="24BA35E1"/>
    <w:rsid w:val="24BE74B6"/>
    <w:rsid w:val="24D34D10"/>
    <w:rsid w:val="251834B6"/>
    <w:rsid w:val="25316E3B"/>
    <w:rsid w:val="25685C13"/>
    <w:rsid w:val="25AC7BD0"/>
    <w:rsid w:val="25E66CC5"/>
    <w:rsid w:val="25EB7E37"/>
    <w:rsid w:val="25F80F5A"/>
    <w:rsid w:val="2629095F"/>
    <w:rsid w:val="266879AE"/>
    <w:rsid w:val="267D783B"/>
    <w:rsid w:val="2685028B"/>
    <w:rsid w:val="26A83F7A"/>
    <w:rsid w:val="26AB640C"/>
    <w:rsid w:val="26BD19CD"/>
    <w:rsid w:val="26E2748C"/>
    <w:rsid w:val="26F64CE5"/>
    <w:rsid w:val="27085757"/>
    <w:rsid w:val="270E526E"/>
    <w:rsid w:val="276F6846"/>
    <w:rsid w:val="277D0F63"/>
    <w:rsid w:val="27806CA5"/>
    <w:rsid w:val="278E555F"/>
    <w:rsid w:val="27C46B92"/>
    <w:rsid w:val="27C60B5C"/>
    <w:rsid w:val="27C76682"/>
    <w:rsid w:val="27D52B4D"/>
    <w:rsid w:val="27E234BC"/>
    <w:rsid w:val="27FE6547"/>
    <w:rsid w:val="280F6FAD"/>
    <w:rsid w:val="281431DC"/>
    <w:rsid w:val="281F2449"/>
    <w:rsid w:val="28215D92"/>
    <w:rsid w:val="284877C3"/>
    <w:rsid w:val="28610884"/>
    <w:rsid w:val="286363AA"/>
    <w:rsid w:val="28810F26"/>
    <w:rsid w:val="288602EB"/>
    <w:rsid w:val="288B2282"/>
    <w:rsid w:val="28AB49E9"/>
    <w:rsid w:val="28B9421C"/>
    <w:rsid w:val="28F113D4"/>
    <w:rsid w:val="291B0A33"/>
    <w:rsid w:val="293935AF"/>
    <w:rsid w:val="294D0D1A"/>
    <w:rsid w:val="29513542"/>
    <w:rsid w:val="29600B3C"/>
    <w:rsid w:val="29935935"/>
    <w:rsid w:val="299B6018"/>
    <w:rsid w:val="29BB2501"/>
    <w:rsid w:val="2A0A4121"/>
    <w:rsid w:val="2A13795C"/>
    <w:rsid w:val="2A3430B4"/>
    <w:rsid w:val="2A3646FC"/>
    <w:rsid w:val="2A7A3E7F"/>
    <w:rsid w:val="2A842608"/>
    <w:rsid w:val="2A884BC7"/>
    <w:rsid w:val="2A8B37C2"/>
    <w:rsid w:val="2AB0404C"/>
    <w:rsid w:val="2B2137C0"/>
    <w:rsid w:val="2B362C46"/>
    <w:rsid w:val="2B400F64"/>
    <w:rsid w:val="2B4C75CA"/>
    <w:rsid w:val="2B762899"/>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012636"/>
    <w:rsid w:val="2D0A14EA"/>
    <w:rsid w:val="2D2D51D9"/>
    <w:rsid w:val="2D641088"/>
    <w:rsid w:val="2D854FBB"/>
    <w:rsid w:val="2DD375EA"/>
    <w:rsid w:val="2DEE2BBA"/>
    <w:rsid w:val="2DF31DEB"/>
    <w:rsid w:val="2DF61A6F"/>
    <w:rsid w:val="2E00469C"/>
    <w:rsid w:val="2E073308"/>
    <w:rsid w:val="2E1B3283"/>
    <w:rsid w:val="2E457608"/>
    <w:rsid w:val="2E532A1D"/>
    <w:rsid w:val="2E536EC1"/>
    <w:rsid w:val="2E9230E5"/>
    <w:rsid w:val="2EA66FF1"/>
    <w:rsid w:val="2EAB4607"/>
    <w:rsid w:val="2ECB3794"/>
    <w:rsid w:val="2EEE0998"/>
    <w:rsid w:val="2F070443"/>
    <w:rsid w:val="2F462582"/>
    <w:rsid w:val="2F6B035B"/>
    <w:rsid w:val="2F7376F8"/>
    <w:rsid w:val="2F782E8B"/>
    <w:rsid w:val="2FC824FD"/>
    <w:rsid w:val="2FF764FF"/>
    <w:rsid w:val="30134B5A"/>
    <w:rsid w:val="305A4537"/>
    <w:rsid w:val="305F48F9"/>
    <w:rsid w:val="30790154"/>
    <w:rsid w:val="309026BC"/>
    <w:rsid w:val="30AE4883"/>
    <w:rsid w:val="30BA5FA6"/>
    <w:rsid w:val="30D20571"/>
    <w:rsid w:val="31295CB7"/>
    <w:rsid w:val="314B18D9"/>
    <w:rsid w:val="31B71515"/>
    <w:rsid w:val="3204466B"/>
    <w:rsid w:val="323112C7"/>
    <w:rsid w:val="3244724D"/>
    <w:rsid w:val="32805DAB"/>
    <w:rsid w:val="328C7E14"/>
    <w:rsid w:val="32E4458C"/>
    <w:rsid w:val="32F3657D"/>
    <w:rsid w:val="33072928"/>
    <w:rsid w:val="332E1CAB"/>
    <w:rsid w:val="33491B2B"/>
    <w:rsid w:val="334A26CA"/>
    <w:rsid w:val="33545C6A"/>
    <w:rsid w:val="336D45D4"/>
    <w:rsid w:val="33770949"/>
    <w:rsid w:val="33775400"/>
    <w:rsid w:val="3396714B"/>
    <w:rsid w:val="33BC72B7"/>
    <w:rsid w:val="33EE2CBB"/>
    <w:rsid w:val="33F97153"/>
    <w:rsid w:val="3437693D"/>
    <w:rsid w:val="346D04EA"/>
    <w:rsid w:val="34AE06E2"/>
    <w:rsid w:val="34D01715"/>
    <w:rsid w:val="34D85FC1"/>
    <w:rsid w:val="34E07AAC"/>
    <w:rsid w:val="35216B3A"/>
    <w:rsid w:val="35243365"/>
    <w:rsid w:val="354237EC"/>
    <w:rsid w:val="355D23D3"/>
    <w:rsid w:val="358D4A67"/>
    <w:rsid w:val="35B73253"/>
    <w:rsid w:val="35C75553"/>
    <w:rsid w:val="35EF127D"/>
    <w:rsid w:val="36080591"/>
    <w:rsid w:val="364770C9"/>
    <w:rsid w:val="36FB1EA4"/>
    <w:rsid w:val="37305FF2"/>
    <w:rsid w:val="373B4A03"/>
    <w:rsid w:val="375C6DE7"/>
    <w:rsid w:val="376115C6"/>
    <w:rsid w:val="379C139A"/>
    <w:rsid w:val="37C036A0"/>
    <w:rsid w:val="37DC7F27"/>
    <w:rsid w:val="37FB2842"/>
    <w:rsid w:val="387E0FDF"/>
    <w:rsid w:val="38B13162"/>
    <w:rsid w:val="38B22A36"/>
    <w:rsid w:val="38D037D9"/>
    <w:rsid w:val="38D61D34"/>
    <w:rsid w:val="39227BBC"/>
    <w:rsid w:val="392415DF"/>
    <w:rsid w:val="39534219"/>
    <w:rsid w:val="39691347"/>
    <w:rsid w:val="397B72CC"/>
    <w:rsid w:val="397C3770"/>
    <w:rsid w:val="39846637"/>
    <w:rsid w:val="399F5BC4"/>
    <w:rsid w:val="39A24859"/>
    <w:rsid w:val="39B32F0A"/>
    <w:rsid w:val="39C3314D"/>
    <w:rsid w:val="39CA6F6B"/>
    <w:rsid w:val="39FC7BE4"/>
    <w:rsid w:val="3A060195"/>
    <w:rsid w:val="3A0D4329"/>
    <w:rsid w:val="3A30175F"/>
    <w:rsid w:val="3A41222E"/>
    <w:rsid w:val="3A4F7B0F"/>
    <w:rsid w:val="3AB5593E"/>
    <w:rsid w:val="3AB962FE"/>
    <w:rsid w:val="3B183024"/>
    <w:rsid w:val="3B2220F5"/>
    <w:rsid w:val="3B3E2CBB"/>
    <w:rsid w:val="3B4007CD"/>
    <w:rsid w:val="3B5F6EA5"/>
    <w:rsid w:val="3B7641EF"/>
    <w:rsid w:val="3B8C756F"/>
    <w:rsid w:val="3BEA0701"/>
    <w:rsid w:val="3C36556B"/>
    <w:rsid w:val="3C4B742A"/>
    <w:rsid w:val="3C53008C"/>
    <w:rsid w:val="3C554F79"/>
    <w:rsid w:val="3C7324DC"/>
    <w:rsid w:val="3C733E98"/>
    <w:rsid w:val="3CC86CCC"/>
    <w:rsid w:val="3D2A34E3"/>
    <w:rsid w:val="3D324146"/>
    <w:rsid w:val="3D566086"/>
    <w:rsid w:val="3D621EB8"/>
    <w:rsid w:val="3D6B3C0C"/>
    <w:rsid w:val="3DB56D40"/>
    <w:rsid w:val="3E2D53F7"/>
    <w:rsid w:val="3E320C4C"/>
    <w:rsid w:val="3E5668B2"/>
    <w:rsid w:val="3E721CCA"/>
    <w:rsid w:val="3E774506"/>
    <w:rsid w:val="3E7B6F01"/>
    <w:rsid w:val="3E8135D7"/>
    <w:rsid w:val="3EAF1EF2"/>
    <w:rsid w:val="3EE200BE"/>
    <w:rsid w:val="3EEF6792"/>
    <w:rsid w:val="3F100628"/>
    <w:rsid w:val="3F1104B7"/>
    <w:rsid w:val="3F177A97"/>
    <w:rsid w:val="3F41064F"/>
    <w:rsid w:val="3F4351A4"/>
    <w:rsid w:val="3F47212A"/>
    <w:rsid w:val="3F536D21"/>
    <w:rsid w:val="3F6B74EC"/>
    <w:rsid w:val="3F7437CD"/>
    <w:rsid w:val="3F9D7D00"/>
    <w:rsid w:val="3FB157F6"/>
    <w:rsid w:val="40047AC2"/>
    <w:rsid w:val="402C3DD7"/>
    <w:rsid w:val="404F5E77"/>
    <w:rsid w:val="40503261"/>
    <w:rsid w:val="40556AC9"/>
    <w:rsid w:val="405E6418"/>
    <w:rsid w:val="406B3358"/>
    <w:rsid w:val="406E4439"/>
    <w:rsid w:val="4090365D"/>
    <w:rsid w:val="40BB2DD0"/>
    <w:rsid w:val="411F78B8"/>
    <w:rsid w:val="41596145"/>
    <w:rsid w:val="415E04EE"/>
    <w:rsid w:val="419E624E"/>
    <w:rsid w:val="41EC3D7E"/>
    <w:rsid w:val="41EE2D31"/>
    <w:rsid w:val="41F3318B"/>
    <w:rsid w:val="424879A4"/>
    <w:rsid w:val="427E2307"/>
    <w:rsid w:val="428E5E9A"/>
    <w:rsid w:val="43064811"/>
    <w:rsid w:val="431247FD"/>
    <w:rsid w:val="434D7F2B"/>
    <w:rsid w:val="43525542"/>
    <w:rsid w:val="4354515E"/>
    <w:rsid w:val="43A044FF"/>
    <w:rsid w:val="43D67301"/>
    <w:rsid w:val="43E048FB"/>
    <w:rsid w:val="43EC14F2"/>
    <w:rsid w:val="440F6F8F"/>
    <w:rsid w:val="442567B2"/>
    <w:rsid w:val="4430585A"/>
    <w:rsid w:val="4460407D"/>
    <w:rsid w:val="44641B49"/>
    <w:rsid w:val="447A08AC"/>
    <w:rsid w:val="4496544D"/>
    <w:rsid w:val="44A65B45"/>
    <w:rsid w:val="44B042CE"/>
    <w:rsid w:val="44B244EA"/>
    <w:rsid w:val="450A63DC"/>
    <w:rsid w:val="45401AF6"/>
    <w:rsid w:val="45482758"/>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6D9682E"/>
    <w:rsid w:val="47046870"/>
    <w:rsid w:val="4709385D"/>
    <w:rsid w:val="471E7C15"/>
    <w:rsid w:val="4736312B"/>
    <w:rsid w:val="474358CD"/>
    <w:rsid w:val="4773090D"/>
    <w:rsid w:val="4799729B"/>
    <w:rsid w:val="47AB4DBB"/>
    <w:rsid w:val="47C167F2"/>
    <w:rsid w:val="47C21E9F"/>
    <w:rsid w:val="47DE34E9"/>
    <w:rsid w:val="48177E83"/>
    <w:rsid w:val="485252BC"/>
    <w:rsid w:val="485611FE"/>
    <w:rsid w:val="487570F2"/>
    <w:rsid w:val="48873598"/>
    <w:rsid w:val="488F4011"/>
    <w:rsid w:val="48945CB4"/>
    <w:rsid w:val="48AE39F0"/>
    <w:rsid w:val="48B40105"/>
    <w:rsid w:val="48BB76E5"/>
    <w:rsid w:val="48BF71D5"/>
    <w:rsid w:val="48C4659A"/>
    <w:rsid w:val="48DF5E57"/>
    <w:rsid w:val="49172B6D"/>
    <w:rsid w:val="492E50F9"/>
    <w:rsid w:val="49390EFD"/>
    <w:rsid w:val="493C4382"/>
    <w:rsid w:val="498F61B8"/>
    <w:rsid w:val="49A90533"/>
    <w:rsid w:val="49C93F70"/>
    <w:rsid w:val="49E36ED9"/>
    <w:rsid w:val="49E36EF3"/>
    <w:rsid w:val="4A4E2219"/>
    <w:rsid w:val="4AA77F21"/>
    <w:rsid w:val="4AEA268E"/>
    <w:rsid w:val="4AF34927"/>
    <w:rsid w:val="4B0B6702"/>
    <w:rsid w:val="4B3519D1"/>
    <w:rsid w:val="4B87300E"/>
    <w:rsid w:val="4B9304A5"/>
    <w:rsid w:val="4BB02E05"/>
    <w:rsid w:val="4BB17561"/>
    <w:rsid w:val="4BBB72B9"/>
    <w:rsid w:val="4BD20FCE"/>
    <w:rsid w:val="4C0C793F"/>
    <w:rsid w:val="4C0D46FC"/>
    <w:rsid w:val="4C2D08FA"/>
    <w:rsid w:val="4C8D5D8B"/>
    <w:rsid w:val="4CEC6BD9"/>
    <w:rsid w:val="4CF6364B"/>
    <w:rsid w:val="4D29404E"/>
    <w:rsid w:val="4D410CA2"/>
    <w:rsid w:val="4D467EC5"/>
    <w:rsid w:val="4D7660EF"/>
    <w:rsid w:val="4DAE7818"/>
    <w:rsid w:val="4DB964A1"/>
    <w:rsid w:val="4DEB2922"/>
    <w:rsid w:val="4DFB23D2"/>
    <w:rsid w:val="4E00310E"/>
    <w:rsid w:val="4E3221F7"/>
    <w:rsid w:val="4E467A51"/>
    <w:rsid w:val="4E50267E"/>
    <w:rsid w:val="4EAF703B"/>
    <w:rsid w:val="4EBE3A8B"/>
    <w:rsid w:val="4EC71F0A"/>
    <w:rsid w:val="4ED432AF"/>
    <w:rsid w:val="4F1279A4"/>
    <w:rsid w:val="4F1F4003"/>
    <w:rsid w:val="4F245FE4"/>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A44429"/>
    <w:rsid w:val="51BB2504"/>
    <w:rsid w:val="51E90E1F"/>
    <w:rsid w:val="52065E75"/>
    <w:rsid w:val="520C2D5F"/>
    <w:rsid w:val="521F2A93"/>
    <w:rsid w:val="523A5B1F"/>
    <w:rsid w:val="523B6EAF"/>
    <w:rsid w:val="52670DFD"/>
    <w:rsid w:val="52762A77"/>
    <w:rsid w:val="528D5C4E"/>
    <w:rsid w:val="52972F71"/>
    <w:rsid w:val="52E53CDC"/>
    <w:rsid w:val="52FC2DD4"/>
    <w:rsid w:val="53081779"/>
    <w:rsid w:val="53245577"/>
    <w:rsid w:val="53996FC4"/>
    <w:rsid w:val="53C14B7F"/>
    <w:rsid w:val="53FB308C"/>
    <w:rsid w:val="548D7640"/>
    <w:rsid w:val="54934B51"/>
    <w:rsid w:val="54BC7E9C"/>
    <w:rsid w:val="54D77655"/>
    <w:rsid w:val="55061B79"/>
    <w:rsid w:val="55366A71"/>
    <w:rsid w:val="557F199D"/>
    <w:rsid w:val="558A19EA"/>
    <w:rsid w:val="55C13D92"/>
    <w:rsid w:val="55CF743F"/>
    <w:rsid w:val="55FA1516"/>
    <w:rsid w:val="55FE795C"/>
    <w:rsid w:val="563F1955"/>
    <w:rsid w:val="56545C38"/>
    <w:rsid w:val="56552F27"/>
    <w:rsid w:val="565952BB"/>
    <w:rsid w:val="566F7200"/>
    <w:rsid w:val="56C500AD"/>
    <w:rsid w:val="5748483A"/>
    <w:rsid w:val="574B00F6"/>
    <w:rsid w:val="574D1E50"/>
    <w:rsid w:val="575D4053"/>
    <w:rsid w:val="578D41FE"/>
    <w:rsid w:val="57D670A6"/>
    <w:rsid w:val="57D91936"/>
    <w:rsid w:val="57EA1DD9"/>
    <w:rsid w:val="57FB18AC"/>
    <w:rsid w:val="58037222"/>
    <w:rsid w:val="582A625E"/>
    <w:rsid w:val="583F79EB"/>
    <w:rsid w:val="586B07E0"/>
    <w:rsid w:val="58704048"/>
    <w:rsid w:val="587B73CC"/>
    <w:rsid w:val="58B50BB8"/>
    <w:rsid w:val="58B55EFF"/>
    <w:rsid w:val="58D77C23"/>
    <w:rsid w:val="58E74DA8"/>
    <w:rsid w:val="59001F94"/>
    <w:rsid w:val="591C7D2C"/>
    <w:rsid w:val="59215342"/>
    <w:rsid w:val="59254E33"/>
    <w:rsid w:val="593A6B8B"/>
    <w:rsid w:val="59667064"/>
    <w:rsid w:val="597520D2"/>
    <w:rsid w:val="59A85A64"/>
    <w:rsid w:val="59B92F1F"/>
    <w:rsid w:val="59DE4FE1"/>
    <w:rsid w:val="59E465B3"/>
    <w:rsid w:val="59F4049B"/>
    <w:rsid w:val="5A403EEE"/>
    <w:rsid w:val="5A4E660B"/>
    <w:rsid w:val="5A6D7B83"/>
    <w:rsid w:val="5AA1673B"/>
    <w:rsid w:val="5ABC17C7"/>
    <w:rsid w:val="5ADD34EB"/>
    <w:rsid w:val="5B0D5B7E"/>
    <w:rsid w:val="5B1433B1"/>
    <w:rsid w:val="5B1F1D55"/>
    <w:rsid w:val="5B5C6B06"/>
    <w:rsid w:val="5B667984"/>
    <w:rsid w:val="5B793214"/>
    <w:rsid w:val="5B8874CC"/>
    <w:rsid w:val="5BA1276A"/>
    <w:rsid w:val="5BAF789E"/>
    <w:rsid w:val="5BC4220D"/>
    <w:rsid w:val="5C272C70"/>
    <w:rsid w:val="5C49708A"/>
    <w:rsid w:val="5C4A4BB0"/>
    <w:rsid w:val="5C990449"/>
    <w:rsid w:val="5CAC13C7"/>
    <w:rsid w:val="5CCE30DB"/>
    <w:rsid w:val="5D1256CE"/>
    <w:rsid w:val="5D153410"/>
    <w:rsid w:val="5D5201C0"/>
    <w:rsid w:val="5D881EC7"/>
    <w:rsid w:val="5DA463E6"/>
    <w:rsid w:val="5DB02962"/>
    <w:rsid w:val="5DF179D9"/>
    <w:rsid w:val="5DF539C2"/>
    <w:rsid w:val="5E465A3C"/>
    <w:rsid w:val="5E5802C6"/>
    <w:rsid w:val="5E6511F0"/>
    <w:rsid w:val="5E7128C8"/>
    <w:rsid w:val="5E850121"/>
    <w:rsid w:val="5EF17D12"/>
    <w:rsid w:val="5F225970"/>
    <w:rsid w:val="5F24793A"/>
    <w:rsid w:val="5F30625B"/>
    <w:rsid w:val="5F7563E8"/>
    <w:rsid w:val="5F7741D1"/>
    <w:rsid w:val="5F883D16"/>
    <w:rsid w:val="5F897267"/>
    <w:rsid w:val="5F9A19AB"/>
    <w:rsid w:val="5F9C5723"/>
    <w:rsid w:val="5FA41E1F"/>
    <w:rsid w:val="5FBA204D"/>
    <w:rsid w:val="5FD21144"/>
    <w:rsid w:val="5FF94923"/>
    <w:rsid w:val="5FFE018B"/>
    <w:rsid w:val="5FFF65AF"/>
    <w:rsid w:val="600644BF"/>
    <w:rsid w:val="602F47E9"/>
    <w:rsid w:val="60464805"/>
    <w:rsid w:val="60575AEE"/>
    <w:rsid w:val="606721D5"/>
    <w:rsid w:val="60714E01"/>
    <w:rsid w:val="607D5554"/>
    <w:rsid w:val="608605A7"/>
    <w:rsid w:val="60894B58"/>
    <w:rsid w:val="609603C4"/>
    <w:rsid w:val="60F03F78"/>
    <w:rsid w:val="610F59A8"/>
    <w:rsid w:val="612105D5"/>
    <w:rsid w:val="612B721F"/>
    <w:rsid w:val="61330A79"/>
    <w:rsid w:val="615803EB"/>
    <w:rsid w:val="61644D94"/>
    <w:rsid w:val="61686204"/>
    <w:rsid w:val="617C580C"/>
    <w:rsid w:val="618A2C2F"/>
    <w:rsid w:val="619169E7"/>
    <w:rsid w:val="619A1CC6"/>
    <w:rsid w:val="61A84853"/>
    <w:rsid w:val="61BF2475"/>
    <w:rsid w:val="61C55405"/>
    <w:rsid w:val="622A34BA"/>
    <w:rsid w:val="622B7232"/>
    <w:rsid w:val="6230056B"/>
    <w:rsid w:val="623A1117"/>
    <w:rsid w:val="624D4D66"/>
    <w:rsid w:val="62521D73"/>
    <w:rsid w:val="62547CD1"/>
    <w:rsid w:val="627438F9"/>
    <w:rsid w:val="6280757E"/>
    <w:rsid w:val="62966DA1"/>
    <w:rsid w:val="6308241E"/>
    <w:rsid w:val="637D1D0F"/>
    <w:rsid w:val="638F24AF"/>
    <w:rsid w:val="63F27EFF"/>
    <w:rsid w:val="64155AA4"/>
    <w:rsid w:val="642929EC"/>
    <w:rsid w:val="642F6F0E"/>
    <w:rsid w:val="646C6050"/>
    <w:rsid w:val="64744EC0"/>
    <w:rsid w:val="647924D6"/>
    <w:rsid w:val="647A7108"/>
    <w:rsid w:val="64CD2759"/>
    <w:rsid w:val="64D677E4"/>
    <w:rsid w:val="64E8621E"/>
    <w:rsid w:val="650A75D2"/>
    <w:rsid w:val="65203AB5"/>
    <w:rsid w:val="65257F68"/>
    <w:rsid w:val="65586590"/>
    <w:rsid w:val="65755781"/>
    <w:rsid w:val="65CD2602"/>
    <w:rsid w:val="65D34FAF"/>
    <w:rsid w:val="65E676F8"/>
    <w:rsid w:val="65EC0A86"/>
    <w:rsid w:val="66061B48"/>
    <w:rsid w:val="661A3845"/>
    <w:rsid w:val="66216982"/>
    <w:rsid w:val="66482160"/>
    <w:rsid w:val="666B22F3"/>
    <w:rsid w:val="66B141AA"/>
    <w:rsid w:val="66BC06A7"/>
    <w:rsid w:val="66F127F8"/>
    <w:rsid w:val="670161BB"/>
    <w:rsid w:val="673F17B5"/>
    <w:rsid w:val="6740552D"/>
    <w:rsid w:val="674F751F"/>
    <w:rsid w:val="67801DCE"/>
    <w:rsid w:val="67994DEA"/>
    <w:rsid w:val="67A1334E"/>
    <w:rsid w:val="67AB5867"/>
    <w:rsid w:val="67AB6349"/>
    <w:rsid w:val="67B45A9E"/>
    <w:rsid w:val="68050BAD"/>
    <w:rsid w:val="68386205"/>
    <w:rsid w:val="684051B6"/>
    <w:rsid w:val="68413F22"/>
    <w:rsid w:val="6865279D"/>
    <w:rsid w:val="68D347A9"/>
    <w:rsid w:val="68E81A16"/>
    <w:rsid w:val="68EF4B15"/>
    <w:rsid w:val="690A194F"/>
    <w:rsid w:val="690E50D7"/>
    <w:rsid w:val="69196036"/>
    <w:rsid w:val="695D754A"/>
    <w:rsid w:val="695F613F"/>
    <w:rsid w:val="69690D6B"/>
    <w:rsid w:val="69747710"/>
    <w:rsid w:val="697C7152"/>
    <w:rsid w:val="6985191D"/>
    <w:rsid w:val="699045DA"/>
    <w:rsid w:val="69C32DD3"/>
    <w:rsid w:val="69D00DEB"/>
    <w:rsid w:val="69D5404A"/>
    <w:rsid w:val="69E05A38"/>
    <w:rsid w:val="69E8604B"/>
    <w:rsid w:val="69FD282D"/>
    <w:rsid w:val="6A046C7D"/>
    <w:rsid w:val="6A131586"/>
    <w:rsid w:val="6A1D1368"/>
    <w:rsid w:val="6A2D0F05"/>
    <w:rsid w:val="6A615EE7"/>
    <w:rsid w:val="6A917936"/>
    <w:rsid w:val="6A9737B1"/>
    <w:rsid w:val="6AC83870"/>
    <w:rsid w:val="6B420181"/>
    <w:rsid w:val="6B485F70"/>
    <w:rsid w:val="6B4A697B"/>
    <w:rsid w:val="6B5276F7"/>
    <w:rsid w:val="6B7307FB"/>
    <w:rsid w:val="6B7834E8"/>
    <w:rsid w:val="6B9E2823"/>
    <w:rsid w:val="6BCA6694"/>
    <w:rsid w:val="6BE203D1"/>
    <w:rsid w:val="6C0D76BF"/>
    <w:rsid w:val="6C0D792D"/>
    <w:rsid w:val="6C0E5B8E"/>
    <w:rsid w:val="6C336BD6"/>
    <w:rsid w:val="6C3867D3"/>
    <w:rsid w:val="6C755C79"/>
    <w:rsid w:val="6CC22541"/>
    <w:rsid w:val="6CE64481"/>
    <w:rsid w:val="6CF41256"/>
    <w:rsid w:val="6D010D72"/>
    <w:rsid w:val="6D125276"/>
    <w:rsid w:val="6D170ADE"/>
    <w:rsid w:val="6D6535F8"/>
    <w:rsid w:val="6D7C21C8"/>
    <w:rsid w:val="6D8A305E"/>
    <w:rsid w:val="6DA73C10"/>
    <w:rsid w:val="6DA96A24"/>
    <w:rsid w:val="6DCA5B51"/>
    <w:rsid w:val="6DCC4F94"/>
    <w:rsid w:val="6DDE15FC"/>
    <w:rsid w:val="6DE1146D"/>
    <w:rsid w:val="6DE50BDD"/>
    <w:rsid w:val="6E22773B"/>
    <w:rsid w:val="6E380D0C"/>
    <w:rsid w:val="6E386F5E"/>
    <w:rsid w:val="6E51210E"/>
    <w:rsid w:val="6E68124A"/>
    <w:rsid w:val="6E95247C"/>
    <w:rsid w:val="6EB96428"/>
    <w:rsid w:val="6EB973F2"/>
    <w:rsid w:val="6EFE3D04"/>
    <w:rsid w:val="6F00046B"/>
    <w:rsid w:val="6F1A3F1F"/>
    <w:rsid w:val="6F716099"/>
    <w:rsid w:val="6F9F4523"/>
    <w:rsid w:val="6FAD572A"/>
    <w:rsid w:val="6FDB225A"/>
    <w:rsid w:val="6FF616B1"/>
    <w:rsid w:val="6FFC64B8"/>
    <w:rsid w:val="70161521"/>
    <w:rsid w:val="708244C1"/>
    <w:rsid w:val="708E6468"/>
    <w:rsid w:val="70D651E1"/>
    <w:rsid w:val="710F728C"/>
    <w:rsid w:val="71233EF6"/>
    <w:rsid w:val="712A3247"/>
    <w:rsid w:val="7149701B"/>
    <w:rsid w:val="717A14B1"/>
    <w:rsid w:val="718D75C1"/>
    <w:rsid w:val="71A05546"/>
    <w:rsid w:val="71A97BF2"/>
    <w:rsid w:val="71BA4938"/>
    <w:rsid w:val="71D8462F"/>
    <w:rsid w:val="71E84E2D"/>
    <w:rsid w:val="72223437"/>
    <w:rsid w:val="722E2B52"/>
    <w:rsid w:val="722F2426"/>
    <w:rsid w:val="72677E12"/>
    <w:rsid w:val="729D1A86"/>
    <w:rsid w:val="72AE5A41"/>
    <w:rsid w:val="72CD0967"/>
    <w:rsid w:val="72D827E1"/>
    <w:rsid w:val="72E10A70"/>
    <w:rsid w:val="72E716A1"/>
    <w:rsid w:val="72E826C1"/>
    <w:rsid w:val="72F06E48"/>
    <w:rsid w:val="72F5541E"/>
    <w:rsid w:val="73233E20"/>
    <w:rsid w:val="73306456"/>
    <w:rsid w:val="73667C95"/>
    <w:rsid w:val="737946E3"/>
    <w:rsid w:val="73AC4413"/>
    <w:rsid w:val="73C13552"/>
    <w:rsid w:val="73C96FD0"/>
    <w:rsid w:val="73D70FC8"/>
    <w:rsid w:val="741B2C62"/>
    <w:rsid w:val="742C30C1"/>
    <w:rsid w:val="743C0E2B"/>
    <w:rsid w:val="748922C2"/>
    <w:rsid w:val="74A0760B"/>
    <w:rsid w:val="74B27425"/>
    <w:rsid w:val="74E67714"/>
    <w:rsid w:val="75063B4C"/>
    <w:rsid w:val="750D2EF3"/>
    <w:rsid w:val="752370C9"/>
    <w:rsid w:val="75336FD3"/>
    <w:rsid w:val="753F3CA4"/>
    <w:rsid w:val="7548217D"/>
    <w:rsid w:val="75720FA8"/>
    <w:rsid w:val="759119C2"/>
    <w:rsid w:val="759B1BF3"/>
    <w:rsid w:val="75A26D62"/>
    <w:rsid w:val="75B0387E"/>
    <w:rsid w:val="75B64972"/>
    <w:rsid w:val="75BE0ADD"/>
    <w:rsid w:val="75C06DDC"/>
    <w:rsid w:val="75CD2F00"/>
    <w:rsid w:val="760761F4"/>
    <w:rsid w:val="762D1373"/>
    <w:rsid w:val="7647594D"/>
    <w:rsid w:val="768D3BBF"/>
    <w:rsid w:val="769759B7"/>
    <w:rsid w:val="76982C90"/>
    <w:rsid w:val="76C55B25"/>
    <w:rsid w:val="76F6723F"/>
    <w:rsid w:val="773B361B"/>
    <w:rsid w:val="773C15B8"/>
    <w:rsid w:val="77564730"/>
    <w:rsid w:val="776E1C43"/>
    <w:rsid w:val="777D7F31"/>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5E2E8A"/>
    <w:rsid w:val="79645F30"/>
    <w:rsid w:val="79773031"/>
    <w:rsid w:val="79A47B9E"/>
    <w:rsid w:val="79DF0BD6"/>
    <w:rsid w:val="79F71A7C"/>
    <w:rsid w:val="7A456C8B"/>
    <w:rsid w:val="7A6147CA"/>
    <w:rsid w:val="7A7255A6"/>
    <w:rsid w:val="7ADA324A"/>
    <w:rsid w:val="7AEA5A84"/>
    <w:rsid w:val="7AF060C1"/>
    <w:rsid w:val="7B03673F"/>
    <w:rsid w:val="7B136D89"/>
    <w:rsid w:val="7B242D44"/>
    <w:rsid w:val="7B27424C"/>
    <w:rsid w:val="7B3D5BB4"/>
    <w:rsid w:val="7BA101CA"/>
    <w:rsid w:val="7BB87930"/>
    <w:rsid w:val="7BF22E42"/>
    <w:rsid w:val="7C26489A"/>
    <w:rsid w:val="7C3A7CDC"/>
    <w:rsid w:val="7C5533D1"/>
    <w:rsid w:val="7C890B90"/>
    <w:rsid w:val="7C8D4919"/>
    <w:rsid w:val="7CD95DB0"/>
    <w:rsid w:val="7D136216"/>
    <w:rsid w:val="7D3467E3"/>
    <w:rsid w:val="7D491FE6"/>
    <w:rsid w:val="7D59295C"/>
    <w:rsid w:val="7D8558F5"/>
    <w:rsid w:val="7DA77C5D"/>
    <w:rsid w:val="7DDA1DE0"/>
    <w:rsid w:val="7DF06F0E"/>
    <w:rsid w:val="7DFA4230"/>
    <w:rsid w:val="7E0E1A8A"/>
    <w:rsid w:val="7E2117BD"/>
    <w:rsid w:val="7E3C6D77"/>
    <w:rsid w:val="7E70757F"/>
    <w:rsid w:val="7E977CD1"/>
    <w:rsid w:val="7EC93128"/>
    <w:rsid w:val="7ECD476F"/>
    <w:rsid w:val="7ED00AED"/>
    <w:rsid w:val="7ED72E9F"/>
    <w:rsid w:val="7EDC56E4"/>
    <w:rsid w:val="7EE01327"/>
    <w:rsid w:val="7F016EF9"/>
    <w:rsid w:val="7F12400D"/>
    <w:rsid w:val="7F401355"/>
    <w:rsid w:val="7F407B93"/>
    <w:rsid w:val="7F413799"/>
    <w:rsid w:val="7F547A24"/>
    <w:rsid w:val="7F5E259D"/>
    <w:rsid w:val="7F914720"/>
    <w:rsid w:val="7FB06974"/>
    <w:rsid w:val="7FB87EFF"/>
    <w:rsid w:val="7FC74720"/>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1"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uiPriority="39"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autoRedefine/>
    <w:qFormat/>
    <w:uiPriority w:val="9"/>
    <w:pPr>
      <w:keepNext/>
      <w:keepLines/>
      <w:spacing w:before="340" w:after="330" w:line="578" w:lineRule="auto"/>
      <w:outlineLvl w:val="0"/>
    </w:pPr>
    <w:rPr>
      <w:bCs/>
      <w:kern w:val="44"/>
      <w:sz w:val="44"/>
      <w:szCs w:val="44"/>
    </w:rPr>
  </w:style>
  <w:style w:type="paragraph" w:styleId="3">
    <w:name w:val="heading 2"/>
    <w:basedOn w:val="1"/>
    <w:link w:val="39"/>
    <w:autoRedefine/>
    <w:semiHidden/>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38"/>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6">
    <w:name w:val="heading 5"/>
    <w:basedOn w:val="1"/>
    <w:qFormat/>
    <w:uiPriority w:val="0"/>
    <w:pPr>
      <w:keepNext/>
      <w:keepLines/>
      <w:spacing w:before="280" w:after="290" w:line="372" w:lineRule="auto"/>
      <w:outlineLvl w:val="4"/>
    </w:pPr>
    <w:rPr>
      <w:b/>
      <w:bCs/>
      <w:sz w:val="28"/>
      <w:szCs w:val="28"/>
    </w:rPr>
  </w:style>
  <w:style w:type="paragraph" w:styleId="7">
    <w:name w:val="heading 6"/>
    <w:basedOn w:val="1"/>
    <w:unhideWhenUsed/>
    <w:qFormat/>
    <w:uiPriority w:val="1"/>
    <w:pPr>
      <w:spacing w:beforeLines="0" w:afterLines="0"/>
      <w:ind w:left="111"/>
      <w:outlineLvl w:val="5"/>
    </w:pPr>
    <w:rPr>
      <w:rFonts w:hint="eastAsia" w:ascii="宋体" w:hAnsi="宋体" w:eastAsia="宋体"/>
      <w:b/>
      <w:sz w:val="24"/>
      <w:szCs w:val="24"/>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8">
    <w:name w:val="annotation text"/>
    <w:basedOn w:val="1"/>
    <w:link w:val="36"/>
    <w:autoRedefine/>
    <w:semiHidden/>
    <w:unhideWhenUsed/>
    <w:qFormat/>
    <w:uiPriority w:val="99"/>
    <w:pPr>
      <w:jc w:val="left"/>
    </w:pPr>
    <w:rPr>
      <w:rFonts w:hint="eastAsia" w:ascii="等线" w:hAnsi="等线" w:eastAsia="等线" w:cs="Times New Roman"/>
    </w:rPr>
  </w:style>
  <w:style w:type="paragraph" w:styleId="9">
    <w:name w:val="Body Text"/>
    <w:basedOn w:val="1"/>
    <w:next w:val="1"/>
    <w:link w:val="42"/>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10">
    <w:name w:val="Body Text Indent"/>
    <w:basedOn w:val="1"/>
    <w:autoRedefine/>
    <w:qFormat/>
    <w:uiPriority w:val="99"/>
    <w:pPr>
      <w:spacing w:line="480" w:lineRule="exact"/>
      <w:ind w:firstLine="560" w:firstLineChars="200"/>
    </w:pPr>
    <w:rPr>
      <w:sz w:val="24"/>
    </w:rPr>
  </w:style>
  <w:style w:type="paragraph" w:styleId="11">
    <w:name w:val="Plain Text"/>
    <w:basedOn w:val="1"/>
    <w:link w:val="40"/>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2">
    <w:name w:val="Body Text Indent 2"/>
    <w:basedOn w:val="1"/>
    <w:qFormat/>
    <w:uiPriority w:val="0"/>
    <w:pPr>
      <w:spacing w:after="120" w:line="480" w:lineRule="auto"/>
      <w:ind w:left="420" w:leftChars="200"/>
    </w:pPr>
    <w:rPr>
      <w:rFonts w:eastAsia="仿宋_GB2312"/>
      <w:sz w:val="32"/>
      <w:szCs w:val="32"/>
    </w:rPr>
  </w:style>
  <w:style w:type="paragraph" w:styleId="13">
    <w:name w:val="Balloon Text"/>
    <w:basedOn w:val="1"/>
    <w:link w:val="34"/>
    <w:autoRedefine/>
    <w:semiHidden/>
    <w:unhideWhenUsed/>
    <w:qFormat/>
    <w:uiPriority w:val="99"/>
    <w:rPr>
      <w:sz w:val="18"/>
      <w:szCs w:val="18"/>
    </w:rPr>
  </w:style>
  <w:style w:type="paragraph" w:styleId="14">
    <w:name w:val="footer"/>
    <w:basedOn w:val="1"/>
    <w:link w:val="33"/>
    <w:autoRedefine/>
    <w:unhideWhenUsed/>
    <w:qFormat/>
    <w:uiPriority w:val="99"/>
    <w:pPr>
      <w:tabs>
        <w:tab w:val="center" w:pos="4153"/>
        <w:tab w:val="right" w:pos="8306"/>
      </w:tabs>
      <w:snapToGrid w:val="0"/>
      <w:jc w:val="left"/>
    </w:pPr>
    <w:rPr>
      <w:sz w:val="18"/>
      <w:szCs w:val="18"/>
    </w:rPr>
  </w:style>
  <w:style w:type="paragraph" w:styleId="15">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6">
    <w:name w:val="header"/>
    <w:basedOn w:val="1"/>
    <w:link w:val="3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8"/>
    <w:next w:val="1"/>
    <w:qFormat/>
    <w:uiPriority w:val="39"/>
    <w:pPr>
      <w:tabs>
        <w:tab w:val="left" w:pos="1890"/>
        <w:tab w:val="right" w:leader="dot" w:pos="8296"/>
        <w:tab w:val="right" w:leader="dot" w:pos="8640"/>
      </w:tabs>
      <w:spacing w:beforeLines="50" w:afterLines="50" w:line="480" w:lineRule="exact"/>
    </w:pPr>
    <w:rPr>
      <w:rFonts w:ascii="Times New Roman" w:hAnsi="Times New Roman" w:eastAsia="仿宋_GB2312" w:cs="Times New Roman"/>
      <w:b/>
      <w:bCs/>
      <w:sz w:val="28"/>
      <w:szCs w:val="28"/>
    </w:rPr>
  </w:style>
  <w:style w:type="paragraph" w:styleId="18">
    <w:name w:val="toc 4"/>
    <w:basedOn w:val="1"/>
    <w:next w:val="1"/>
    <w:qFormat/>
    <w:uiPriority w:val="39"/>
    <w:pPr>
      <w:tabs>
        <w:tab w:val="left" w:pos="1890"/>
        <w:tab w:val="right" w:leader="dot" w:pos="8296"/>
      </w:tabs>
      <w:spacing w:line="540" w:lineRule="exact"/>
    </w:pPr>
    <w:rPr>
      <w:rFonts w:eastAsia="仿宋"/>
      <w:sz w:val="24"/>
    </w:rPr>
  </w:style>
  <w:style w:type="paragraph" w:styleId="19">
    <w:name w:val="Body Text Indent 3"/>
    <w:basedOn w:val="1"/>
    <w:qFormat/>
    <w:uiPriority w:val="0"/>
  </w:style>
  <w:style w:type="paragraph" w:styleId="20">
    <w:name w:val="toc 2"/>
    <w:basedOn w:val="18"/>
    <w:next w:val="1"/>
    <w:qFormat/>
    <w:uiPriority w:val="0"/>
    <w:pPr>
      <w:tabs>
        <w:tab w:val="right" w:leader="dot" w:pos="8306"/>
        <w:tab w:val="clear" w:pos="1890"/>
        <w:tab w:val="clear" w:pos="8296"/>
      </w:tabs>
      <w:spacing w:line="480" w:lineRule="exact"/>
      <w:ind w:firstLine="480" w:firstLineChars="200"/>
    </w:pPr>
  </w:style>
  <w:style w:type="paragraph" w:styleId="21">
    <w:name w:val="Normal (Web)"/>
    <w:basedOn w:val="1"/>
    <w:autoRedefine/>
    <w:semiHidden/>
    <w:unhideWhenUsed/>
    <w:qFormat/>
    <w:uiPriority w:val="99"/>
    <w:rPr>
      <w:sz w:val="24"/>
    </w:rPr>
  </w:style>
  <w:style w:type="paragraph" w:styleId="22">
    <w:name w:val="annotation subject"/>
    <w:basedOn w:val="8"/>
    <w:next w:val="8"/>
    <w:link w:val="37"/>
    <w:autoRedefine/>
    <w:semiHidden/>
    <w:unhideWhenUsed/>
    <w:qFormat/>
    <w:uiPriority w:val="99"/>
    <w:rPr>
      <w:b/>
      <w:bCs/>
    </w:rPr>
  </w:style>
  <w:style w:type="paragraph" w:styleId="23">
    <w:name w:val="Body Text First Indent"/>
    <w:basedOn w:val="9"/>
    <w:qFormat/>
    <w:uiPriority w:val="0"/>
    <w:pPr>
      <w:snapToGrid w:val="0"/>
      <w:spacing w:after="120" w:line="360" w:lineRule="auto"/>
      <w:ind w:right="240" w:firstLine="420" w:firstLineChars="100"/>
      <w:jc w:val="left"/>
    </w:pPr>
    <w:rPr>
      <w:rFonts w:ascii="宋体" w:hAnsi="宋体" w:eastAsia="方正仿宋_GBK"/>
      <w:szCs w:val="28"/>
    </w:rPr>
  </w:style>
  <w:style w:type="paragraph" w:styleId="24">
    <w:name w:val="Body Text First Indent 2"/>
    <w:basedOn w:val="10"/>
    <w:autoRedefine/>
    <w:unhideWhenUsed/>
    <w:qFormat/>
    <w:uiPriority w:val="0"/>
    <w:pPr>
      <w:spacing w:after="120" w:line="240" w:lineRule="auto"/>
      <w:ind w:left="420" w:leftChars="200" w:firstLine="420"/>
    </w:pPr>
    <w:rPr>
      <w:rFonts w:ascii="Calibri" w:hAnsi="Calibri" w:eastAsia="Times New Roman"/>
    </w:rPr>
  </w:style>
  <w:style w:type="table" w:styleId="26">
    <w:name w:val="Table Grid"/>
    <w:basedOn w:val="2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qFormat/>
    <w:uiPriority w:val="0"/>
  </w:style>
  <w:style w:type="character" w:styleId="29">
    <w:name w:val="Emphasis"/>
    <w:basedOn w:val="27"/>
    <w:qFormat/>
    <w:uiPriority w:val="0"/>
    <w:rPr>
      <w:i/>
    </w:rPr>
  </w:style>
  <w:style w:type="character" w:styleId="30">
    <w:name w:val="Hyperlink"/>
    <w:unhideWhenUsed/>
    <w:qFormat/>
    <w:uiPriority w:val="99"/>
    <w:rPr>
      <w:color w:val="0000FF"/>
      <w:u w:val="single"/>
    </w:rPr>
  </w:style>
  <w:style w:type="character" w:styleId="31">
    <w:name w:val="annotation reference"/>
    <w:basedOn w:val="27"/>
    <w:autoRedefine/>
    <w:semiHidden/>
    <w:unhideWhenUsed/>
    <w:qFormat/>
    <w:uiPriority w:val="99"/>
    <w:rPr>
      <w:sz w:val="21"/>
      <w:szCs w:val="21"/>
    </w:rPr>
  </w:style>
  <w:style w:type="character" w:customStyle="1" w:styleId="32">
    <w:name w:val="页眉 字符"/>
    <w:basedOn w:val="27"/>
    <w:link w:val="16"/>
    <w:autoRedefine/>
    <w:qFormat/>
    <w:uiPriority w:val="99"/>
    <w:rPr>
      <w:sz w:val="18"/>
      <w:szCs w:val="18"/>
    </w:rPr>
  </w:style>
  <w:style w:type="character" w:customStyle="1" w:styleId="33">
    <w:name w:val="页脚 字符"/>
    <w:basedOn w:val="27"/>
    <w:link w:val="14"/>
    <w:autoRedefine/>
    <w:qFormat/>
    <w:uiPriority w:val="99"/>
    <w:rPr>
      <w:sz w:val="18"/>
      <w:szCs w:val="18"/>
    </w:rPr>
  </w:style>
  <w:style w:type="character" w:customStyle="1" w:styleId="34">
    <w:name w:val="批注框文本 字符"/>
    <w:basedOn w:val="27"/>
    <w:link w:val="13"/>
    <w:autoRedefine/>
    <w:semiHidden/>
    <w:qFormat/>
    <w:uiPriority w:val="99"/>
    <w:rPr>
      <w:sz w:val="18"/>
      <w:szCs w:val="18"/>
    </w:rPr>
  </w:style>
  <w:style w:type="paragraph" w:styleId="35">
    <w:name w:val="List Paragraph"/>
    <w:basedOn w:val="1"/>
    <w:autoRedefine/>
    <w:qFormat/>
    <w:uiPriority w:val="34"/>
    <w:pPr>
      <w:ind w:firstLine="420" w:firstLineChars="200"/>
    </w:pPr>
  </w:style>
  <w:style w:type="character" w:customStyle="1" w:styleId="36">
    <w:name w:val="批注文字 字符"/>
    <w:basedOn w:val="27"/>
    <w:link w:val="8"/>
    <w:autoRedefine/>
    <w:semiHidden/>
    <w:qFormat/>
    <w:uiPriority w:val="99"/>
  </w:style>
  <w:style w:type="character" w:customStyle="1" w:styleId="37">
    <w:name w:val="批注主题 字符"/>
    <w:basedOn w:val="36"/>
    <w:link w:val="22"/>
    <w:autoRedefine/>
    <w:semiHidden/>
    <w:qFormat/>
    <w:uiPriority w:val="99"/>
    <w:rPr>
      <w:b/>
      <w:bCs/>
    </w:rPr>
  </w:style>
  <w:style w:type="character" w:customStyle="1" w:styleId="38">
    <w:name w:val="标题 3 字符"/>
    <w:basedOn w:val="27"/>
    <w:link w:val="4"/>
    <w:autoRedefine/>
    <w:qFormat/>
    <w:uiPriority w:val="9"/>
    <w:rPr>
      <w:rFonts w:ascii="Times New Roman" w:hAnsi="Times New Roman" w:eastAsia="宋体" w:cs="Times New Roman"/>
      <w:b/>
      <w:kern w:val="0"/>
      <w:sz w:val="24"/>
      <w:szCs w:val="24"/>
    </w:rPr>
  </w:style>
  <w:style w:type="character" w:customStyle="1" w:styleId="39">
    <w:name w:val="标题 2 字符"/>
    <w:basedOn w:val="27"/>
    <w:link w:val="3"/>
    <w:autoRedefine/>
    <w:semiHidden/>
    <w:qFormat/>
    <w:uiPriority w:val="9"/>
    <w:rPr>
      <w:rFonts w:asciiTheme="majorHAnsi" w:hAnsiTheme="majorHAnsi" w:eastAsiaTheme="majorEastAsia" w:cstheme="majorBidi"/>
      <w:b/>
      <w:bCs/>
      <w:sz w:val="32"/>
      <w:szCs w:val="32"/>
    </w:rPr>
  </w:style>
  <w:style w:type="character" w:customStyle="1" w:styleId="40">
    <w:name w:val="纯文本 字符"/>
    <w:basedOn w:val="27"/>
    <w:link w:val="11"/>
    <w:autoRedefine/>
    <w:qFormat/>
    <w:uiPriority w:val="99"/>
    <w:rPr>
      <w:rFonts w:ascii="宋体" w:hAnsi="Courier New" w:eastAsia="宋体" w:cs="宋体"/>
      <w:kern w:val="0"/>
      <w:sz w:val="20"/>
      <w:szCs w:val="20"/>
    </w:rPr>
  </w:style>
  <w:style w:type="character" w:customStyle="1" w:styleId="41">
    <w:name w:val="标题 1 字符"/>
    <w:basedOn w:val="27"/>
    <w:link w:val="2"/>
    <w:autoRedefine/>
    <w:qFormat/>
    <w:uiPriority w:val="9"/>
    <w:rPr>
      <w:b/>
      <w:bCs/>
      <w:kern w:val="44"/>
      <w:sz w:val="44"/>
      <w:szCs w:val="44"/>
    </w:rPr>
  </w:style>
  <w:style w:type="character" w:customStyle="1" w:styleId="42">
    <w:name w:val="正文文本 字符"/>
    <w:basedOn w:val="27"/>
    <w:link w:val="9"/>
    <w:autoRedefine/>
    <w:qFormat/>
    <w:uiPriority w:val="99"/>
    <w:rPr>
      <w:rFonts w:ascii="Times New Roman" w:hAnsi="Times New Roman" w:eastAsia="宋体" w:cs="Times New Roman"/>
      <w:kern w:val="0"/>
      <w:szCs w:val="21"/>
    </w:rPr>
  </w:style>
  <w:style w:type="paragraph" w:customStyle="1" w:styleId="43">
    <w:name w:val="List Paragraph1"/>
    <w:basedOn w:val="1"/>
    <w:autoRedefine/>
    <w:qFormat/>
    <w:uiPriority w:val="0"/>
    <w:pPr>
      <w:ind w:firstLine="420" w:firstLineChars="200"/>
    </w:pPr>
    <w:rPr>
      <w:rFonts w:ascii="等线" w:hAnsi="等线" w:eastAsia="等线" w:cs="Times New Roman"/>
      <w:szCs w:val="21"/>
    </w:rPr>
  </w:style>
  <w:style w:type="paragraph" w:customStyle="1" w:styleId="44">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普通(网站) Char"/>
    <w:basedOn w:val="1"/>
    <w:qFormat/>
    <w:uiPriority w:val="99"/>
    <w:pPr>
      <w:widowControl/>
      <w:adjustRightInd/>
      <w:spacing w:before="100" w:beforeAutospacing="1" w:after="100" w:afterAutospacing="1" w:line="360" w:lineRule="auto"/>
      <w:jc w:val="left"/>
      <w:textAlignment w:val="auto"/>
    </w:pPr>
    <w:rPr>
      <w:rFonts w:ascii="宋体" w:hAnsi="宋体" w:cs="宋体"/>
      <w:sz w:val="24"/>
      <w:szCs w:val="24"/>
    </w:rPr>
  </w:style>
  <w:style w:type="paragraph" w:customStyle="1" w:styleId="46">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_4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9">
    <w:name w:val="列出段落2"/>
    <w:basedOn w:val="1"/>
    <w:qFormat/>
    <w:uiPriority w:val="34"/>
    <w:pPr>
      <w:ind w:firstLine="420" w:firstLineChars="200"/>
    </w:pPr>
  </w:style>
  <w:style w:type="paragraph" w:customStyle="1" w:styleId="50">
    <w:name w:val="_Style 3"/>
    <w:basedOn w:val="2"/>
    <w:next w:val="1"/>
    <w:qFormat/>
    <w:uiPriority w:val="0"/>
    <w:pPr>
      <w:outlineLvl w:val="9"/>
    </w:pPr>
  </w:style>
  <w:style w:type="character" w:customStyle="1" w:styleId="51">
    <w:name w:val="font31"/>
    <w:basedOn w:val="27"/>
    <w:qFormat/>
    <w:uiPriority w:val="0"/>
    <w:rPr>
      <w:rFonts w:hint="eastAsia" w:ascii="楷体" w:hAnsi="楷体" w:eastAsia="楷体" w:cs="楷体"/>
      <w:color w:val="000000"/>
      <w:sz w:val="24"/>
      <w:szCs w:val="24"/>
      <w:u w:val="none"/>
    </w:rPr>
  </w:style>
  <w:style w:type="character" w:customStyle="1" w:styleId="52">
    <w:name w:val="font71"/>
    <w:basedOn w:val="27"/>
    <w:qFormat/>
    <w:uiPriority w:val="0"/>
    <w:rPr>
      <w:rFonts w:hint="eastAsia" w:ascii="宋体" w:hAnsi="宋体" w:eastAsia="宋体" w:cs="宋体"/>
      <w:b/>
      <w:bCs/>
      <w:color w:val="FF0000"/>
      <w:sz w:val="20"/>
      <w:szCs w:val="20"/>
      <w:u w:val="none"/>
    </w:rPr>
  </w:style>
  <w:style w:type="character" w:customStyle="1" w:styleId="53">
    <w:name w:val="font41"/>
    <w:basedOn w:val="27"/>
    <w:qFormat/>
    <w:uiPriority w:val="0"/>
    <w:rPr>
      <w:rFonts w:hint="eastAsia" w:ascii="楷体" w:hAnsi="楷体" w:eastAsia="楷体" w:cs="楷体"/>
      <w:color w:val="000000"/>
      <w:sz w:val="24"/>
      <w:szCs w:val="24"/>
      <w:u w:val="none"/>
    </w:rPr>
  </w:style>
  <w:style w:type="character" w:customStyle="1" w:styleId="54">
    <w:name w:val="font61"/>
    <w:basedOn w:val="27"/>
    <w:qFormat/>
    <w:uiPriority w:val="0"/>
    <w:rPr>
      <w:rFonts w:hint="eastAsia" w:ascii="宋体" w:hAnsi="宋体" w:eastAsia="宋体" w:cs="宋体"/>
      <w:color w:val="000000"/>
      <w:sz w:val="24"/>
      <w:szCs w:val="24"/>
      <w:u w:val="none"/>
    </w:rPr>
  </w:style>
  <w:style w:type="character" w:customStyle="1" w:styleId="55">
    <w:name w:val="font01"/>
    <w:basedOn w:val="27"/>
    <w:qFormat/>
    <w:uiPriority w:val="0"/>
    <w:rPr>
      <w:rFonts w:hint="eastAsia" w:ascii="宋体" w:hAnsi="宋体" w:eastAsia="宋体" w:cs="宋体"/>
      <w:color w:val="000000"/>
      <w:sz w:val="22"/>
      <w:szCs w:val="22"/>
      <w:u w:val="none"/>
    </w:rPr>
  </w:style>
  <w:style w:type="paragraph" w:customStyle="1" w:styleId="56">
    <w:name w:val="Table Paragraph"/>
    <w:basedOn w:val="1"/>
    <w:unhideWhenUsed/>
    <w:qFormat/>
    <w:uiPriority w:val="1"/>
    <w:pPr>
      <w:spacing w:beforeLines="0" w:afterLines="0"/>
    </w:pPr>
    <w:rPr>
      <w:rFonts w:hint="default"/>
      <w:sz w:val="24"/>
      <w:szCs w:val="24"/>
    </w:rPr>
  </w:style>
  <w:style w:type="paragraph" w:customStyle="1" w:styleId="57">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151</Pages>
  <Words>4060</Words>
  <Characters>4345</Characters>
  <Lines>90</Lines>
  <Paragraphs>25</Paragraphs>
  <TotalTime>182</TotalTime>
  <ScaleCrop>false</ScaleCrop>
  <LinksUpToDate>false</LinksUpToDate>
  <CharactersWithSpaces>4403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唐欢</cp:lastModifiedBy>
  <cp:lastPrinted>2024-05-31T07:48:00Z</cp:lastPrinted>
  <dcterms:modified xsi:type="dcterms:W3CDTF">2025-06-24T09:56:48Z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BC01E45B487E4C0B8F157AA0C0256DED_13</vt:lpwstr>
  </property>
  <property fmtid="{D5CDD505-2E9C-101B-9397-08002B2CF9AE}" pid="4" name="KSOTemplateDocerSaveRecord">
    <vt:lpwstr>eyJoZGlkIjoiMjY2YTc5MjYxZTA2YTJkZWRlNDJkNmMyYWE1ZjQzNTciLCJ1c2VySWQiOiIyMDA4ODUzNDQifQ==</vt:lpwstr>
  </property>
</Properties>
</file>