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BFAE6">
      <w:pPr>
        <w:jc w:val="both"/>
        <w:rPr>
          <w:rFonts w:hint="eastAsia" w:ascii="宋体" w:hAnsi="宋体" w:eastAsia="宋体"/>
          <w:color w:val="auto"/>
          <w:sz w:val="52"/>
          <w:szCs w:val="52"/>
          <w:highlight w:val="none"/>
          <w:lang w:eastAsia="zh-CN"/>
        </w:rPr>
      </w:pPr>
    </w:p>
    <w:p w14:paraId="209D6A95">
      <w:pPr>
        <w:jc w:val="center"/>
        <w:rPr>
          <w:rFonts w:hint="eastAsia" w:ascii="宋体" w:hAnsi="宋体" w:eastAsia="宋体"/>
          <w:color w:val="auto"/>
          <w:sz w:val="48"/>
          <w:szCs w:val="48"/>
          <w:highlight w:val="none"/>
          <w:u w:val="single"/>
          <w:lang w:eastAsia="zh-CN"/>
        </w:rPr>
      </w:pPr>
      <w:r>
        <w:rPr>
          <w:rFonts w:hint="eastAsia" w:ascii="宋体" w:hAnsi="宋体" w:eastAsia="宋体"/>
          <w:color w:val="auto"/>
          <w:sz w:val="48"/>
          <w:szCs w:val="48"/>
          <w:highlight w:val="none"/>
          <w:lang w:eastAsia="zh-CN"/>
        </w:rPr>
        <w:t>南宁轨道地产建筑工程有限责任公司2025年-2026年法律顾问采购</w:t>
      </w:r>
    </w:p>
    <w:p w14:paraId="581AF2BF">
      <w:pPr>
        <w:jc w:val="center"/>
        <w:rPr>
          <w:rFonts w:ascii="宋体" w:hAnsi="宋体" w:eastAsia="宋体"/>
          <w:color w:val="auto"/>
          <w:sz w:val="36"/>
          <w:szCs w:val="36"/>
          <w:highlight w:val="none"/>
        </w:rPr>
      </w:pPr>
    </w:p>
    <w:p w14:paraId="42588B3A">
      <w:pPr>
        <w:jc w:val="center"/>
        <w:rPr>
          <w:rFonts w:ascii="宋体" w:hAnsi="宋体" w:eastAsia="宋体"/>
          <w:color w:val="auto"/>
          <w:sz w:val="36"/>
          <w:szCs w:val="36"/>
          <w:highlight w:val="none"/>
        </w:rPr>
      </w:pPr>
    </w:p>
    <w:p w14:paraId="79D7CCAA">
      <w:pPr>
        <w:jc w:val="center"/>
        <w:rPr>
          <w:rFonts w:ascii="宋体" w:hAnsi="宋体" w:eastAsia="宋体"/>
          <w:color w:val="auto"/>
          <w:sz w:val="36"/>
          <w:szCs w:val="36"/>
          <w:highlight w:val="none"/>
        </w:rPr>
      </w:pPr>
    </w:p>
    <w:p w14:paraId="6E5CB4DC">
      <w:pPr>
        <w:jc w:val="center"/>
        <w:rPr>
          <w:rFonts w:ascii="宋体" w:hAnsi="宋体" w:eastAsia="宋体"/>
          <w:color w:val="auto"/>
          <w:sz w:val="36"/>
          <w:szCs w:val="36"/>
          <w:highlight w:val="none"/>
        </w:rPr>
      </w:pPr>
    </w:p>
    <w:p w14:paraId="22670863">
      <w:pPr>
        <w:jc w:val="center"/>
        <w:rPr>
          <w:rFonts w:ascii="宋体" w:hAnsi="宋体" w:eastAsia="宋体"/>
          <w:color w:val="auto"/>
          <w:sz w:val="36"/>
          <w:szCs w:val="36"/>
          <w:highlight w:val="none"/>
        </w:rPr>
      </w:pPr>
    </w:p>
    <w:p w14:paraId="4364632C">
      <w:pPr>
        <w:jc w:val="center"/>
        <w:rPr>
          <w:rFonts w:ascii="宋体" w:hAnsi="宋体" w:eastAsia="宋体"/>
          <w:color w:val="auto"/>
          <w:sz w:val="36"/>
          <w:szCs w:val="36"/>
          <w:highlight w:val="none"/>
        </w:rPr>
      </w:pPr>
    </w:p>
    <w:p w14:paraId="4DB36A12">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公开比选文件</w:t>
      </w:r>
    </w:p>
    <w:p w14:paraId="036951E4">
      <w:pPr>
        <w:jc w:val="center"/>
        <w:rPr>
          <w:rFonts w:ascii="宋体" w:hAnsi="宋体" w:eastAsia="宋体"/>
          <w:color w:val="auto"/>
          <w:sz w:val="36"/>
          <w:szCs w:val="36"/>
          <w:highlight w:val="none"/>
        </w:rPr>
      </w:pPr>
    </w:p>
    <w:p w14:paraId="581193E9">
      <w:pPr>
        <w:jc w:val="center"/>
        <w:rPr>
          <w:rFonts w:ascii="宋体" w:hAnsi="宋体" w:eastAsia="宋体"/>
          <w:color w:val="auto"/>
          <w:sz w:val="36"/>
          <w:szCs w:val="36"/>
          <w:highlight w:val="none"/>
        </w:rPr>
      </w:pPr>
    </w:p>
    <w:p w14:paraId="7BD8BD2D">
      <w:pPr>
        <w:jc w:val="center"/>
        <w:rPr>
          <w:rFonts w:ascii="宋体" w:hAnsi="宋体" w:eastAsia="宋体"/>
          <w:color w:val="auto"/>
          <w:sz w:val="36"/>
          <w:szCs w:val="36"/>
          <w:highlight w:val="none"/>
        </w:rPr>
      </w:pPr>
    </w:p>
    <w:p w14:paraId="4972CBF6">
      <w:pPr>
        <w:jc w:val="center"/>
        <w:rPr>
          <w:rFonts w:ascii="宋体" w:hAnsi="宋体" w:eastAsia="宋体"/>
          <w:color w:val="auto"/>
          <w:sz w:val="36"/>
          <w:szCs w:val="36"/>
          <w:highlight w:val="none"/>
        </w:rPr>
      </w:pPr>
    </w:p>
    <w:p w14:paraId="75483707">
      <w:pPr>
        <w:jc w:val="center"/>
        <w:rPr>
          <w:rFonts w:ascii="宋体" w:hAnsi="宋体" w:eastAsia="宋体"/>
          <w:color w:val="auto"/>
          <w:sz w:val="36"/>
          <w:szCs w:val="36"/>
          <w:highlight w:val="none"/>
        </w:rPr>
      </w:pPr>
    </w:p>
    <w:p w14:paraId="09C5724E">
      <w:pPr>
        <w:jc w:val="center"/>
        <w:rPr>
          <w:rFonts w:ascii="宋体" w:hAnsi="宋体" w:eastAsia="宋体"/>
          <w:color w:val="auto"/>
          <w:sz w:val="36"/>
          <w:szCs w:val="36"/>
          <w:highlight w:val="none"/>
        </w:rPr>
      </w:pPr>
    </w:p>
    <w:p w14:paraId="18EF4B96">
      <w:pPr>
        <w:jc w:val="center"/>
        <w:rPr>
          <w:rFonts w:ascii="宋体" w:hAnsi="宋体" w:eastAsia="宋体"/>
          <w:color w:val="auto"/>
          <w:sz w:val="36"/>
          <w:szCs w:val="36"/>
          <w:highlight w:val="none"/>
        </w:rPr>
      </w:pPr>
    </w:p>
    <w:p w14:paraId="4030820C">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71C24615">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2025年3月</w:t>
      </w:r>
    </w:p>
    <w:p w14:paraId="1D60FAB8">
      <w:pPr>
        <w:jc w:val="center"/>
        <w:rPr>
          <w:rFonts w:ascii="宋体" w:hAnsi="宋体" w:eastAsia="宋体"/>
          <w:color w:val="auto"/>
          <w:sz w:val="36"/>
          <w:szCs w:val="36"/>
          <w:highlight w:val="none"/>
        </w:rPr>
      </w:pPr>
    </w:p>
    <w:p w14:paraId="6DF3F0B5">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7441607">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227B039F">
      <w:pPr>
        <w:jc w:val="center"/>
        <w:rPr>
          <w:rFonts w:ascii="宋体" w:hAnsi="宋体" w:eastAsia="宋体"/>
          <w:color w:val="auto"/>
          <w:sz w:val="36"/>
          <w:szCs w:val="36"/>
          <w:highlight w:val="none"/>
        </w:rPr>
      </w:pPr>
    </w:p>
    <w:p w14:paraId="219F9BB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32BEB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5607264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3D262DA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第四章评审办法</w:t>
      </w:r>
    </w:p>
    <w:p w14:paraId="3C599F5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第五章比选申请文件格式</w:t>
      </w:r>
    </w:p>
    <w:p w14:paraId="35F5028C">
      <w:pPr>
        <w:jc w:val="center"/>
        <w:rPr>
          <w:rFonts w:ascii="宋体" w:hAnsi="宋体" w:eastAsia="宋体"/>
          <w:color w:val="auto"/>
          <w:sz w:val="36"/>
          <w:szCs w:val="36"/>
          <w:highlight w:val="none"/>
        </w:rPr>
      </w:pPr>
    </w:p>
    <w:p w14:paraId="3C2A149B">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0015C5DC">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0FC8A904">
      <w:pPr>
        <w:jc w:val="center"/>
        <w:rPr>
          <w:rFonts w:ascii="宋体" w:hAnsi="宋体" w:eastAsia="宋体"/>
          <w:color w:val="auto"/>
          <w:sz w:val="36"/>
          <w:szCs w:val="36"/>
          <w:highlight w:val="none"/>
          <w:u w:val="single"/>
        </w:rPr>
      </w:pPr>
    </w:p>
    <w:p w14:paraId="0634FA75">
      <w:pPr>
        <w:jc w:val="center"/>
        <w:rPr>
          <w:rFonts w:hint="eastAsia" w:ascii="宋体" w:hAnsi="宋体" w:eastAsia="宋体"/>
          <w:color w:val="auto"/>
          <w:sz w:val="36"/>
          <w:szCs w:val="36"/>
          <w:highlight w:val="none"/>
          <w:lang w:eastAsia="zh-CN"/>
        </w:rPr>
      </w:pPr>
      <w:r>
        <w:rPr>
          <w:rFonts w:hint="eastAsia" w:ascii="宋体" w:hAnsi="宋体" w:eastAsia="宋体"/>
          <w:color w:val="auto"/>
          <w:sz w:val="36"/>
          <w:szCs w:val="36"/>
          <w:highlight w:val="none"/>
          <w:lang w:eastAsia="zh-CN"/>
        </w:rPr>
        <w:t>南宁轨道地产建筑工程有限责任公司</w:t>
      </w:r>
    </w:p>
    <w:p w14:paraId="51287F96">
      <w:pPr>
        <w:jc w:val="center"/>
        <w:rPr>
          <w:rFonts w:hint="eastAsia" w:ascii="宋体" w:hAnsi="宋体" w:eastAsia="宋体"/>
          <w:color w:val="auto"/>
          <w:sz w:val="36"/>
          <w:szCs w:val="36"/>
          <w:highlight w:val="none"/>
          <w:lang w:eastAsia="zh-CN"/>
        </w:rPr>
      </w:pPr>
      <w:r>
        <w:rPr>
          <w:rFonts w:hint="eastAsia" w:ascii="宋体" w:hAnsi="宋体" w:eastAsia="宋体"/>
          <w:color w:val="auto"/>
          <w:sz w:val="36"/>
          <w:szCs w:val="36"/>
          <w:highlight w:val="none"/>
          <w:lang w:eastAsia="zh-CN"/>
        </w:rPr>
        <w:t>2025年-2026年法律顾问采购</w:t>
      </w:r>
    </w:p>
    <w:p w14:paraId="2AC94B1B">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比选公告</w:t>
      </w:r>
    </w:p>
    <w:p w14:paraId="64934BA3">
      <w:pPr>
        <w:jc w:val="center"/>
        <w:rPr>
          <w:rFonts w:ascii="宋体" w:hAnsi="宋体" w:eastAsia="宋体"/>
          <w:color w:val="auto"/>
          <w:sz w:val="36"/>
          <w:szCs w:val="36"/>
          <w:highlight w:val="none"/>
        </w:rPr>
      </w:pPr>
    </w:p>
    <w:p w14:paraId="30633B7F">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3E17F816">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498FBD8">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18DF7A4A">
      <w:pPr>
        <w:pStyle w:val="25"/>
        <w:spacing w:line="480" w:lineRule="exact"/>
        <w:ind w:firstLine="480"/>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南宁轨道地产建筑工程有限责任公司2025年-2026年法律顾问采购</w:t>
      </w:r>
    </w:p>
    <w:p w14:paraId="06E7A8C2">
      <w:pPr>
        <w:pStyle w:val="25"/>
        <w:spacing w:line="480" w:lineRule="exact"/>
        <w:ind w:firstLine="48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项目</w:t>
      </w:r>
      <w:r>
        <w:rPr>
          <w:rFonts w:hint="eastAsia" w:ascii="宋体" w:hAnsi="宋体" w:eastAsia="宋体"/>
          <w:color w:val="auto"/>
          <w:sz w:val="24"/>
          <w:szCs w:val="24"/>
          <w:highlight w:val="none"/>
          <w:lang w:val="en-US" w:eastAsia="zh-CN"/>
        </w:rPr>
        <w:t>上控价</w:t>
      </w:r>
      <w:r>
        <w:rPr>
          <w:rFonts w:hint="eastAsia" w:ascii="宋体" w:hAnsi="宋体" w:eastAsia="宋体"/>
          <w:color w:val="auto"/>
          <w:sz w:val="24"/>
          <w:szCs w:val="24"/>
          <w:highlight w:val="none"/>
        </w:rPr>
        <w:t>：人民币</w:t>
      </w:r>
      <w:r>
        <w:rPr>
          <w:rFonts w:hint="eastAsia" w:ascii="宋体" w:hAnsi="宋体" w:eastAsia="宋体"/>
          <w:color w:val="auto"/>
          <w:sz w:val="24"/>
          <w:szCs w:val="24"/>
          <w:highlight w:val="none"/>
          <w:u w:val="single"/>
          <w:lang w:val="en-US" w:eastAsia="zh-CN"/>
        </w:rPr>
        <w:t>50000.00</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税率6%</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比选申请人所报总价及单价均不能高于比选人所提供的控制价，否则视为废标文件。</w:t>
      </w:r>
    </w:p>
    <w:p w14:paraId="5703A315">
      <w:pPr>
        <w:pStyle w:val="33"/>
        <w:spacing w:line="480" w:lineRule="exact"/>
        <w:jc w:val="left"/>
        <w:rPr>
          <w:rFonts w:ascii="宋体" w:hAnsi="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w:t>
      </w:r>
      <w:r>
        <w:rPr>
          <w:rFonts w:hint="eastAsia" w:ascii="宋体" w:hAnsi="宋体" w:eastAsia="宋体" w:cstheme="minorBidi"/>
          <w:color w:val="auto"/>
          <w:kern w:val="2"/>
          <w:sz w:val="24"/>
          <w:szCs w:val="24"/>
          <w:highlight w:val="none"/>
          <w:lang w:val="en-US" w:eastAsia="zh-CN" w:bidi="ar-SA"/>
        </w:rPr>
        <w:t>服务期：2025年4月24日-2026年4月23日。</w:t>
      </w:r>
    </w:p>
    <w:p w14:paraId="2D5CB841">
      <w:pPr>
        <w:pStyle w:val="25"/>
        <w:spacing w:line="480" w:lineRule="exact"/>
        <w:ind w:firstLine="480"/>
        <w:jc w:val="left"/>
        <w:rPr>
          <w:rFonts w:hint="eastAsia" w:ascii="宋体" w:hAnsi="宋体" w:eastAsia="宋体" w:cs="Times New Roman"/>
          <w:b w:val="0"/>
          <w:bCs w:val="0"/>
          <w:color w:val="auto"/>
          <w:kern w:val="2"/>
          <w:sz w:val="24"/>
          <w:szCs w:val="24"/>
          <w:highlight w:val="none"/>
          <w:u w:val="none"/>
          <w:lang w:val="en-US" w:eastAsia="zh-CN" w:bidi="ar-SA"/>
        </w:rPr>
      </w:pPr>
      <w:r>
        <w:rPr>
          <w:rFonts w:hint="eastAsia" w:ascii="宋体" w:hAnsi="宋体" w:eastAsia="宋体" w:cs="Times New Roman"/>
          <w:b w:val="0"/>
          <w:bCs w:val="0"/>
          <w:color w:val="auto"/>
          <w:kern w:val="2"/>
          <w:sz w:val="24"/>
          <w:szCs w:val="24"/>
          <w:highlight w:val="none"/>
          <w:u w:val="none"/>
          <w:lang w:val="en-US" w:eastAsia="zh-CN" w:bidi="ar-SA"/>
        </w:rPr>
        <w:t>（4</w:t>
      </w:r>
      <w:r>
        <w:rPr>
          <w:rFonts w:hint="eastAsia" w:ascii="宋体" w:hAnsi="宋体" w:eastAsia="宋体" w:cstheme="minorBidi"/>
          <w:color w:val="auto"/>
          <w:kern w:val="2"/>
          <w:sz w:val="24"/>
          <w:szCs w:val="24"/>
          <w:highlight w:val="none"/>
          <w:lang w:val="en-US" w:eastAsia="zh-CN" w:bidi="ar-SA"/>
        </w:rPr>
        <w:t>）服务地点：南</w:t>
      </w:r>
      <w:r>
        <w:rPr>
          <w:rFonts w:hint="eastAsia" w:ascii="宋体" w:hAnsi="宋体" w:eastAsia="宋体"/>
          <w:color w:val="auto"/>
          <w:sz w:val="24"/>
          <w:szCs w:val="24"/>
          <w:highlight w:val="none"/>
          <w:u w:val="single"/>
          <w:lang w:eastAsia="zh-CN"/>
        </w:rPr>
        <w:t>宁市青秀区凤岭北路111号‌‌国际旅游中心C座3</w:t>
      </w:r>
      <w:r>
        <w:rPr>
          <w:rFonts w:hint="eastAsia" w:ascii="宋体" w:hAnsi="宋体" w:eastAsia="宋体"/>
          <w:color w:val="auto"/>
          <w:sz w:val="24"/>
          <w:szCs w:val="24"/>
          <w:highlight w:val="none"/>
          <w:u w:val="single"/>
          <w:lang w:val="en-US" w:eastAsia="zh-CN"/>
        </w:rPr>
        <w:t>6-38</w:t>
      </w:r>
      <w:r>
        <w:rPr>
          <w:rFonts w:hint="eastAsia" w:ascii="宋体" w:hAnsi="宋体" w:eastAsia="宋体"/>
          <w:color w:val="auto"/>
          <w:sz w:val="24"/>
          <w:szCs w:val="24"/>
          <w:highlight w:val="none"/>
          <w:u w:val="single"/>
          <w:lang w:eastAsia="zh-CN"/>
        </w:rPr>
        <w:t>楼</w:t>
      </w:r>
      <w:r>
        <w:rPr>
          <w:rFonts w:hint="eastAsia" w:ascii="宋体" w:hAnsi="宋体" w:eastAsia="宋体" w:cs="Times New Roman"/>
          <w:b w:val="0"/>
          <w:bCs w:val="0"/>
          <w:color w:val="auto"/>
          <w:kern w:val="2"/>
          <w:sz w:val="24"/>
          <w:szCs w:val="24"/>
          <w:highlight w:val="none"/>
          <w:u w:val="none"/>
          <w:lang w:val="en-US" w:eastAsia="zh-CN" w:bidi="ar-SA"/>
        </w:rPr>
        <w:t>。</w:t>
      </w:r>
    </w:p>
    <w:p w14:paraId="30E21649">
      <w:pPr>
        <w:pStyle w:val="25"/>
        <w:spacing w:line="480" w:lineRule="exact"/>
        <w:ind w:firstLine="480"/>
        <w:jc w:val="left"/>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3、采购范围：</w:t>
      </w:r>
    </w:p>
    <w:p w14:paraId="371F5EA3">
      <w:pPr>
        <w:pStyle w:val="25"/>
        <w:spacing w:line="480" w:lineRule="exact"/>
        <w:ind w:firstLine="480"/>
        <w:jc w:val="left"/>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1）服务内容：南宁轨道地产建筑工程有限责任公司2025年-2026年法律顾问（包含但不限于法律咨询；合同风险管控；草拟、修改、审核各类合同、协议、招采文件；应邀列席重大会议等提供法律服务；根据需要到现场沟通洽谈；就专门事项出具律师函、法律意见书/法律顾问咨询表；对员工开展法律宣传；对采购、合同管理岗位工作人员进行工作指导；参加合同纠纷事项的调解和谈判并出具法律意见和建议，服务期内至少2次专题法律培训服务等）。</w:t>
      </w:r>
    </w:p>
    <w:p w14:paraId="2686E15A">
      <w:pPr>
        <w:spacing w:before="0" w:after="0" w:afterAutospacing="0"/>
        <w:ind w:left="0" w:right="0" w:firstLine="480" w:firstLineChars="200"/>
        <w:rPr>
          <w:rFonts w:hint="eastAsia"/>
          <w:color w:val="auto"/>
          <w:highlight w:val="none"/>
          <w:lang w:eastAsia="zh-CN"/>
        </w:rPr>
      </w:pPr>
      <w:r>
        <w:rPr>
          <w:rFonts w:hint="eastAsia" w:ascii="宋体" w:hAnsi="宋体" w:eastAsia="宋体" w:cstheme="minorBidi"/>
          <w:color w:val="auto"/>
          <w:kern w:val="2"/>
          <w:sz w:val="24"/>
          <w:szCs w:val="24"/>
          <w:highlight w:val="none"/>
          <w:lang w:val="en-US" w:eastAsia="zh-CN" w:bidi="ar-SA"/>
        </w:rPr>
        <w:t>（2）服务质量要求：</w:t>
      </w:r>
    </w:p>
    <w:p w14:paraId="63C166FB">
      <w:pPr>
        <w:pStyle w:val="25"/>
        <w:spacing w:line="480" w:lineRule="exact"/>
        <w:ind w:firstLine="480"/>
        <w:jc w:val="left"/>
        <w:rPr>
          <w:rFonts w:hint="default" w:ascii="宋体" w:hAnsi="宋体" w:eastAsia="宋体" w:cs="Times New Roman"/>
          <w:b w:val="0"/>
          <w:bCs w:val="0"/>
          <w:color w:val="auto"/>
          <w:kern w:val="2"/>
          <w:sz w:val="24"/>
          <w:szCs w:val="24"/>
          <w:highlight w:val="none"/>
          <w:u w:val="none"/>
          <w:lang w:val="en-US" w:eastAsia="zh-CN" w:bidi="ar-SA"/>
        </w:rPr>
      </w:pPr>
      <w:r>
        <w:rPr>
          <w:rFonts w:hint="default" w:ascii="宋体" w:hAnsi="宋体" w:eastAsia="宋体" w:cs="Times New Roman"/>
          <w:b w:val="0"/>
          <w:bCs w:val="0"/>
          <w:color w:val="auto"/>
          <w:kern w:val="2"/>
          <w:sz w:val="24"/>
          <w:szCs w:val="24"/>
          <w:highlight w:val="none"/>
          <w:u w:val="none"/>
          <w:lang w:val="en-US" w:eastAsia="zh-CN" w:bidi="ar-SA"/>
        </w:rPr>
        <w:t>①法律咨询要及时、准确，一般问题顾问律师应即时解答；较为疑难、复杂的问题半日内予以解答，最长不超过24小时；重大疑难问题在两日内作出解答，最长不得超过48小时。</w:t>
      </w:r>
    </w:p>
    <w:p w14:paraId="6904DA77">
      <w:pPr>
        <w:pStyle w:val="25"/>
        <w:spacing w:line="480" w:lineRule="exact"/>
        <w:ind w:firstLine="480"/>
        <w:jc w:val="left"/>
        <w:rPr>
          <w:rFonts w:hint="default" w:ascii="宋体" w:hAnsi="宋体" w:eastAsia="宋体" w:cs="Times New Roman"/>
          <w:b w:val="0"/>
          <w:bCs w:val="0"/>
          <w:color w:val="auto"/>
          <w:kern w:val="2"/>
          <w:sz w:val="24"/>
          <w:szCs w:val="24"/>
          <w:highlight w:val="none"/>
          <w:u w:val="none"/>
          <w:lang w:val="en-US" w:eastAsia="zh-CN" w:bidi="ar-SA"/>
        </w:rPr>
      </w:pPr>
      <w:r>
        <w:rPr>
          <w:rFonts w:hint="default" w:ascii="宋体" w:hAnsi="宋体" w:eastAsia="宋体" w:cs="Times New Roman"/>
          <w:b w:val="0"/>
          <w:bCs w:val="0"/>
          <w:color w:val="auto"/>
          <w:kern w:val="2"/>
          <w:sz w:val="24"/>
          <w:szCs w:val="24"/>
          <w:highlight w:val="none"/>
          <w:u w:val="none"/>
          <w:lang w:val="en-US" w:eastAsia="zh-CN" w:bidi="ar-SA"/>
        </w:rPr>
        <w:t>②根据甲方的要求，线上或线下草拟、审查或修改合同文本、</w:t>
      </w:r>
      <w:r>
        <w:rPr>
          <w:rFonts w:hint="eastAsia" w:ascii="宋体" w:hAnsi="宋体" w:eastAsia="宋体"/>
          <w:color w:val="auto"/>
          <w:sz w:val="24"/>
          <w:szCs w:val="24"/>
          <w:highlight w:val="none"/>
          <w:lang w:val="en-US" w:eastAsia="zh-CN"/>
        </w:rPr>
        <w:t>招采文件</w:t>
      </w:r>
      <w:r>
        <w:rPr>
          <w:rFonts w:hint="eastAsia" w:ascii="宋体" w:hAnsi="宋体" w:eastAsia="宋体" w:cs="Times New Roman"/>
          <w:b w:val="0"/>
          <w:bCs w:val="0"/>
          <w:color w:val="auto"/>
          <w:kern w:val="2"/>
          <w:sz w:val="24"/>
          <w:szCs w:val="24"/>
          <w:highlight w:val="none"/>
          <w:u w:val="none"/>
          <w:lang w:val="en-US" w:eastAsia="zh-CN" w:bidi="ar-SA"/>
        </w:rPr>
        <w:t>及</w:t>
      </w:r>
      <w:r>
        <w:rPr>
          <w:rFonts w:hint="default" w:ascii="宋体" w:hAnsi="宋体" w:eastAsia="宋体" w:cs="Times New Roman"/>
          <w:b w:val="0"/>
          <w:bCs w:val="0"/>
          <w:color w:val="auto"/>
          <w:kern w:val="2"/>
          <w:sz w:val="24"/>
          <w:szCs w:val="24"/>
          <w:highlight w:val="none"/>
          <w:u w:val="none"/>
          <w:lang w:val="en-US" w:eastAsia="zh-CN" w:bidi="ar-SA"/>
        </w:rPr>
        <w:t>其他法律文书，涉及一般法律问题的合同在半日内起草或审查完毕，最长不超过24小时；涉及法律问题较为复杂的合同，在24小时内完成起草和审查；涉及重大疑难法律问题的合同，两日内需完成起草和审查；涉及紧急业务的合同及文书，在接到甲方通知起半日内完成审查。</w:t>
      </w:r>
    </w:p>
    <w:p w14:paraId="01F10102">
      <w:pPr>
        <w:pStyle w:val="25"/>
        <w:spacing w:line="480" w:lineRule="exact"/>
        <w:ind w:firstLine="480"/>
        <w:jc w:val="left"/>
        <w:rPr>
          <w:rFonts w:hint="default" w:ascii="宋体" w:hAnsi="宋体" w:eastAsia="宋体" w:cs="Times New Roman"/>
          <w:b w:val="0"/>
          <w:bCs w:val="0"/>
          <w:color w:val="auto"/>
          <w:kern w:val="2"/>
          <w:sz w:val="24"/>
          <w:szCs w:val="24"/>
          <w:highlight w:val="none"/>
          <w:u w:val="none"/>
          <w:lang w:val="en-US" w:eastAsia="zh-CN" w:bidi="ar-SA"/>
        </w:rPr>
      </w:pPr>
      <w:r>
        <w:rPr>
          <w:rFonts w:hint="default" w:ascii="宋体" w:hAnsi="宋体" w:eastAsia="宋体" w:cs="Times New Roman"/>
          <w:b w:val="0"/>
          <w:bCs w:val="0"/>
          <w:color w:val="auto"/>
          <w:kern w:val="2"/>
          <w:sz w:val="24"/>
          <w:szCs w:val="24"/>
          <w:highlight w:val="none"/>
          <w:u w:val="none"/>
          <w:lang w:val="en-US" w:eastAsia="zh-CN" w:bidi="ar-SA"/>
        </w:rPr>
        <w:t>③应邀参与甲方与第三方的业务谈判时，顾问律师应确保在谈判前或谈判过程中能及时了解谈判业务所涉及到的有关法律问题和法律风险，并针对可能存在的法律风险点拟出相关意见和建议，出具法律意见书/法律顾问咨询表的时间不超过24小时。</w:t>
      </w:r>
    </w:p>
    <w:p w14:paraId="0B267CD2">
      <w:pPr>
        <w:pStyle w:val="25"/>
        <w:spacing w:line="480" w:lineRule="exact"/>
        <w:ind w:firstLine="480"/>
        <w:jc w:val="left"/>
        <w:rPr>
          <w:rFonts w:hint="default" w:ascii="宋体" w:hAnsi="宋体" w:eastAsia="宋体" w:cs="Times New Roman"/>
          <w:b w:val="0"/>
          <w:bCs w:val="0"/>
          <w:color w:val="auto"/>
          <w:kern w:val="2"/>
          <w:sz w:val="24"/>
          <w:szCs w:val="24"/>
          <w:highlight w:val="none"/>
          <w:u w:val="none"/>
          <w:lang w:val="en-US" w:eastAsia="zh-CN" w:bidi="ar-SA"/>
        </w:rPr>
      </w:pPr>
      <w:r>
        <w:rPr>
          <w:rFonts w:hint="default" w:ascii="宋体" w:hAnsi="宋体" w:eastAsia="宋体" w:cs="Times New Roman"/>
          <w:b w:val="0"/>
          <w:bCs w:val="0"/>
          <w:color w:val="auto"/>
          <w:kern w:val="2"/>
          <w:sz w:val="24"/>
          <w:szCs w:val="24"/>
          <w:highlight w:val="none"/>
          <w:u w:val="none"/>
          <w:lang w:val="en-US" w:eastAsia="zh-CN" w:bidi="ar-SA"/>
        </w:rPr>
        <w:t>④应甲方的要求，就专门法律问题或应经营活动的需要出具法律意见书/法律顾问咨询表的，一般问题的法律意见书/法律顾问咨询表应在24小时内出具，疑难复杂性问题的法律意见书/法律顾问咨询表应在48小时内出具，最长不超过72小时。</w:t>
      </w:r>
    </w:p>
    <w:p w14:paraId="6BA5561A">
      <w:pPr>
        <w:pStyle w:val="25"/>
        <w:spacing w:line="480" w:lineRule="exact"/>
        <w:ind w:firstLine="480"/>
        <w:jc w:val="left"/>
        <w:rPr>
          <w:rFonts w:hint="default" w:ascii="宋体" w:hAnsi="宋体" w:eastAsia="宋体" w:cs="Times New Roman"/>
          <w:b w:val="0"/>
          <w:bCs w:val="0"/>
          <w:color w:val="auto"/>
          <w:kern w:val="2"/>
          <w:sz w:val="24"/>
          <w:szCs w:val="24"/>
          <w:highlight w:val="none"/>
          <w:u w:val="none"/>
          <w:lang w:val="en-US" w:eastAsia="zh-CN" w:bidi="ar-SA"/>
        </w:rPr>
      </w:pPr>
      <w:r>
        <w:rPr>
          <w:rFonts w:hint="default" w:ascii="宋体" w:hAnsi="宋体" w:eastAsia="宋体" w:cs="Times New Roman"/>
          <w:b w:val="0"/>
          <w:bCs w:val="0"/>
          <w:color w:val="auto"/>
          <w:kern w:val="2"/>
          <w:sz w:val="24"/>
          <w:szCs w:val="24"/>
          <w:highlight w:val="none"/>
          <w:u w:val="none"/>
          <w:lang w:val="en-US" w:eastAsia="zh-CN" w:bidi="ar-SA"/>
        </w:rPr>
        <w:t>⑤协助甲方抓好普法教育工作，结合甲方业务的实际情况，开展各种形式的法律专业知识教育，每年应不少于两次培训。</w:t>
      </w:r>
    </w:p>
    <w:p w14:paraId="443161D6">
      <w:pPr>
        <w:pStyle w:val="25"/>
        <w:spacing w:line="480" w:lineRule="exact"/>
        <w:ind w:firstLine="480"/>
        <w:jc w:val="left"/>
        <w:rPr>
          <w:rFonts w:hint="default" w:ascii="宋体" w:hAnsi="宋体" w:eastAsia="宋体" w:cs="Times New Roman"/>
          <w:b w:val="0"/>
          <w:bCs w:val="0"/>
          <w:color w:val="auto"/>
          <w:kern w:val="2"/>
          <w:sz w:val="24"/>
          <w:szCs w:val="24"/>
          <w:highlight w:val="none"/>
          <w:u w:val="none"/>
          <w:lang w:val="en-US" w:eastAsia="zh-CN" w:bidi="ar-SA"/>
        </w:rPr>
      </w:pPr>
      <w:r>
        <w:rPr>
          <w:rFonts w:hint="default" w:ascii="宋体" w:hAnsi="宋体" w:eastAsia="宋体" w:cs="Times New Roman"/>
          <w:b w:val="0"/>
          <w:bCs w:val="0"/>
          <w:color w:val="auto"/>
          <w:kern w:val="2"/>
          <w:sz w:val="24"/>
          <w:szCs w:val="24"/>
          <w:highlight w:val="none"/>
          <w:u w:val="none"/>
          <w:lang w:val="en-US" w:eastAsia="zh-CN" w:bidi="ar-SA"/>
        </w:rPr>
        <w:t>⑥顾问律师要全方位地掌握甲方的法律需求，服务态度需做到有问必答、要事必办、有疑必释、有难必帮，若因顾问律师的服务态度问题遭到甲方的投诉，甲方采购负责人需立即出面调解，若调节未果甲方有权终止合作。</w:t>
      </w:r>
    </w:p>
    <w:p w14:paraId="784603FA">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、比选申请人资格要求（详见比选申请须知前附表）</w:t>
      </w:r>
    </w:p>
    <w:p w14:paraId="249EEBB7">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、发布公告媒介和比选文件的获取</w:t>
      </w:r>
    </w:p>
    <w:p w14:paraId="3923DE5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759C8E1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246D90B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比选申请截止时间和地点</w:t>
      </w:r>
    </w:p>
    <w:p w14:paraId="5CE418C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none"/>
          <w:lang w:eastAsia="zh-CN"/>
        </w:rPr>
        <w:t>2025年</w:t>
      </w:r>
      <w:r>
        <w:rPr>
          <w:rFonts w:hint="eastAsia" w:ascii="宋体" w:hAnsi="宋体" w:eastAsia="宋体"/>
          <w:color w:val="auto"/>
          <w:sz w:val="24"/>
          <w:szCs w:val="24"/>
          <w:highlight w:val="none"/>
          <w:u w:val="none"/>
          <w:lang w:val="en-US" w:eastAsia="zh-CN"/>
        </w:rPr>
        <w:t>3</w:t>
      </w:r>
      <w:r>
        <w:rPr>
          <w:rFonts w:hint="eastAsia" w:ascii="宋体" w:hAnsi="宋体" w:eastAsia="宋体"/>
          <w:color w:val="auto"/>
          <w:sz w:val="24"/>
          <w:szCs w:val="24"/>
          <w:highlight w:val="none"/>
          <w:u w:val="none"/>
          <w:lang w:eastAsia="zh-CN"/>
        </w:rPr>
        <w:t>月</w:t>
      </w:r>
      <w:r>
        <w:rPr>
          <w:rFonts w:hint="eastAsia" w:ascii="宋体" w:hAnsi="宋体" w:eastAsia="宋体"/>
          <w:color w:val="auto"/>
          <w:sz w:val="24"/>
          <w:szCs w:val="24"/>
          <w:highlight w:val="none"/>
          <w:u w:val="none"/>
          <w:lang w:val="en-US" w:eastAsia="zh-CN"/>
        </w:rPr>
        <w:t>26</w:t>
      </w:r>
      <w:r>
        <w:rPr>
          <w:rFonts w:hint="eastAsia" w:ascii="宋体" w:hAnsi="宋体" w:eastAsia="宋体"/>
          <w:color w:val="auto"/>
          <w:sz w:val="24"/>
          <w:szCs w:val="24"/>
          <w:highlight w:val="none"/>
          <w:u w:val="none"/>
        </w:rPr>
        <w:t>日</w:t>
      </w:r>
      <w:r>
        <w:rPr>
          <w:rFonts w:hint="eastAsia" w:ascii="宋体" w:hAnsi="宋体" w:eastAsia="宋体"/>
          <w:color w:val="auto"/>
          <w:sz w:val="24"/>
          <w:szCs w:val="24"/>
          <w:highlight w:val="none"/>
          <w:u w:val="none"/>
          <w:lang w:val="en-US" w:eastAsia="zh-CN"/>
        </w:rPr>
        <w:t>18</w:t>
      </w:r>
      <w:r>
        <w:rPr>
          <w:rFonts w:hint="eastAsia" w:ascii="宋体" w:hAnsi="宋体" w:eastAsia="宋体"/>
          <w:color w:val="auto"/>
          <w:sz w:val="24"/>
          <w:szCs w:val="24"/>
          <w:highlight w:val="none"/>
          <w:u w:val="none"/>
        </w:rPr>
        <w:t>时</w:t>
      </w:r>
      <w:r>
        <w:rPr>
          <w:rFonts w:hint="eastAsia" w:ascii="宋体" w:hAnsi="宋体" w:eastAsia="宋体"/>
          <w:color w:val="auto"/>
          <w:sz w:val="24"/>
          <w:szCs w:val="24"/>
          <w:highlight w:val="none"/>
          <w:u w:val="none"/>
          <w:lang w:val="en-US" w:eastAsia="zh-CN"/>
        </w:rPr>
        <w:t>00</w:t>
      </w:r>
      <w:r>
        <w:rPr>
          <w:rFonts w:hint="eastAsia" w:ascii="宋体" w:hAnsi="宋体" w:eastAsia="宋体"/>
          <w:color w:val="auto"/>
          <w:sz w:val="24"/>
          <w:szCs w:val="24"/>
          <w:highlight w:val="none"/>
          <w:u w:val="none"/>
        </w:rPr>
        <w:t>分</w:t>
      </w:r>
      <w:r>
        <w:rPr>
          <w:rFonts w:hint="eastAsia" w:ascii="宋体" w:hAnsi="宋体" w:eastAsia="宋体"/>
          <w:color w:val="auto"/>
          <w:sz w:val="24"/>
          <w:szCs w:val="24"/>
          <w:highlight w:val="none"/>
        </w:rPr>
        <w:t>（北京时间）前递交，递交地点在</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eastAsia="zh-CN"/>
        </w:rPr>
        <w:t>南宁市青秀区凤岭北路111号‌‌国际旅游中心C座37楼</w:t>
      </w:r>
      <w:r>
        <w:rPr>
          <w:rFonts w:hint="eastAsia" w:ascii="宋体" w:hAnsi="宋体" w:eastAsia="宋体"/>
          <w:color w:val="auto"/>
          <w:sz w:val="24"/>
          <w:szCs w:val="24"/>
          <w:highlight w:val="none"/>
          <w:u w:val="single"/>
        </w:rPr>
        <w:t xml:space="preserve">合约采购部 </w:t>
      </w:r>
      <w:r>
        <w:rPr>
          <w:rFonts w:hint="eastAsia" w:ascii="宋体" w:hAnsi="宋体" w:eastAsia="宋体"/>
          <w:color w:val="auto"/>
          <w:sz w:val="24"/>
          <w:szCs w:val="24"/>
          <w:highlight w:val="none"/>
        </w:rPr>
        <w:t>。</w:t>
      </w:r>
    </w:p>
    <w:p w14:paraId="3AC0502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06DF72E">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比选人联系方式</w:t>
      </w:r>
    </w:p>
    <w:p w14:paraId="2F8A8D87">
      <w:pPr>
        <w:pStyle w:val="2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lang w:eastAsia="zh-CN"/>
        </w:rPr>
        <w:t>南宁市青秀区凤岭北路111号‌‌国际旅游中心C座37楼</w:t>
      </w:r>
      <w:r>
        <w:rPr>
          <w:rFonts w:hint="eastAsia" w:ascii="宋体" w:hAnsi="宋体" w:eastAsia="宋体"/>
          <w:color w:val="auto"/>
          <w:sz w:val="24"/>
          <w:szCs w:val="24"/>
          <w:highlight w:val="none"/>
          <w:u w:val="single"/>
        </w:rPr>
        <w:t>合约采购部</w:t>
      </w:r>
    </w:p>
    <w:p w14:paraId="58DCBF5B">
      <w:pPr>
        <w:pStyle w:val="25"/>
        <w:spacing w:line="480" w:lineRule="exact"/>
        <w:ind w:left="720" w:firstLine="0" w:firstLineChars="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游然</w:t>
      </w:r>
    </w:p>
    <w:p w14:paraId="0CB40FB2">
      <w:pPr>
        <w:pStyle w:val="25"/>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162B7004">
      <w:pPr>
        <w:pStyle w:val="2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rPr>
        <w:t>5</w:t>
      </w:r>
      <w:r>
        <w:rPr>
          <w:rFonts w:ascii="宋体" w:hAnsi="宋体" w:eastAsia="宋体"/>
          <w:color w:val="auto"/>
          <w:sz w:val="24"/>
          <w:szCs w:val="24"/>
          <w:highlight w:val="none"/>
          <w:u w:val="single"/>
        </w:rPr>
        <w:t>30022</w:t>
      </w:r>
    </w:p>
    <w:p w14:paraId="0942978F">
      <w:pPr>
        <w:pStyle w:val="25"/>
        <w:spacing w:line="480" w:lineRule="exact"/>
        <w:ind w:left="720" w:firstLine="0" w:firstLineChars="0"/>
        <w:jc w:val="lef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电子邮箱：</w:t>
      </w:r>
      <w:r>
        <w:rPr>
          <w:rFonts w:hint="eastAsia" w:ascii="宋体" w:hAnsi="宋体" w:eastAsia="宋体"/>
          <w:color w:val="auto"/>
          <w:sz w:val="24"/>
          <w:szCs w:val="24"/>
          <w:highlight w:val="none"/>
          <w:u w:val="single"/>
          <w:lang w:val="en-US" w:eastAsia="zh-CN"/>
        </w:rPr>
        <w:t>2118670933@qq.com</w:t>
      </w:r>
    </w:p>
    <w:p w14:paraId="0B64D668">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7</w:t>
      </w:r>
      <w:r>
        <w:rPr>
          <w:rFonts w:hint="eastAsia" w:ascii="宋体" w:hAnsi="宋体" w:eastAsia="宋体"/>
          <w:color w:val="auto"/>
          <w:sz w:val="24"/>
          <w:szCs w:val="24"/>
          <w:highlight w:val="none"/>
        </w:rPr>
        <w:t>、比选人纪检监督联系方式</w:t>
      </w:r>
    </w:p>
    <w:p w14:paraId="6B80F72A">
      <w:pPr>
        <w:pStyle w:val="2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lang w:eastAsia="zh-CN"/>
        </w:rPr>
        <w:t>南宁市青秀区凤岭北路111号‌‌国际旅游中心C座3</w:t>
      </w:r>
      <w:r>
        <w:rPr>
          <w:rFonts w:hint="eastAsia" w:ascii="宋体" w:hAnsi="宋体" w:eastAsia="宋体"/>
          <w:color w:val="auto"/>
          <w:sz w:val="24"/>
          <w:szCs w:val="24"/>
          <w:highlight w:val="none"/>
          <w:u w:val="single"/>
          <w:lang w:val="en-US" w:eastAsia="zh-CN"/>
        </w:rPr>
        <w:t>8</w:t>
      </w:r>
      <w:r>
        <w:rPr>
          <w:rFonts w:hint="eastAsia" w:ascii="宋体" w:hAnsi="宋体" w:eastAsia="宋体"/>
          <w:color w:val="auto"/>
          <w:sz w:val="24"/>
          <w:szCs w:val="24"/>
          <w:highlight w:val="none"/>
          <w:u w:val="single"/>
          <w:lang w:eastAsia="zh-CN"/>
        </w:rPr>
        <w:t>楼</w:t>
      </w:r>
      <w:r>
        <w:rPr>
          <w:rFonts w:hint="eastAsia" w:ascii="宋体" w:hAnsi="宋体" w:eastAsia="宋体"/>
          <w:color w:val="auto"/>
          <w:sz w:val="24"/>
          <w:szCs w:val="24"/>
          <w:highlight w:val="none"/>
          <w:u w:val="single"/>
        </w:rPr>
        <w:t>综合管理办公室</w:t>
      </w:r>
    </w:p>
    <w:p w14:paraId="59974521">
      <w:pPr>
        <w:pStyle w:val="2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4E5905E9">
      <w:pPr>
        <w:pStyle w:val="25"/>
        <w:spacing w:line="480" w:lineRule="exact"/>
        <w:ind w:left="720" w:firstLine="0" w:firstLineChars="0"/>
        <w:jc w:val="left"/>
        <w:rPr>
          <w:rFonts w:ascii="宋体" w:hAnsi="宋体" w:eastAsia="宋体"/>
          <w:color w:val="auto"/>
          <w:sz w:val="24"/>
          <w:szCs w:val="24"/>
          <w:highlight w:val="none"/>
        </w:rPr>
      </w:pPr>
    </w:p>
    <w:p w14:paraId="49D89B34">
      <w:pPr>
        <w:pStyle w:val="25"/>
        <w:spacing w:line="480" w:lineRule="exact"/>
        <w:ind w:left="0" w:leftChars="0" w:firstLine="0" w:firstLineChars="0"/>
        <w:jc w:val="right"/>
        <w:rPr>
          <w:rFonts w:hint="eastAsia" w:ascii="宋体" w:hAnsi="宋体" w:eastAsia="宋体"/>
          <w:color w:val="auto"/>
          <w:sz w:val="24"/>
          <w:szCs w:val="24"/>
          <w:highlight w:val="none"/>
          <w:u w:val="single"/>
        </w:rPr>
      </w:pPr>
    </w:p>
    <w:p w14:paraId="454D1EAE">
      <w:pPr>
        <w:pStyle w:val="25"/>
        <w:spacing w:line="480" w:lineRule="exact"/>
        <w:ind w:left="0" w:leftChars="0" w:firstLine="0" w:firstLineChars="0"/>
        <w:jc w:val="righ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6F8D4904">
      <w:pPr>
        <w:pStyle w:val="25"/>
        <w:spacing w:line="480" w:lineRule="exact"/>
        <w:ind w:left="0" w:leftChars="0" w:firstLine="0" w:firstLineChars="0"/>
        <w:jc w:val="righ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日期：2025年3月23</w:t>
      </w:r>
      <w:bookmarkStart w:id="824" w:name="_GoBack"/>
      <w:bookmarkEnd w:id="824"/>
      <w:r>
        <w:rPr>
          <w:rFonts w:hint="eastAsia" w:ascii="宋体" w:hAnsi="宋体" w:eastAsia="宋体"/>
          <w:color w:val="auto"/>
          <w:sz w:val="24"/>
          <w:szCs w:val="24"/>
          <w:highlight w:val="none"/>
          <w:u w:val="single"/>
          <w:lang w:val="en-US" w:eastAsia="zh-CN"/>
        </w:rPr>
        <w:t>日</w:t>
      </w:r>
    </w:p>
    <w:p w14:paraId="0CE5F4DA">
      <w:pPr>
        <w:pStyle w:val="25"/>
        <w:spacing w:line="480" w:lineRule="exact"/>
        <w:ind w:left="720" w:firstLine="0" w:firstLineChars="0"/>
        <w:jc w:val="left"/>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rPr>
        <w:br w:type="page"/>
      </w:r>
    </w:p>
    <w:p w14:paraId="16A6902A">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tbl>
      <w:tblPr>
        <w:tblStyle w:val="17"/>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1095"/>
        <w:gridCol w:w="8509"/>
      </w:tblGrid>
      <w:tr w14:paraId="39F1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6A120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095" w:type="dxa"/>
            <w:vAlign w:val="center"/>
          </w:tcPr>
          <w:p w14:paraId="52A6B8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8509" w:type="dxa"/>
            <w:vAlign w:val="center"/>
          </w:tcPr>
          <w:p w14:paraId="61E379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44F9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76EFAA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095" w:type="dxa"/>
            <w:vAlign w:val="center"/>
          </w:tcPr>
          <w:p w14:paraId="34DBB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8509" w:type="dxa"/>
            <w:vAlign w:val="center"/>
          </w:tcPr>
          <w:p w14:paraId="5FAA9C51">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1.1基本</w:t>
            </w:r>
            <w:r>
              <w:rPr>
                <w:rFonts w:ascii="宋体" w:hAnsi="宋体" w:eastAsia="宋体"/>
                <w:color w:val="auto"/>
                <w:sz w:val="24"/>
                <w:szCs w:val="24"/>
                <w:highlight w:val="yellow"/>
              </w:rPr>
              <w:t>资格要求：</w:t>
            </w:r>
          </w:p>
          <w:p w14:paraId="7083A9E0">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（1）为中华人民共和国境内依法设立的法人或其他组织，</w:t>
            </w:r>
            <w:r>
              <w:rPr>
                <w:rFonts w:hint="eastAsia" w:ascii="宋体" w:hAnsi="宋体" w:eastAsia="宋体"/>
                <w:color w:val="auto"/>
                <w:sz w:val="24"/>
                <w:szCs w:val="24"/>
                <w:highlight w:val="yellow"/>
                <w:u w:val="single"/>
              </w:rPr>
              <w:t>律师事务所执业许可证</w:t>
            </w:r>
            <w:r>
              <w:rPr>
                <w:rFonts w:hint="eastAsia" w:ascii="宋体" w:hAnsi="宋体" w:eastAsia="宋体"/>
                <w:color w:val="auto"/>
                <w:sz w:val="24"/>
                <w:szCs w:val="24"/>
                <w:highlight w:val="yellow"/>
              </w:rPr>
              <w:t>。</w:t>
            </w:r>
          </w:p>
          <w:p w14:paraId="3F9F008B">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rPr>
              <w:t>（2）</w:t>
            </w:r>
            <w:r>
              <w:rPr>
                <w:rFonts w:hint="eastAsia" w:ascii="宋体" w:hAnsi="宋体" w:eastAsia="宋体"/>
                <w:color w:val="auto"/>
                <w:sz w:val="24"/>
                <w:szCs w:val="24"/>
                <w:highlight w:val="yellow"/>
                <w:lang w:val="en-US" w:eastAsia="zh-CN"/>
              </w:rPr>
              <w:t>职业资格</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提供1名</w:t>
            </w:r>
            <w:r>
              <w:rPr>
                <w:rFonts w:hint="eastAsia" w:ascii="宋体" w:hAnsi="宋体" w:eastAsia="宋体"/>
                <w:color w:val="auto"/>
                <w:sz w:val="24"/>
                <w:szCs w:val="24"/>
                <w:highlight w:val="yellow"/>
                <w:lang w:eastAsia="zh-CN"/>
              </w:rPr>
              <w:t>律师执业资格证书</w:t>
            </w:r>
            <w:r>
              <w:rPr>
                <w:rFonts w:hint="eastAsia" w:ascii="宋体" w:hAnsi="宋体" w:eastAsia="宋体"/>
                <w:color w:val="auto"/>
                <w:sz w:val="24"/>
                <w:szCs w:val="24"/>
                <w:highlight w:val="yellow"/>
                <w:lang w:val="en-US" w:eastAsia="zh-CN"/>
              </w:rPr>
              <w:t>及有效身份证</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要求</w:t>
            </w:r>
            <w:r>
              <w:rPr>
                <w:rFonts w:hint="eastAsia" w:ascii="宋体" w:hAnsi="宋体" w:eastAsia="宋体"/>
                <w:color w:val="auto"/>
                <w:sz w:val="24"/>
                <w:szCs w:val="24"/>
                <w:highlight w:val="yellow"/>
                <w:lang w:eastAsia="zh-CN"/>
              </w:rPr>
              <w:t>具有</w:t>
            </w:r>
            <w:r>
              <w:rPr>
                <w:rFonts w:hint="eastAsia" w:ascii="宋体" w:hAnsi="宋体" w:eastAsia="宋体"/>
                <w:color w:val="auto"/>
                <w:sz w:val="24"/>
                <w:szCs w:val="24"/>
                <w:highlight w:val="yellow"/>
                <w:lang w:val="en-US" w:eastAsia="zh-CN"/>
              </w:rPr>
              <w:t>3</w:t>
            </w:r>
            <w:r>
              <w:rPr>
                <w:rFonts w:hint="eastAsia" w:ascii="宋体" w:hAnsi="宋体" w:eastAsia="宋体"/>
                <w:color w:val="auto"/>
                <w:sz w:val="24"/>
                <w:szCs w:val="24"/>
                <w:highlight w:val="yellow"/>
                <w:lang w:eastAsia="zh-CN"/>
              </w:rPr>
              <w:t>年及以上执业经验。</w:t>
            </w:r>
          </w:p>
          <w:p w14:paraId="721E10F5">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3</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重大税收</w:t>
            </w:r>
            <w:r>
              <w:rPr>
                <w:rFonts w:hint="eastAsia" w:ascii="宋体" w:hAnsi="宋体" w:eastAsia="宋体"/>
                <w:color w:val="auto"/>
                <w:sz w:val="24"/>
                <w:szCs w:val="24"/>
                <w:highlight w:val="yellow"/>
                <w:lang w:val="en-US" w:eastAsia="zh-CN"/>
              </w:rPr>
              <w:t>违法</w:t>
            </w:r>
            <w:r>
              <w:rPr>
                <w:rFonts w:hint="eastAsia" w:ascii="宋体" w:hAnsi="宋体" w:eastAsia="宋体"/>
                <w:color w:val="auto"/>
                <w:sz w:val="24"/>
                <w:szCs w:val="24"/>
                <w:highlight w:val="yellow"/>
              </w:rPr>
              <w:t>失信</w:t>
            </w:r>
            <w:r>
              <w:rPr>
                <w:rFonts w:hint="eastAsia" w:ascii="宋体" w:hAnsi="宋体" w:eastAsia="宋体"/>
                <w:color w:val="auto"/>
                <w:sz w:val="24"/>
                <w:szCs w:val="24"/>
                <w:highlight w:val="yellow"/>
                <w:lang w:val="en-US" w:eastAsia="zh-CN"/>
              </w:rPr>
              <w:t>主体</w:t>
            </w:r>
            <w:r>
              <w:rPr>
                <w:rFonts w:hint="eastAsia" w:ascii="宋体" w:hAnsi="宋体" w:eastAsia="宋体"/>
                <w:color w:val="auto"/>
                <w:sz w:val="24"/>
                <w:szCs w:val="24"/>
                <w:highlight w:val="yellow"/>
              </w:rPr>
              <w:t>截图</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信用中国网址：https://www.creditchina.gov.cn/xinyongfuwu/zhongdashuishouweifaanjian/</w:t>
            </w:r>
            <w:r>
              <w:rPr>
                <w:rFonts w:hint="eastAsia" w:ascii="宋体" w:hAnsi="宋体" w:eastAsia="宋体"/>
                <w:color w:val="auto"/>
                <w:sz w:val="24"/>
                <w:szCs w:val="24"/>
                <w:highlight w:val="yellow"/>
                <w:lang w:eastAsia="zh-CN"/>
              </w:rPr>
              <w:t>）</w:t>
            </w:r>
          </w:p>
          <w:p w14:paraId="621200D7">
            <w:pPr>
              <w:spacing w:line="480" w:lineRule="exact"/>
              <w:jc w:val="left"/>
              <w:rPr>
                <w:rFonts w:hint="eastAsia" w:ascii="宋体" w:hAnsi="宋体" w:eastAsia="宋体"/>
                <w:color w:val="auto"/>
                <w:sz w:val="24"/>
                <w:szCs w:val="24"/>
                <w:highlight w:val="yellow"/>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4</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严重失信主体名单截图</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信用中国网址：https://www.creditchina.gov.cn/xinyongfuwu/shixinheimingdan/</w:t>
            </w:r>
            <w:r>
              <w:rPr>
                <w:rFonts w:hint="eastAsia" w:ascii="宋体" w:hAnsi="宋体" w:eastAsia="宋体"/>
                <w:color w:val="auto"/>
                <w:sz w:val="24"/>
                <w:szCs w:val="24"/>
                <w:highlight w:val="yellow"/>
                <w:lang w:eastAsia="zh-CN"/>
              </w:rPr>
              <w:t>）</w:t>
            </w:r>
          </w:p>
          <w:p w14:paraId="05626D22">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5）</w:t>
            </w:r>
            <w:r>
              <w:rPr>
                <w:rFonts w:hint="eastAsia" w:ascii="宋体" w:hAnsi="宋体" w:eastAsia="宋体"/>
                <w:color w:val="auto"/>
                <w:sz w:val="24"/>
                <w:szCs w:val="24"/>
                <w:highlight w:val="yellow"/>
              </w:rPr>
              <w:t>财务报表或银行资信证明</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响应截止日前三年内任意一年的第三方出具的</w:t>
            </w:r>
            <w:r>
              <w:rPr>
                <w:rFonts w:hint="eastAsia" w:ascii="宋体" w:hAnsi="宋体" w:eastAsia="宋体"/>
                <w:color w:val="auto"/>
                <w:sz w:val="24"/>
                <w:szCs w:val="24"/>
                <w:highlight w:val="yellow"/>
              </w:rPr>
              <w:t>财务报表</w:t>
            </w:r>
            <w:r>
              <w:rPr>
                <w:rFonts w:hint="eastAsia" w:ascii="宋体" w:hAnsi="宋体" w:eastAsia="宋体"/>
                <w:color w:val="auto"/>
                <w:sz w:val="24"/>
                <w:szCs w:val="24"/>
                <w:highlight w:val="yellow"/>
                <w:lang w:val="en-US" w:eastAsia="zh-CN"/>
              </w:rPr>
              <w:t>净利润为正值</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银行资信证明</w:t>
            </w:r>
            <w:r>
              <w:rPr>
                <w:rFonts w:hint="eastAsia" w:ascii="宋体" w:hAnsi="宋体" w:eastAsia="宋体"/>
                <w:color w:val="auto"/>
                <w:sz w:val="24"/>
                <w:szCs w:val="24"/>
                <w:highlight w:val="yellow"/>
                <w:lang w:val="en-US" w:eastAsia="zh-CN"/>
              </w:rPr>
              <w:t>开具机构为</w:t>
            </w:r>
            <w:r>
              <w:rPr>
                <w:rFonts w:hint="eastAsia" w:ascii="宋体" w:hAnsi="宋体" w:eastAsia="宋体"/>
                <w:color w:val="auto"/>
                <w:sz w:val="24"/>
                <w:szCs w:val="24"/>
                <w:highlight w:val="yellow"/>
              </w:rPr>
              <w:t>基本户开户行</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无超期、未标注欠息、诉讼等不良记录、账户未休眠</w:t>
            </w:r>
            <w:r>
              <w:rPr>
                <w:rFonts w:hint="eastAsia" w:ascii="宋体" w:hAnsi="宋体" w:eastAsia="宋体"/>
                <w:color w:val="auto"/>
                <w:sz w:val="24"/>
                <w:szCs w:val="24"/>
                <w:highlight w:val="yellow"/>
                <w:lang w:eastAsia="zh-CN"/>
              </w:rPr>
              <w:t>）。</w:t>
            </w:r>
          </w:p>
          <w:p w14:paraId="206AC5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7FACD0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0D00509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206CF5B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0E82C7D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403050F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1AFF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47F0B5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095" w:type="dxa"/>
            <w:vAlign w:val="center"/>
          </w:tcPr>
          <w:p w14:paraId="6A2DC6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8509" w:type="dxa"/>
            <w:vAlign w:val="center"/>
          </w:tcPr>
          <w:p w14:paraId="4B927C3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7294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652921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095" w:type="dxa"/>
            <w:vAlign w:val="center"/>
          </w:tcPr>
          <w:p w14:paraId="57C5F6C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8509" w:type="dxa"/>
            <w:vAlign w:val="center"/>
          </w:tcPr>
          <w:p w14:paraId="7A539BD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1FB476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3BEE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2002DAE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095" w:type="dxa"/>
            <w:vAlign w:val="center"/>
          </w:tcPr>
          <w:p w14:paraId="4825F9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8509" w:type="dxa"/>
            <w:vAlign w:val="center"/>
          </w:tcPr>
          <w:p w14:paraId="43A14B6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26F2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5BB03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095" w:type="dxa"/>
            <w:vAlign w:val="center"/>
          </w:tcPr>
          <w:p w14:paraId="16E931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8509" w:type="dxa"/>
            <w:vAlign w:val="center"/>
          </w:tcPr>
          <w:p w14:paraId="24539D7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技术评审文件（本项目无技术评审）、</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5AA98B6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5D56F03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1FB1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4C202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095" w:type="dxa"/>
            <w:vAlign w:val="center"/>
          </w:tcPr>
          <w:p w14:paraId="570615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8509" w:type="dxa"/>
            <w:vAlign w:val="center"/>
          </w:tcPr>
          <w:p w14:paraId="2F613E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综合评分法</w:t>
            </w:r>
            <w:r>
              <w:rPr>
                <w:rFonts w:hint="eastAsia" w:ascii="宋体" w:hAnsi="宋体" w:eastAsia="宋体"/>
                <w:color w:val="auto"/>
                <w:sz w:val="24"/>
                <w:szCs w:val="24"/>
                <w:highlight w:val="none"/>
              </w:rPr>
              <w:t>（评审价以不含税总报价为基准）</w:t>
            </w:r>
            <w:r>
              <w:rPr>
                <w:rFonts w:hint="eastAsia" w:ascii="宋体" w:hAnsi="宋体" w:eastAsia="宋体" w:cs="Times New Roman"/>
                <w:color w:val="auto"/>
                <w:sz w:val="24"/>
                <w:szCs w:val="24"/>
                <w:highlight w:val="none"/>
                <w:lang w:bidi="ar"/>
              </w:rPr>
              <w:t>，具体详见评审办法章节。</w:t>
            </w:r>
          </w:p>
        </w:tc>
      </w:tr>
      <w:tr w14:paraId="5667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3971B1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095" w:type="dxa"/>
            <w:vAlign w:val="center"/>
          </w:tcPr>
          <w:p w14:paraId="49CD25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8509" w:type="dxa"/>
            <w:vAlign w:val="center"/>
          </w:tcPr>
          <w:p w14:paraId="276F018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但合同不含税价格不因国家税率调整而调整。</w:t>
            </w:r>
          </w:p>
          <w:p w14:paraId="303FE7D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48AB56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DF3BA2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519B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4E7D97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095" w:type="dxa"/>
            <w:vAlign w:val="center"/>
          </w:tcPr>
          <w:p w14:paraId="532900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8509" w:type="dxa"/>
            <w:vAlign w:val="center"/>
          </w:tcPr>
          <w:p w14:paraId="47031D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4BB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002CEA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095" w:type="dxa"/>
            <w:vAlign w:val="center"/>
          </w:tcPr>
          <w:p w14:paraId="798CFF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8509" w:type="dxa"/>
            <w:vAlign w:val="center"/>
          </w:tcPr>
          <w:p w14:paraId="1F6028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55EEFBA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7E0E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150AA6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095" w:type="dxa"/>
            <w:vAlign w:val="center"/>
          </w:tcPr>
          <w:p w14:paraId="6DC3CF2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8509" w:type="dxa"/>
            <w:vAlign w:val="center"/>
          </w:tcPr>
          <w:p w14:paraId="5F5926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7DC7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704449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095" w:type="dxa"/>
            <w:vAlign w:val="center"/>
          </w:tcPr>
          <w:p w14:paraId="67692C2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8509" w:type="dxa"/>
            <w:vAlign w:val="center"/>
          </w:tcPr>
          <w:p w14:paraId="3E766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6738E82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DBC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61A24F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095" w:type="dxa"/>
            <w:vAlign w:val="center"/>
          </w:tcPr>
          <w:p w14:paraId="1F7E40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8509" w:type="dxa"/>
            <w:vAlign w:val="center"/>
          </w:tcPr>
          <w:p w14:paraId="470833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296D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97" w:type="dxa"/>
            <w:vAlign w:val="center"/>
          </w:tcPr>
          <w:p w14:paraId="44EB8D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095" w:type="dxa"/>
            <w:vAlign w:val="center"/>
          </w:tcPr>
          <w:p w14:paraId="186FCE7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8509" w:type="dxa"/>
            <w:vAlign w:val="center"/>
          </w:tcPr>
          <w:p w14:paraId="0D35E48C">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7894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0DF7CC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095" w:type="dxa"/>
            <w:vAlign w:val="center"/>
          </w:tcPr>
          <w:p w14:paraId="201D3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8509" w:type="dxa"/>
            <w:vAlign w:val="center"/>
          </w:tcPr>
          <w:p w14:paraId="6BA9F33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251B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326CF3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095" w:type="dxa"/>
            <w:vAlign w:val="center"/>
          </w:tcPr>
          <w:p w14:paraId="5F60B0C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8509" w:type="dxa"/>
            <w:vAlign w:val="center"/>
          </w:tcPr>
          <w:p w14:paraId="7546D48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6BE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F76E8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095" w:type="dxa"/>
            <w:vAlign w:val="center"/>
          </w:tcPr>
          <w:p w14:paraId="2A4351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8509" w:type="dxa"/>
            <w:vAlign w:val="center"/>
          </w:tcPr>
          <w:p w14:paraId="1A56D4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p>
        </w:tc>
      </w:tr>
      <w:tr w14:paraId="2B82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6ED74A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095" w:type="dxa"/>
            <w:vAlign w:val="center"/>
          </w:tcPr>
          <w:p w14:paraId="33A304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8509" w:type="dxa"/>
            <w:vAlign w:val="center"/>
          </w:tcPr>
          <w:p w14:paraId="1AEC45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7CCC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77049F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095" w:type="dxa"/>
            <w:vAlign w:val="center"/>
          </w:tcPr>
          <w:p w14:paraId="35929C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8509" w:type="dxa"/>
            <w:vAlign w:val="center"/>
          </w:tcPr>
          <w:p w14:paraId="2757A26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7DC3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069B09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095" w:type="dxa"/>
            <w:vAlign w:val="center"/>
          </w:tcPr>
          <w:p w14:paraId="26A438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8509" w:type="dxa"/>
            <w:vAlign w:val="center"/>
          </w:tcPr>
          <w:p w14:paraId="40370CE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67C6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597" w:type="dxa"/>
            <w:vAlign w:val="center"/>
          </w:tcPr>
          <w:p w14:paraId="66E3AE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095" w:type="dxa"/>
            <w:vAlign w:val="center"/>
          </w:tcPr>
          <w:p w14:paraId="0BA2B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8509" w:type="dxa"/>
            <w:vAlign w:val="center"/>
          </w:tcPr>
          <w:p w14:paraId="36898A7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78F1C78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37E6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3C290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095" w:type="dxa"/>
            <w:vAlign w:val="center"/>
          </w:tcPr>
          <w:p w14:paraId="189B4A1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8509" w:type="dxa"/>
            <w:vAlign w:val="center"/>
          </w:tcPr>
          <w:p w14:paraId="1DF7A0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 xml:space="preserve"> 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6304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 w:type="dxa"/>
            <w:vAlign w:val="center"/>
          </w:tcPr>
          <w:p w14:paraId="7BA075B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095" w:type="dxa"/>
            <w:vAlign w:val="center"/>
          </w:tcPr>
          <w:p w14:paraId="601E95C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8509" w:type="dxa"/>
            <w:vAlign w:val="center"/>
          </w:tcPr>
          <w:p w14:paraId="2565FDA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414F8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FC4B4E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5BB8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597" w:type="dxa"/>
            <w:vAlign w:val="center"/>
          </w:tcPr>
          <w:p w14:paraId="2E2B02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095" w:type="dxa"/>
            <w:vAlign w:val="center"/>
          </w:tcPr>
          <w:p w14:paraId="10BF189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8509" w:type="dxa"/>
            <w:vAlign w:val="center"/>
          </w:tcPr>
          <w:p w14:paraId="41CFB2A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5472FF6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D4459E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723A3FA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0883EDB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EC7C2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6FF39BD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B80BB0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ECD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597" w:type="dxa"/>
            <w:vAlign w:val="center"/>
          </w:tcPr>
          <w:p w14:paraId="7CF688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095" w:type="dxa"/>
            <w:vAlign w:val="center"/>
          </w:tcPr>
          <w:p w14:paraId="29961C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8509" w:type="dxa"/>
            <w:vAlign w:val="center"/>
          </w:tcPr>
          <w:p w14:paraId="0CA3E3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35CD9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4B0C90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2A0C13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3E9A91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3FB86D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3E6B7AF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4DB212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49DC71B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515D38F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704264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6333C45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7E1FEA4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769903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620C1265">
      <w:pPr>
        <w:rPr>
          <w:rFonts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525318E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2A0C60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84B10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2AF8BB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0A7E33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433BE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6A3D67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50F46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1C77B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1077A0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492478720"/>
      <w:bookmarkStart w:id="1" w:name="_Toc385427795"/>
      <w:bookmarkStart w:id="2" w:name="_Toc375039066"/>
      <w:bookmarkStart w:id="3" w:name="_Toc390098421"/>
      <w:bookmarkStart w:id="4" w:name="_Toc383891170"/>
      <w:bookmarkStart w:id="5" w:name="_Toc114134610"/>
      <w:bookmarkStart w:id="6" w:name="_Toc12983507"/>
      <w:bookmarkStart w:id="7" w:name="_Toc24844"/>
      <w:bookmarkStart w:id="8" w:name="_Toc307"/>
      <w:bookmarkStart w:id="9" w:name="_Toc22845"/>
      <w:bookmarkStart w:id="10" w:name="_Toc7797"/>
      <w:bookmarkStart w:id="11" w:name="_Toc29859"/>
      <w:bookmarkStart w:id="12" w:name="_Toc17075"/>
      <w:bookmarkStart w:id="13" w:name="_Toc12940"/>
      <w:bookmarkStart w:id="14" w:name="_Toc17568"/>
      <w:bookmarkStart w:id="15" w:name="_Toc22115"/>
      <w:bookmarkStart w:id="16" w:name="_Toc30498"/>
      <w:bookmarkStart w:id="17" w:name="_Toc25750593"/>
      <w:bookmarkStart w:id="18" w:name="_Toc29401"/>
      <w:bookmarkStart w:id="19" w:name="_Toc10653"/>
      <w:bookmarkStart w:id="20" w:name="_Toc9929"/>
      <w:bookmarkStart w:id="21" w:name="_Toc7306"/>
      <w:bookmarkStart w:id="22" w:name="_Toc8288"/>
      <w:bookmarkStart w:id="23" w:name="_Toc31477"/>
      <w:bookmarkStart w:id="24" w:name="_Toc25786"/>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0F3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0E27DB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01F774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50EABE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12CE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5CCC08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57B068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549659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EF0B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37C43A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352192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60D12F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3D894CE0">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E1AE9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2139BB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42FBC3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78E51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116887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40138A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50B40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3FACC4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19B71B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70A8EF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17D8BE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1EF56C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7C99A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772801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3A56C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5E40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03347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21673"/>
      <w:bookmarkStart w:id="26" w:name="_Toc20025"/>
      <w:bookmarkStart w:id="27" w:name="_Toc26150"/>
      <w:bookmarkStart w:id="28" w:name="_Toc16186"/>
      <w:bookmarkStart w:id="29" w:name="_Toc23794"/>
      <w:bookmarkStart w:id="30" w:name="_Toc2819"/>
      <w:bookmarkStart w:id="31" w:name="_Toc18350"/>
      <w:bookmarkStart w:id="32" w:name="_Toc12456"/>
      <w:bookmarkStart w:id="33" w:name="_Toc1733"/>
      <w:bookmarkStart w:id="34" w:name="_Toc12074"/>
      <w:bookmarkStart w:id="35" w:name="_Toc390098428"/>
      <w:bookmarkStart w:id="36" w:name="_Toc11259"/>
      <w:bookmarkStart w:id="37" w:name="_Toc13418"/>
      <w:bookmarkStart w:id="38" w:name="_Toc26680"/>
      <w:bookmarkStart w:id="39" w:name="_Toc383891177"/>
      <w:bookmarkStart w:id="40" w:name="_Toc492478727"/>
      <w:bookmarkStart w:id="41" w:name="_Toc114134617"/>
      <w:bookmarkStart w:id="42" w:name="_Toc29862"/>
      <w:bookmarkStart w:id="43" w:name="_Toc375039073"/>
      <w:bookmarkStart w:id="44" w:name="_Toc16435"/>
      <w:bookmarkStart w:id="45" w:name="_Toc25750600"/>
      <w:bookmarkStart w:id="46" w:name="_Toc9592"/>
      <w:bookmarkStart w:id="47" w:name="_Toc4384"/>
      <w:bookmarkStart w:id="48" w:name="_Toc12983514"/>
      <w:bookmarkStart w:id="49" w:name="_Toc385427802"/>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1CDEE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067BF1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25750601"/>
      <w:bookmarkStart w:id="51" w:name="_Toc19885"/>
      <w:bookmarkStart w:id="52" w:name="_Toc390098429"/>
      <w:bookmarkStart w:id="53" w:name="_Toc383891178"/>
      <w:bookmarkStart w:id="54" w:name="_Toc28065"/>
      <w:bookmarkStart w:id="55" w:name="_Toc28296"/>
      <w:bookmarkStart w:id="56" w:name="_Toc375039074"/>
      <w:bookmarkStart w:id="57" w:name="_Toc15570"/>
      <w:bookmarkStart w:id="58" w:name="_Toc9887"/>
      <w:bookmarkStart w:id="59" w:name="_Toc492478728"/>
      <w:bookmarkStart w:id="60" w:name="_Toc114134618"/>
      <w:bookmarkStart w:id="61" w:name="_Toc24935"/>
      <w:bookmarkStart w:id="62" w:name="_Toc24857"/>
      <w:bookmarkStart w:id="63" w:name="_Toc3492"/>
      <w:bookmarkStart w:id="64" w:name="_Toc16237"/>
      <w:bookmarkStart w:id="65" w:name="_Toc26753"/>
      <w:bookmarkStart w:id="66" w:name="_Toc25770"/>
      <w:bookmarkStart w:id="67" w:name="_Toc1047"/>
      <w:bookmarkStart w:id="68" w:name="_Toc11161"/>
      <w:bookmarkStart w:id="69" w:name="_Toc11040"/>
      <w:bookmarkStart w:id="70" w:name="_Toc6261"/>
      <w:bookmarkStart w:id="71" w:name="_Toc12983515"/>
      <w:bookmarkStart w:id="72" w:name="_Toc12207"/>
      <w:bookmarkStart w:id="73" w:name="_Toc22026"/>
      <w:bookmarkStart w:id="74" w:name="_Toc385427803"/>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27E4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250A18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6EDF4F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375039075"/>
      <w:bookmarkStart w:id="76" w:name="_Toc23229"/>
      <w:bookmarkStart w:id="77" w:name="_Toc22476"/>
      <w:bookmarkStart w:id="78" w:name="_Toc29881"/>
      <w:bookmarkStart w:id="79" w:name="_Toc492478729"/>
      <w:bookmarkStart w:id="80" w:name="_Toc390098430"/>
      <w:bookmarkStart w:id="81" w:name="_Toc16307"/>
      <w:bookmarkStart w:id="82" w:name="_Toc3464"/>
      <w:bookmarkStart w:id="83" w:name="_Toc19681"/>
      <w:bookmarkStart w:id="84" w:name="_Toc30991"/>
      <w:bookmarkStart w:id="85" w:name="_Toc53"/>
      <w:bookmarkStart w:id="86" w:name="_Toc14323"/>
      <w:bookmarkStart w:id="87" w:name="_Toc3877"/>
      <w:bookmarkStart w:id="88" w:name="_Toc114134619"/>
      <w:bookmarkStart w:id="89" w:name="_Toc15809"/>
      <w:bookmarkStart w:id="90" w:name="_Toc385427804"/>
      <w:bookmarkStart w:id="91" w:name="_Toc28164"/>
      <w:bookmarkStart w:id="92" w:name="_Toc383891179"/>
      <w:bookmarkStart w:id="93" w:name="_Toc25750602"/>
      <w:bookmarkStart w:id="94" w:name="_Toc3411"/>
      <w:bookmarkStart w:id="95" w:name="_Toc12983516"/>
      <w:bookmarkStart w:id="96" w:name="_Toc23364"/>
      <w:bookmarkStart w:id="97" w:name="_Toc24760"/>
      <w:bookmarkStart w:id="98" w:name="_Toc18149"/>
      <w:bookmarkStart w:id="99" w:name="_Toc30356"/>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7E874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691B1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02EC35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25750603"/>
      <w:bookmarkStart w:id="101" w:name="_Toc15919"/>
      <w:bookmarkStart w:id="102" w:name="_Toc8151"/>
      <w:bookmarkStart w:id="103" w:name="_Toc15448"/>
      <w:bookmarkStart w:id="104" w:name="_Toc3670"/>
      <w:bookmarkStart w:id="105" w:name="_Toc20490"/>
      <w:bookmarkStart w:id="106" w:name="_Toc16783"/>
      <w:bookmarkStart w:id="107" w:name="_Toc492478730"/>
      <w:bookmarkStart w:id="108" w:name="_Toc114134620"/>
      <w:bookmarkStart w:id="109" w:name="_Toc23002"/>
      <w:bookmarkStart w:id="110" w:name="_Toc385427805"/>
      <w:bookmarkStart w:id="111" w:name="_Toc383891180"/>
      <w:bookmarkStart w:id="112" w:name="_Toc27194"/>
      <w:bookmarkStart w:id="113" w:name="_Toc675"/>
      <w:bookmarkStart w:id="114" w:name="_Toc21144"/>
      <w:bookmarkStart w:id="115" w:name="_Toc12983517"/>
      <w:bookmarkStart w:id="116" w:name="_Toc2395"/>
      <w:bookmarkStart w:id="117" w:name="_Toc14630"/>
      <w:bookmarkStart w:id="118" w:name="_Toc20248"/>
      <w:bookmarkStart w:id="119" w:name="_Toc390098431"/>
      <w:bookmarkStart w:id="120" w:name="_Toc375039076"/>
      <w:bookmarkStart w:id="121" w:name="_Toc11211"/>
      <w:bookmarkStart w:id="122" w:name="_Toc7608"/>
      <w:bookmarkStart w:id="123" w:name="_Toc27019"/>
      <w:bookmarkStart w:id="124" w:name="_Toc14308"/>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E9372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2A76F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w:t>
      </w:r>
      <w:r>
        <w:rPr>
          <w:rFonts w:hint="eastAsia" w:ascii="宋体" w:hAnsi="宋体" w:eastAsia="宋体"/>
          <w:color w:val="auto"/>
          <w:sz w:val="24"/>
          <w:szCs w:val="24"/>
          <w:highlight w:val="none"/>
        </w:rPr>
        <w:t>按</w:t>
      </w:r>
      <w:r>
        <w:rPr>
          <w:rFonts w:ascii="宋体" w:hAnsi="宋体" w:eastAsia="宋体"/>
          <w:color w:val="auto"/>
          <w:sz w:val="24"/>
          <w:szCs w:val="24"/>
          <w:highlight w:val="none"/>
        </w:rPr>
        <w:t>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9D75C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1C5A9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385427806"/>
      <w:bookmarkStart w:id="126" w:name="_Toc375039077"/>
      <w:bookmarkStart w:id="127" w:name="_Toc6671"/>
      <w:bookmarkStart w:id="128" w:name="_Toc7857"/>
      <w:bookmarkStart w:id="129" w:name="_Toc20685"/>
      <w:bookmarkStart w:id="130" w:name="_Toc383891181"/>
      <w:bookmarkStart w:id="131" w:name="_Toc31743"/>
      <w:bookmarkStart w:id="132" w:name="_Toc24264"/>
      <w:bookmarkStart w:id="133" w:name="_Toc12983518"/>
      <w:bookmarkStart w:id="134" w:name="_Toc17379"/>
      <w:bookmarkStart w:id="135" w:name="_Toc492478731"/>
      <w:bookmarkStart w:id="136" w:name="_Toc26482"/>
      <w:bookmarkStart w:id="137" w:name="_Toc25750604"/>
      <w:bookmarkStart w:id="138" w:name="_Toc17338"/>
      <w:bookmarkStart w:id="139" w:name="_Toc9416"/>
      <w:bookmarkStart w:id="140" w:name="_Toc3813"/>
      <w:bookmarkStart w:id="141" w:name="_Toc21084"/>
      <w:bookmarkStart w:id="142" w:name="_Toc22295"/>
      <w:bookmarkStart w:id="143" w:name="_Toc3799"/>
      <w:bookmarkStart w:id="144" w:name="_Toc17526"/>
      <w:bookmarkStart w:id="145" w:name="_Toc114134621"/>
      <w:bookmarkStart w:id="146" w:name="_Toc26974"/>
      <w:bookmarkStart w:id="147" w:name="_Toc16653"/>
      <w:bookmarkStart w:id="148" w:name="_Toc390098432"/>
      <w:bookmarkStart w:id="149" w:name="_Toc14123"/>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8B07B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29C022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5D5B9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0E51E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12BB29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36037A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2219CA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35B74F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3229C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6DB633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18875"/>
      <w:bookmarkStart w:id="151" w:name="_Toc25750605"/>
      <w:bookmarkStart w:id="152" w:name="_Toc5836"/>
      <w:bookmarkStart w:id="153" w:name="_Toc12762"/>
      <w:bookmarkStart w:id="154" w:name="_Toc21430"/>
      <w:bookmarkStart w:id="155" w:name="_Toc2710"/>
      <w:bookmarkStart w:id="156" w:name="_Toc12983519"/>
      <w:bookmarkStart w:id="157" w:name="_Toc375039078"/>
      <w:bookmarkStart w:id="158" w:name="_Toc12947"/>
      <w:bookmarkStart w:id="159" w:name="_Toc20156"/>
      <w:bookmarkStart w:id="160" w:name="_Toc383891182"/>
      <w:bookmarkStart w:id="161" w:name="_Toc7428"/>
      <w:bookmarkStart w:id="162" w:name="_Toc25459"/>
      <w:bookmarkStart w:id="163" w:name="_Toc10220"/>
      <w:bookmarkStart w:id="164" w:name="_Toc28880"/>
      <w:bookmarkStart w:id="165" w:name="_Toc390098433"/>
      <w:bookmarkStart w:id="166" w:name="_Toc385427807"/>
      <w:bookmarkStart w:id="167" w:name="_Toc15940"/>
      <w:bookmarkStart w:id="168" w:name="_Toc114134622"/>
      <w:bookmarkStart w:id="169" w:name="_Toc26064"/>
      <w:bookmarkStart w:id="170" w:name="_Toc21448"/>
      <w:bookmarkStart w:id="171" w:name="_Toc1664"/>
      <w:bookmarkStart w:id="172" w:name="_Toc492478732"/>
      <w:bookmarkStart w:id="173" w:name="_Toc21706"/>
      <w:bookmarkStart w:id="174" w:name="_Toc28476"/>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1250B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EF89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1C665F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845"/>
      <w:bookmarkStart w:id="176" w:name="_Toc1604"/>
      <w:bookmarkStart w:id="177" w:name="_Toc20070"/>
      <w:bookmarkStart w:id="178" w:name="_Toc12983521"/>
      <w:bookmarkStart w:id="179" w:name="_Toc691"/>
      <w:bookmarkStart w:id="180" w:name="_Toc10918"/>
      <w:bookmarkStart w:id="181" w:name="_Toc385427811"/>
      <w:bookmarkStart w:id="182" w:name="_Toc114134624"/>
      <w:bookmarkStart w:id="183" w:name="_Toc25750607"/>
      <w:bookmarkStart w:id="184" w:name="_Toc375039082"/>
      <w:bookmarkStart w:id="185" w:name="_Toc28555"/>
      <w:bookmarkStart w:id="186" w:name="_Toc20643"/>
      <w:bookmarkStart w:id="187" w:name="_Toc30499"/>
      <w:bookmarkStart w:id="188" w:name="_Toc5690"/>
      <w:bookmarkStart w:id="189" w:name="_Toc7808"/>
      <w:bookmarkStart w:id="190" w:name="_Toc2268"/>
      <w:bookmarkStart w:id="191" w:name="_Toc383891186"/>
      <w:bookmarkStart w:id="192" w:name="_Toc390098437"/>
      <w:bookmarkStart w:id="193" w:name="_Toc4433"/>
      <w:bookmarkStart w:id="194" w:name="_Toc20493"/>
      <w:bookmarkStart w:id="195" w:name="_Toc28997"/>
      <w:bookmarkStart w:id="196" w:name="_Toc9117"/>
      <w:bookmarkStart w:id="197" w:name="_Toc23114"/>
      <w:bookmarkStart w:id="198" w:name="_Toc492478736"/>
      <w:bookmarkStart w:id="199" w:name="_Toc24656"/>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E977F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4DD6E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3A9B663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385427812"/>
      <w:bookmarkStart w:id="201" w:name="_Toc12506"/>
      <w:bookmarkStart w:id="202" w:name="_Toc32020"/>
      <w:bookmarkStart w:id="203" w:name="_Toc19044"/>
      <w:bookmarkStart w:id="204" w:name="_Toc3414"/>
      <w:bookmarkStart w:id="205" w:name="_Toc492478737"/>
      <w:bookmarkStart w:id="206" w:name="_Toc12983522"/>
      <w:bookmarkStart w:id="207" w:name="_Toc8100"/>
      <w:bookmarkStart w:id="208" w:name="_Toc27730"/>
      <w:bookmarkStart w:id="209" w:name="_Toc6065"/>
      <w:bookmarkStart w:id="210" w:name="_Toc25684"/>
      <w:bookmarkStart w:id="211" w:name="_Toc301"/>
      <w:bookmarkStart w:id="212" w:name="_Toc14672"/>
      <w:bookmarkStart w:id="213" w:name="_Toc4216"/>
      <w:bookmarkStart w:id="214" w:name="_Toc383891187"/>
      <w:bookmarkStart w:id="215" w:name="_Toc390098438"/>
      <w:bookmarkStart w:id="216" w:name="_Toc29108"/>
      <w:bookmarkStart w:id="217" w:name="_Toc32525"/>
      <w:bookmarkStart w:id="218" w:name="_Toc25468"/>
      <w:bookmarkStart w:id="219" w:name="_Toc24922"/>
      <w:bookmarkStart w:id="220" w:name="_Toc375039083"/>
      <w:bookmarkStart w:id="221" w:name="_Toc12435"/>
      <w:bookmarkStart w:id="222" w:name="_Toc19603"/>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2640E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60F937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7F86CB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EB514B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75039084"/>
      <w:bookmarkStart w:id="224" w:name="_Toc383891188"/>
      <w:bookmarkStart w:id="225" w:name="_Toc390098439"/>
      <w:bookmarkStart w:id="226" w:name="_Toc385427813"/>
      <w:bookmarkStart w:id="227" w:name="_Toc2975"/>
      <w:bookmarkStart w:id="228" w:name="_Toc30962"/>
      <w:bookmarkStart w:id="229" w:name="_Toc23177"/>
      <w:bookmarkStart w:id="230" w:name="_Toc114134625"/>
      <w:bookmarkStart w:id="231" w:name="_Toc18322"/>
      <w:bookmarkStart w:id="232" w:name="_Toc492478738"/>
      <w:bookmarkStart w:id="233" w:name="_Toc16409"/>
      <w:bookmarkStart w:id="234" w:name="_Toc26551"/>
      <w:bookmarkStart w:id="235" w:name="_Toc6101"/>
      <w:bookmarkStart w:id="236" w:name="_Toc30187"/>
      <w:bookmarkStart w:id="237" w:name="_Toc12983523"/>
      <w:bookmarkStart w:id="238" w:name="_Toc1952"/>
      <w:bookmarkStart w:id="239" w:name="_Toc30452"/>
      <w:bookmarkStart w:id="240" w:name="_Toc2113"/>
      <w:bookmarkStart w:id="241" w:name="_Toc32054"/>
      <w:bookmarkStart w:id="242" w:name="_Toc26776"/>
      <w:bookmarkStart w:id="243" w:name="_Toc1315"/>
      <w:bookmarkStart w:id="244" w:name="_Toc10234"/>
      <w:bookmarkStart w:id="245" w:name="_Toc15116"/>
      <w:bookmarkStart w:id="246" w:name="_Toc759"/>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879B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13875"/>
      <w:bookmarkStart w:id="248" w:name="_Toc12117"/>
      <w:bookmarkStart w:id="249" w:name="_Toc12983524"/>
      <w:bookmarkStart w:id="250" w:name="_Toc9307"/>
      <w:bookmarkStart w:id="251" w:name="_Toc390098440"/>
      <w:bookmarkStart w:id="252" w:name="_Toc17200"/>
      <w:bookmarkStart w:id="253" w:name="_Toc13829"/>
      <w:bookmarkStart w:id="254" w:name="_Toc375039085"/>
      <w:bookmarkStart w:id="255" w:name="_Toc25750609"/>
      <w:bookmarkStart w:id="256" w:name="_Toc15650"/>
      <w:bookmarkStart w:id="257" w:name="_Toc385427814"/>
      <w:bookmarkStart w:id="258" w:name="_Toc19495"/>
      <w:bookmarkStart w:id="259" w:name="_Toc492478739"/>
      <w:bookmarkStart w:id="260" w:name="_Toc24648"/>
      <w:bookmarkStart w:id="261" w:name="_Toc15735"/>
      <w:bookmarkStart w:id="262" w:name="_Toc15071"/>
      <w:bookmarkStart w:id="263" w:name="_Toc26249"/>
      <w:bookmarkStart w:id="264" w:name="_Toc30196"/>
      <w:bookmarkStart w:id="265" w:name="_Toc114134626"/>
      <w:bookmarkStart w:id="266" w:name="_Toc12329"/>
      <w:bookmarkStart w:id="267" w:name="_Toc18616"/>
      <w:bookmarkStart w:id="268" w:name="_Toc383891189"/>
      <w:bookmarkStart w:id="269" w:name="_Toc15663"/>
      <w:bookmarkStart w:id="270" w:name="_Toc5922"/>
      <w:bookmarkStart w:id="271" w:name="_Toc13621"/>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62D1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90098441"/>
      <w:bookmarkStart w:id="273" w:name="_Toc383891190"/>
      <w:bookmarkStart w:id="274" w:name="_Toc385427815"/>
      <w:bookmarkStart w:id="275" w:name="_Toc375039086"/>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1EB8E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314528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4925B1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0AC92D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32C04D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65AFD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1A6721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30F5D5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F63DB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13883"/>
      <w:bookmarkStart w:id="277" w:name="_Toc28071"/>
      <w:bookmarkStart w:id="278" w:name="_Toc6339"/>
      <w:bookmarkStart w:id="279" w:name="_Toc25750610"/>
      <w:bookmarkStart w:id="280" w:name="_Toc4735"/>
      <w:bookmarkStart w:id="281" w:name="_Toc16266"/>
      <w:bookmarkStart w:id="282" w:name="_Toc2337"/>
      <w:bookmarkStart w:id="283" w:name="_Toc11096"/>
      <w:bookmarkStart w:id="284" w:name="_Toc16755"/>
      <w:bookmarkStart w:id="285" w:name="_Toc32760"/>
      <w:bookmarkStart w:id="286" w:name="_Toc16818"/>
      <w:bookmarkStart w:id="287" w:name="_Toc492478740"/>
      <w:bookmarkStart w:id="288" w:name="_Toc22180"/>
      <w:bookmarkStart w:id="289" w:name="_Toc12983525"/>
      <w:bookmarkStart w:id="290" w:name="_Toc23859"/>
      <w:bookmarkStart w:id="291" w:name="_Toc22445"/>
      <w:bookmarkStart w:id="292" w:name="_Toc11039"/>
      <w:bookmarkStart w:id="293" w:name="_Toc642"/>
      <w:bookmarkStart w:id="294" w:name="_Toc11255"/>
      <w:bookmarkStart w:id="295" w:name="_Toc114134627"/>
      <w:bookmarkStart w:id="296" w:name="_Toc6482"/>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39F6F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32FD9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3E2DBE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1D681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29473"/>
      <w:bookmarkStart w:id="298" w:name="_Toc22945"/>
      <w:bookmarkStart w:id="299" w:name="_Toc29066"/>
      <w:bookmarkStart w:id="300" w:name="_Toc3597"/>
      <w:bookmarkStart w:id="301" w:name="_Toc15252"/>
      <w:bookmarkStart w:id="302" w:name="_Toc492478741"/>
      <w:bookmarkStart w:id="303" w:name="_Toc383891191"/>
      <w:bookmarkStart w:id="304" w:name="_Toc114134628"/>
      <w:bookmarkStart w:id="305" w:name="_Toc32252"/>
      <w:bookmarkStart w:id="306" w:name="_Toc10818"/>
      <w:bookmarkStart w:id="307" w:name="_Toc11373"/>
      <w:bookmarkStart w:id="308" w:name="_Toc9522"/>
      <w:bookmarkStart w:id="309" w:name="_Toc375039087"/>
      <w:bookmarkStart w:id="310" w:name="_Toc390098442"/>
      <w:bookmarkStart w:id="311" w:name="_Toc324"/>
      <w:bookmarkStart w:id="312" w:name="_Toc14239"/>
      <w:bookmarkStart w:id="313" w:name="_Toc21960"/>
      <w:bookmarkStart w:id="314" w:name="_Toc25750611"/>
      <w:bookmarkStart w:id="315" w:name="_Toc2226"/>
      <w:bookmarkStart w:id="316" w:name="_Toc26431"/>
      <w:bookmarkStart w:id="317" w:name="_Toc32621"/>
      <w:bookmarkStart w:id="318" w:name="_Toc385427816"/>
      <w:bookmarkStart w:id="319" w:name="_Toc23404"/>
      <w:bookmarkStart w:id="320" w:name="_Toc13581"/>
      <w:bookmarkStart w:id="321" w:name="_Toc12983526"/>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23229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483EC5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25427"/>
      <w:bookmarkStart w:id="323" w:name="_Toc492478742"/>
      <w:bookmarkStart w:id="324" w:name="_Toc12682"/>
      <w:bookmarkStart w:id="325" w:name="_Toc4605"/>
      <w:bookmarkStart w:id="326" w:name="_Toc24030"/>
      <w:bookmarkStart w:id="327" w:name="_Toc14411"/>
      <w:bookmarkStart w:id="328" w:name="_Toc243"/>
      <w:bookmarkStart w:id="329" w:name="_Toc14522"/>
      <w:bookmarkStart w:id="330" w:name="_Toc8636"/>
      <w:bookmarkStart w:id="331" w:name="_Toc9706"/>
      <w:bookmarkStart w:id="332" w:name="_Toc23449"/>
      <w:bookmarkStart w:id="333" w:name="_Toc29208"/>
      <w:bookmarkStart w:id="334" w:name="_Toc31033"/>
      <w:bookmarkStart w:id="335" w:name="_Toc390098443"/>
      <w:bookmarkStart w:id="336" w:name="_Toc25750612"/>
      <w:bookmarkStart w:id="337" w:name="_Toc375039088"/>
      <w:bookmarkStart w:id="338" w:name="_Toc26282"/>
      <w:bookmarkStart w:id="339" w:name="_Toc28452"/>
      <w:bookmarkStart w:id="340" w:name="_Toc17797"/>
      <w:bookmarkStart w:id="341" w:name="_Toc21796"/>
      <w:bookmarkStart w:id="342" w:name="_Toc114134629"/>
      <w:bookmarkStart w:id="343" w:name="_Toc27195"/>
      <w:bookmarkStart w:id="344" w:name="_Toc12983527"/>
      <w:bookmarkStart w:id="345" w:name="_Toc383891192"/>
      <w:bookmarkStart w:id="346" w:name="_Toc385427817"/>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F7D2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265010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541DD5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30F681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36D1F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390098444"/>
      <w:bookmarkStart w:id="348" w:name="_Toc28694"/>
      <w:bookmarkStart w:id="349" w:name="_Toc385427818"/>
      <w:bookmarkStart w:id="350" w:name="_Toc4291"/>
      <w:bookmarkStart w:id="351" w:name="_Toc11529"/>
      <w:bookmarkStart w:id="352" w:name="_Toc10325"/>
      <w:bookmarkStart w:id="353" w:name="_Toc12182"/>
      <w:bookmarkStart w:id="354" w:name="_Toc375039089"/>
      <w:bookmarkStart w:id="355" w:name="_Toc16856"/>
      <w:bookmarkStart w:id="356" w:name="_Toc5592"/>
      <w:bookmarkStart w:id="357" w:name="_Toc2306"/>
      <w:bookmarkStart w:id="358" w:name="_Toc9728"/>
      <w:bookmarkStart w:id="359" w:name="_Toc22587"/>
      <w:bookmarkStart w:id="360" w:name="_Toc18076"/>
      <w:bookmarkStart w:id="361" w:name="_Toc29264"/>
      <w:bookmarkStart w:id="362" w:name="_Toc383891193"/>
      <w:bookmarkStart w:id="363" w:name="_Toc24485"/>
      <w:bookmarkStart w:id="364" w:name="_Toc3006"/>
      <w:bookmarkStart w:id="365" w:name="_Toc31978"/>
      <w:bookmarkStart w:id="366" w:name="_Toc25433"/>
      <w:bookmarkStart w:id="367" w:name="_Toc9549"/>
      <w:bookmarkStart w:id="368" w:name="_Toc12983528"/>
      <w:bookmarkStart w:id="369" w:name="_Toc492478743"/>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0ABFA3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10883"/>
      <w:bookmarkStart w:id="372" w:name="_Toc492478744"/>
      <w:bookmarkStart w:id="373" w:name="_Toc4825"/>
      <w:bookmarkStart w:id="374" w:name="_Toc23705"/>
      <w:bookmarkStart w:id="375" w:name="_Toc383891194"/>
      <w:bookmarkStart w:id="376" w:name="_Toc6974"/>
      <w:bookmarkStart w:id="377" w:name="_Toc4365"/>
      <w:bookmarkStart w:id="378" w:name="_Toc9309"/>
      <w:bookmarkStart w:id="379" w:name="_Toc12983529"/>
      <w:bookmarkStart w:id="380" w:name="_Toc25116"/>
      <w:bookmarkStart w:id="381" w:name="_Toc4674"/>
      <w:bookmarkStart w:id="382" w:name="_Toc9264"/>
      <w:bookmarkStart w:id="383" w:name="_Toc6839"/>
      <w:bookmarkStart w:id="384" w:name="_Toc4638"/>
      <w:bookmarkStart w:id="385" w:name="_Toc5182"/>
      <w:bookmarkStart w:id="386" w:name="_Toc24196"/>
      <w:bookmarkStart w:id="387" w:name="_Toc375039090"/>
      <w:bookmarkStart w:id="388" w:name="_Toc10292"/>
      <w:bookmarkStart w:id="389" w:name="_Toc6377"/>
      <w:bookmarkStart w:id="390" w:name="_Toc385427819"/>
      <w:bookmarkStart w:id="391" w:name="_Toc18919"/>
      <w:bookmarkStart w:id="392" w:name="_Toc895"/>
      <w:bookmarkStart w:id="393" w:name="_Toc390098445"/>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2FE005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303B4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3BB90D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36A110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0EA3AB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85427820"/>
      <w:bookmarkStart w:id="397" w:name="_Toc383891195"/>
      <w:bookmarkStart w:id="398" w:name="_Toc390098446"/>
      <w:bookmarkStart w:id="399" w:name="_Toc375039091"/>
      <w:bookmarkStart w:id="400" w:name="_Toc16068"/>
      <w:bookmarkStart w:id="401" w:name="_Toc492478745"/>
      <w:bookmarkStart w:id="402" w:name="_Toc24687"/>
      <w:bookmarkStart w:id="403" w:name="_Toc11013"/>
      <w:bookmarkStart w:id="404" w:name="_Toc23699"/>
      <w:bookmarkStart w:id="405" w:name="_Toc30671"/>
      <w:bookmarkStart w:id="406" w:name="_Toc21819"/>
      <w:bookmarkStart w:id="407" w:name="_Toc16601"/>
      <w:bookmarkStart w:id="408" w:name="_Toc11263"/>
      <w:bookmarkStart w:id="409" w:name="_Toc5267"/>
      <w:bookmarkStart w:id="410" w:name="_Toc1920"/>
      <w:bookmarkStart w:id="411" w:name="_Toc114134632"/>
      <w:bookmarkStart w:id="412" w:name="_Toc27636"/>
      <w:bookmarkStart w:id="413" w:name="_Toc17785"/>
      <w:bookmarkStart w:id="414" w:name="_Toc25270"/>
      <w:bookmarkStart w:id="415" w:name="_Toc25750615"/>
      <w:bookmarkStart w:id="416" w:name="_Toc13202"/>
      <w:bookmarkStart w:id="417" w:name="_Toc24630"/>
      <w:bookmarkStart w:id="418" w:name="_Toc9391"/>
      <w:bookmarkStart w:id="419" w:name="_Toc12983530"/>
      <w:bookmarkStart w:id="420" w:name="_Toc15466"/>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3B946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详见《评审办法》。</w:t>
      </w:r>
      <w:bookmarkEnd w:id="421"/>
    </w:p>
    <w:p w14:paraId="0723D2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24755"/>
      <w:bookmarkStart w:id="423" w:name="_Toc114134633"/>
      <w:bookmarkStart w:id="424" w:name="_Toc8295"/>
      <w:bookmarkStart w:id="425" w:name="_Toc18063"/>
      <w:bookmarkStart w:id="426" w:name="_Toc15"/>
      <w:bookmarkStart w:id="427" w:name="_Toc13421"/>
      <w:bookmarkStart w:id="428" w:name="_Toc5386"/>
      <w:bookmarkStart w:id="429" w:name="_Toc26137"/>
      <w:bookmarkStart w:id="430" w:name="_Toc25750616"/>
      <w:bookmarkStart w:id="431" w:name="_Toc11716"/>
      <w:bookmarkStart w:id="432" w:name="_Toc492478746"/>
      <w:bookmarkStart w:id="433" w:name="_Toc27570"/>
      <w:bookmarkStart w:id="434" w:name="_Toc390098447"/>
      <w:bookmarkStart w:id="435" w:name="_Toc833"/>
      <w:bookmarkStart w:id="436" w:name="_Toc29929"/>
      <w:bookmarkStart w:id="437" w:name="_Toc385427821"/>
      <w:bookmarkStart w:id="438" w:name="_Toc383891196"/>
      <w:bookmarkStart w:id="439" w:name="_Toc17980"/>
      <w:bookmarkStart w:id="440" w:name="_Toc25047"/>
      <w:bookmarkStart w:id="441" w:name="_Toc14719"/>
      <w:bookmarkStart w:id="442" w:name="_Toc16072"/>
      <w:bookmarkStart w:id="443" w:name="_Toc12983531"/>
      <w:bookmarkStart w:id="444" w:name="_Toc1456"/>
      <w:bookmarkStart w:id="445" w:name="_Toc375039093"/>
      <w:bookmarkStart w:id="446" w:name="_Toc18803"/>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E5579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254ED6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C60FE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74725B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49BC5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12960"/>
      <w:bookmarkStart w:id="448" w:name="_Toc9602"/>
      <w:bookmarkStart w:id="449" w:name="_Toc15988"/>
      <w:bookmarkStart w:id="450" w:name="_Toc654"/>
      <w:bookmarkStart w:id="451" w:name="_Toc21167"/>
      <w:bookmarkStart w:id="452" w:name="_Toc385427822"/>
      <w:bookmarkStart w:id="453" w:name="_Toc12909"/>
      <w:bookmarkStart w:id="454" w:name="_Toc114134634"/>
      <w:bookmarkStart w:id="455" w:name="_Toc25734"/>
      <w:bookmarkStart w:id="456" w:name="_Toc383891197"/>
      <w:bookmarkStart w:id="457" w:name="_Toc18515"/>
      <w:bookmarkStart w:id="458" w:name="_Toc12671"/>
      <w:bookmarkStart w:id="459" w:name="_Toc16963"/>
      <w:bookmarkStart w:id="460" w:name="_Toc20523"/>
      <w:bookmarkStart w:id="461" w:name="_Toc12555"/>
      <w:bookmarkStart w:id="462" w:name="_Toc7858"/>
      <w:bookmarkStart w:id="463" w:name="_Toc30207"/>
      <w:bookmarkStart w:id="464" w:name="_Toc12983532"/>
      <w:bookmarkStart w:id="465" w:name="_Toc9941"/>
      <w:bookmarkStart w:id="466" w:name="_Toc29504"/>
      <w:bookmarkStart w:id="467" w:name="_Toc390098448"/>
      <w:bookmarkStart w:id="468" w:name="_Toc25750617"/>
      <w:bookmarkStart w:id="469" w:name="_Toc19810"/>
      <w:bookmarkStart w:id="470" w:name="_Toc492478747"/>
      <w:bookmarkStart w:id="471" w:name="_Toc378514937"/>
      <w:bookmarkStart w:id="472" w:name="_Toc294723156"/>
      <w:bookmarkStart w:id="473"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FED42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6C2932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7E5F7C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13768"/>
      <w:bookmarkStart w:id="475" w:name="_Toc11077"/>
      <w:bookmarkStart w:id="476" w:name="_Toc390098449"/>
      <w:bookmarkStart w:id="477" w:name="_Toc28701"/>
      <w:bookmarkStart w:id="478" w:name="_Toc492478748"/>
      <w:bookmarkStart w:id="479" w:name="_Toc28898"/>
      <w:bookmarkStart w:id="480" w:name="_Toc383891198"/>
      <w:bookmarkStart w:id="481" w:name="_Toc1983"/>
      <w:bookmarkStart w:id="482" w:name="_Toc13743"/>
      <w:bookmarkStart w:id="483" w:name="_Toc30429"/>
      <w:bookmarkStart w:id="484" w:name="_Toc385427823"/>
      <w:bookmarkStart w:id="485" w:name="_Toc12983533"/>
      <w:bookmarkStart w:id="486" w:name="_Toc14799"/>
      <w:bookmarkStart w:id="487" w:name="_Toc5983"/>
      <w:bookmarkStart w:id="488" w:name="_Toc114134635"/>
      <w:bookmarkStart w:id="489" w:name="_Toc24327"/>
      <w:bookmarkStart w:id="490" w:name="_Toc6624"/>
      <w:bookmarkStart w:id="491" w:name="_Toc25750618"/>
      <w:bookmarkStart w:id="492" w:name="_Toc27670"/>
      <w:bookmarkStart w:id="493" w:name="_Toc14860"/>
      <w:bookmarkStart w:id="494" w:name="_Toc28843"/>
      <w:bookmarkStart w:id="495" w:name="_Toc23267"/>
      <w:bookmarkStart w:id="496" w:name="_Toc8827"/>
      <w:bookmarkStart w:id="497" w:name="_Toc22510"/>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88C71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74641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18093"/>
      <w:bookmarkStart w:id="499" w:name="_Toc9040"/>
      <w:bookmarkStart w:id="500" w:name="_Toc12795"/>
      <w:bookmarkStart w:id="501" w:name="_Toc5926"/>
      <w:bookmarkStart w:id="502" w:name="_Toc383891199"/>
      <w:bookmarkStart w:id="503" w:name="_Toc16884"/>
      <w:bookmarkStart w:id="504" w:name="_Toc30017"/>
      <w:bookmarkStart w:id="505" w:name="_Toc5607"/>
      <w:bookmarkStart w:id="506" w:name="_Toc29146"/>
      <w:bookmarkStart w:id="507" w:name="_Toc20519"/>
      <w:bookmarkStart w:id="508" w:name="_Toc28992"/>
      <w:bookmarkStart w:id="509" w:name="_Toc25750619"/>
      <w:bookmarkStart w:id="510" w:name="_Toc22681"/>
      <w:bookmarkStart w:id="511" w:name="_Toc390098450"/>
      <w:bookmarkStart w:id="512" w:name="_Toc492478749"/>
      <w:bookmarkStart w:id="513" w:name="_Toc5437"/>
      <w:bookmarkStart w:id="514" w:name="_Toc1915"/>
      <w:bookmarkStart w:id="515" w:name="_Toc26318"/>
      <w:bookmarkStart w:id="516" w:name="_Toc6908"/>
      <w:bookmarkStart w:id="517" w:name="_Toc26070"/>
      <w:bookmarkStart w:id="518" w:name="_Toc385427824"/>
      <w:bookmarkStart w:id="519" w:name="_Toc114134636"/>
      <w:bookmarkStart w:id="520" w:name="_Toc12983534"/>
      <w:bookmarkStart w:id="521" w:name="_Toc4397"/>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63C6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1BD889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3C63F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4157A9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29398"/>
      <w:bookmarkStart w:id="523" w:name="_Toc20874"/>
      <w:bookmarkStart w:id="524" w:name="_Toc383891200"/>
      <w:bookmarkStart w:id="525" w:name="_Toc19477"/>
      <w:bookmarkStart w:id="526" w:name="_Toc114134637"/>
      <w:bookmarkStart w:id="527" w:name="_Toc23999"/>
      <w:bookmarkStart w:id="528" w:name="_Toc385427825"/>
      <w:bookmarkStart w:id="529" w:name="_Toc22063"/>
      <w:bookmarkStart w:id="530" w:name="_Toc23956"/>
      <w:bookmarkStart w:id="531" w:name="_Toc31646"/>
      <w:bookmarkStart w:id="532" w:name="_Toc390098451"/>
      <w:bookmarkStart w:id="533" w:name="_Toc17236"/>
      <w:bookmarkStart w:id="534" w:name="_Toc492478750"/>
      <w:bookmarkStart w:id="535" w:name="_Toc15051"/>
      <w:bookmarkStart w:id="536" w:name="_Toc22146"/>
      <w:bookmarkStart w:id="537" w:name="_Toc1027"/>
      <w:bookmarkStart w:id="538" w:name="_Toc26239"/>
      <w:bookmarkStart w:id="539" w:name="_Toc20810"/>
      <w:bookmarkStart w:id="540" w:name="_Toc23808"/>
      <w:bookmarkStart w:id="541" w:name="_Toc12167"/>
      <w:bookmarkStart w:id="542" w:name="_Toc20912"/>
      <w:bookmarkStart w:id="543" w:name="_Toc21468"/>
      <w:bookmarkStart w:id="544" w:name="_Toc12983535"/>
      <w:bookmarkStart w:id="545" w:name="_Toc25750620"/>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7682A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3FA9D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739FF4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9812"/>
      <w:bookmarkStart w:id="547" w:name="_Toc5319"/>
      <w:bookmarkStart w:id="548" w:name="_Toc19936"/>
      <w:bookmarkStart w:id="549" w:name="_Toc4958"/>
      <w:bookmarkStart w:id="550" w:name="_Toc20854"/>
      <w:bookmarkStart w:id="551" w:name="_Toc3258"/>
      <w:bookmarkStart w:id="552" w:name="_Toc25750621"/>
      <w:bookmarkStart w:id="553" w:name="_Toc22994"/>
      <w:bookmarkStart w:id="554" w:name="_Toc1004"/>
      <w:bookmarkStart w:id="555" w:name="_Toc24176"/>
      <w:bookmarkStart w:id="556" w:name="_Toc27112"/>
      <w:bookmarkStart w:id="557" w:name="_Toc20444"/>
      <w:bookmarkStart w:id="558" w:name="_Toc385427826"/>
      <w:bookmarkStart w:id="559" w:name="_Toc20881"/>
      <w:bookmarkStart w:id="560" w:name="_Toc390098452"/>
      <w:bookmarkStart w:id="561" w:name="_Toc8959"/>
      <w:bookmarkStart w:id="562" w:name="_Toc9737"/>
      <w:bookmarkStart w:id="563" w:name="_Toc23907"/>
      <w:bookmarkStart w:id="564" w:name="_Toc29276"/>
      <w:bookmarkStart w:id="565" w:name="_Toc12983536"/>
      <w:bookmarkStart w:id="566" w:name="_Toc492478751"/>
      <w:bookmarkStart w:id="567" w:name="_Toc383891201"/>
      <w:bookmarkStart w:id="568" w:name="_Toc16418"/>
      <w:bookmarkStart w:id="569" w:name="_Toc114134638"/>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C98FE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比选人将按照《评审办法》对本须知第21条确定为实质上响应比选文件要求的比选申请文件进行评价与比较。</w:t>
      </w:r>
    </w:p>
    <w:p w14:paraId="76981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27BD1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27803"/>
      <w:bookmarkStart w:id="571" w:name="_Toc19322"/>
      <w:bookmarkStart w:id="572" w:name="_Toc8074"/>
      <w:bookmarkStart w:id="573" w:name="_Toc31774"/>
      <w:bookmarkStart w:id="574" w:name="_Toc12983537"/>
      <w:bookmarkStart w:id="575" w:name="_Toc22500"/>
      <w:bookmarkStart w:id="576" w:name="_Toc15146"/>
      <w:bookmarkStart w:id="577" w:name="_Toc25750622"/>
      <w:bookmarkStart w:id="578" w:name="_Toc17460"/>
      <w:bookmarkStart w:id="579" w:name="_Toc383891202"/>
      <w:bookmarkStart w:id="580" w:name="_Toc385427827"/>
      <w:bookmarkStart w:id="581" w:name="_Toc11010"/>
      <w:bookmarkStart w:id="582" w:name="_Toc11657"/>
      <w:bookmarkStart w:id="583" w:name="_Toc114134639"/>
      <w:bookmarkStart w:id="584" w:name="_Toc14300"/>
      <w:bookmarkStart w:id="585" w:name="_Toc492478752"/>
      <w:bookmarkStart w:id="586" w:name="_Toc507"/>
      <w:bookmarkStart w:id="587" w:name="_Toc27289"/>
      <w:bookmarkStart w:id="588" w:name="_Toc28489"/>
      <w:bookmarkStart w:id="589" w:name="_Toc390098453"/>
      <w:bookmarkStart w:id="590" w:name="_Toc1450"/>
      <w:bookmarkStart w:id="591" w:name="_Toc8845"/>
      <w:bookmarkStart w:id="592" w:name="_Toc3358"/>
      <w:bookmarkStart w:id="593" w:name="_Toc32344"/>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5283E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205EF6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282CB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12E7DA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055E6D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6FAF0C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26470"/>
      <w:bookmarkStart w:id="595" w:name="_Toc385427828"/>
      <w:bookmarkStart w:id="596" w:name="_Toc19634"/>
      <w:bookmarkStart w:id="597" w:name="_Toc18192"/>
      <w:bookmarkStart w:id="598" w:name="_Toc1215"/>
      <w:bookmarkStart w:id="599" w:name="_Toc5257"/>
      <w:bookmarkStart w:id="600" w:name="_Toc12983538"/>
      <w:bookmarkStart w:id="601" w:name="_Toc375039095"/>
      <w:bookmarkStart w:id="602" w:name="_Toc15932"/>
      <w:bookmarkStart w:id="603" w:name="_Toc5172"/>
      <w:bookmarkStart w:id="604" w:name="_Toc21947"/>
      <w:bookmarkStart w:id="605" w:name="_Toc16732"/>
      <w:bookmarkStart w:id="606" w:name="_Toc17823"/>
      <w:bookmarkStart w:id="607" w:name="_Toc22182"/>
      <w:bookmarkStart w:id="608" w:name="_Toc27664"/>
      <w:bookmarkStart w:id="609" w:name="_Toc21142"/>
      <w:bookmarkStart w:id="610" w:name="_Toc3761"/>
      <w:bookmarkStart w:id="611" w:name="_Toc37"/>
      <w:bookmarkStart w:id="612" w:name="_Toc383891203"/>
      <w:bookmarkStart w:id="613" w:name="_Toc14042"/>
      <w:bookmarkStart w:id="614" w:name="_Toc492478753"/>
      <w:bookmarkStart w:id="615" w:name="_Toc13986"/>
      <w:bookmarkStart w:id="616" w:name="_Toc390098454"/>
      <w:bookmarkStart w:id="617" w:name="_Toc25750623"/>
      <w:bookmarkStart w:id="618" w:name="_Toc114134640"/>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0575C5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0A8DBE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577FB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7435F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44A268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3D9BE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7D7F0F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708DC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11126"/>
      <w:bookmarkStart w:id="620" w:name="_Toc2422"/>
      <w:bookmarkStart w:id="621" w:name="_Toc492478754"/>
      <w:bookmarkStart w:id="622" w:name="_Toc12031"/>
      <w:bookmarkStart w:id="623" w:name="_Toc10962"/>
      <w:bookmarkStart w:id="624" w:name="_Toc17042"/>
      <w:bookmarkStart w:id="625" w:name="_Toc6886"/>
      <w:bookmarkStart w:id="626" w:name="_Toc375039096"/>
      <w:bookmarkStart w:id="627" w:name="_Toc26919"/>
      <w:bookmarkStart w:id="628" w:name="_Toc1116"/>
      <w:bookmarkStart w:id="629" w:name="_Toc25257"/>
      <w:bookmarkStart w:id="630" w:name="_Toc14454"/>
      <w:bookmarkStart w:id="631" w:name="_Toc14235"/>
      <w:bookmarkStart w:id="632" w:name="_Toc3769"/>
      <w:bookmarkStart w:id="633" w:name="_Toc20979"/>
      <w:bookmarkStart w:id="634" w:name="_Toc12983539"/>
      <w:bookmarkStart w:id="635" w:name="_Toc26954"/>
      <w:bookmarkStart w:id="636" w:name="_Toc385427829"/>
      <w:bookmarkStart w:id="637" w:name="_Toc1945"/>
      <w:bookmarkStart w:id="638" w:name="_Toc31757"/>
      <w:bookmarkStart w:id="639" w:name="_Toc390098455"/>
      <w:bookmarkStart w:id="640" w:name="_Toc383891204"/>
      <w:bookmarkStart w:id="641" w:name="_Toc5959"/>
      <w:bookmarkStart w:id="642" w:name="_Toc114134641"/>
      <w:bookmarkStart w:id="643" w:name="_Toc25750624"/>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5078E9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D79FA5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30278"/>
      <w:bookmarkStart w:id="645" w:name="_Toc383891205"/>
      <w:bookmarkStart w:id="646" w:name="_Toc27839"/>
      <w:bookmarkStart w:id="647" w:name="_Toc18800"/>
      <w:bookmarkStart w:id="648" w:name="_Toc31958"/>
      <w:bookmarkStart w:id="649" w:name="_Toc19952"/>
      <w:bookmarkStart w:id="650" w:name="_Toc24580"/>
      <w:bookmarkStart w:id="651" w:name="_Toc375039097"/>
      <w:bookmarkStart w:id="652" w:name="_Toc25431"/>
      <w:bookmarkStart w:id="653" w:name="_Toc2326"/>
      <w:bookmarkStart w:id="654" w:name="_Toc385427830"/>
      <w:bookmarkStart w:id="655" w:name="_Toc12421"/>
      <w:bookmarkStart w:id="656" w:name="_Toc390098456"/>
      <w:bookmarkStart w:id="657" w:name="_Toc492478755"/>
      <w:bookmarkStart w:id="658" w:name="_Toc4743"/>
      <w:bookmarkStart w:id="659" w:name="_Toc9113"/>
      <w:bookmarkStart w:id="660" w:name="_Toc26653"/>
      <w:bookmarkStart w:id="661" w:name="_Toc24681"/>
      <w:bookmarkStart w:id="662" w:name="_Toc6000"/>
      <w:bookmarkStart w:id="663" w:name="_Toc12983540"/>
      <w:bookmarkStart w:id="664" w:name="_Toc22975"/>
      <w:bookmarkStart w:id="665" w:name="_Toc8834"/>
      <w:bookmarkStart w:id="666" w:name="_Toc21516"/>
      <w:bookmarkStart w:id="667" w:name="_Toc114134642"/>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6FDEE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1269"/>
      <w:bookmarkStart w:id="669" w:name="_Toc28661"/>
      <w:bookmarkStart w:id="670" w:name="_Toc11795"/>
      <w:bookmarkStart w:id="671" w:name="_Toc25750626"/>
      <w:bookmarkStart w:id="672" w:name="_Toc383891206"/>
      <w:bookmarkStart w:id="673" w:name="_Toc26525"/>
      <w:bookmarkStart w:id="674" w:name="_Toc114134643"/>
      <w:bookmarkStart w:id="675" w:name="_Toc10522"/>
      <w:bookmarkStart w:id="676" w:name="_Toc30026"/>
      <w:bookmarkStart w:id="677" w:name="_Toc385427831"/>
      <w:bookmarkStart w:id="678" w:name="_Toc13914"/>
      <w:bookmarkStart w:id="679" w:name="_Toc20642"/>
      <w:bookmarkStart w:id="680" w:name="_Toc22323"/>
      <w:bookmarkStart w:id="681" w:name="_Toc21975"/>
      <w:bookmarkStart w:id="682" w:name="_Toc12983541"/>
      <w:bookmarkStart w:id="683" w:name="_Toc30743"/>
      <w:bookmarkStart w:id="684" w:name="_Toc26143"/>
      <w:bookmarkStart w:id="685" w:name="_Toc390098457"/>
      <w:bookmarkStart w:id="686" w:name="_Toc8938"/>
      <w:bookmarkStart w:id="687" w:name="_Toc22688"/>
      <w:bookmarkStart w:id="688" w:name="_Toc31011"/>
      <w:bookmarkStart w:id="689" w:name="_Toc492478756"/>
      <w:bookmarkStart w:id="690" w:name="_Toc18878"/>
      <w:bookmarkStart w:id="691" w:name="_Toc375039098"/>
      <w:bookmarkStart w:id="692" w:name="_Toc21728"/>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BF33A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02E1C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507104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17153"/>
      <w:bookmarkStart w:id="694" w:name="_Toc19774"/>
      <w:bookmarkStart w:id="695" w:name="_Toc12983542"/>
      <w:bookmarkStart w:id="696" w:name="_Toc383891207"/>
      <w:bookmarkStart w:id="697" w:name="_Toc16111"/>
      <w:bookmarkStart w:id="698" w:name="_Toc13417"/>
      <w:bookmarkStart w:id="699" w:name="_Toc14325"/>
      <w:bookmarkStart w:id="700" w:name="_Toc24183"/>
      <w:bookmarkStart w:id="701" w:name="_Toc23649"/>
      <w:bookmarkStart w:id="702" w:name="_Toc375039099"/>
      <w:bookmarkStart w:id="703" w:name="_Toc492478757"/>
      <w:bookmarkStart w:id="704" w:name="_Toc18977"/>
      <w:bookmarkStart w:id="705" w:name="_Toc390098458"/>
      <w:bookmarkStart w:id="706" w:name="_Toc25750627"/>
      <w:bookmarkStart w:id="707" w:name="_Toc17818"/>
      <w:bookmarkStart w:id="708" w:name="_Toc19128"/>
      <w:bookmarkStart w:id="709" w:name="_Toc14832"/>
      <w:bookmarkStart w:id="710" w:name="_Toc25797"/>
      <w:bookmarkStart w:id="711" w:name="_Toc14301"/>
      <w:bookmarkStart w:id="712" w:name="_Toc1873"/>
      <w:bookmarkStart w:id="713" w:name="_Toc114134644"/>
      <w:bookmarkStart w:id="714" w:name="_Toc385427832"/>
      <w:bookmarkStart w:id="715" w:name="_Toc31336"/>
      <w:bookmarkStart w:id="716" w:name="_Toc377"/>
      <w:bookmarkStart w:id="717" w:name="_Toc11913"/>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D802A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A9712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21798"/>
      <w:bookmarkStart w:id="719" w:name="_Toc12065"/>
      <w:bookmarkStart w:id="720" w:name="_Toc22657"/>
      <w:bookmarkStart w:id="721" w:name="_Toc383891208"/>
      <w:bookmarkStart w:id="722" w:name="_Toc921"/>
      <w:bookmarkStart w:id="723" w:name="_Toc492478758"/>
      <w:bookmarkStart w:id="724" w:name="_Toc17953"/>
      <w:bookmarkStart w:id="725" w:name="_Toc32424"/>
      <w:bookmarkStart w:id="726" w:name="_Toc19943"/>
      <w:bookmarkStart w:id="727" w:name="_Toc25750628"/>
      <w:bookmarkStart w:id="728" w:name="_Toc27683"/>
      <w:bookmarkStart w:id="729" w:name="_Toc385427833"/>
      <w:bookmarkStart w:id="730" w:name="_Toc13605"/>
      <w:bookmarkStart w:id="731" w:name="_Toc13596"/>
      <w:bookmarkStart w:id="732" w:name="_Toc2061"/>
      <w:bookmarkStart w:id="733" w:name="_Toc19556"/>
      <w:bookmarkStart w:id="734" w:name="_Toc673"/>
      <w:bookmarkStart w:id="735" w:name="_Toc5061"/>
      <w:bookmarkStart w:id="736" w:name="_Toc10348"/>
      <w:bookmarkStart w:id="737" w:name="_Toc390098459"/>
      <w:bookmarkStart w:id="738" w:name="_Toc114134645"/>
      <w:bookmarkStart w:id="739" w:name="_Toc12983543"/>
      <w:bookmarkStart w:id="740" w:name="_Toc20680"/>
      <w:bookmarkStart w:id="741" w:name="_Toc9636"/>
      <w:bookmarkStart w:id="742" w:name="_Toc375039100"/>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17569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37AF4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6FBA73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804B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7AE4E5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492478759"/>
      <w:bookmarkStart w:id="744" w:name="_Toc375039101"/>
      <w:bookmarkStart w:id="745" w:name="_Toc5617"/>
      <w:bookmarkStart w:id="746" w:name="_Toc25208"/>
      <w:bookmarkStart w:id="747" w:name="_Toc25750629"/>
      <w:bookmarkStart w:id="748" w:name="_Toc8628"/>
      <w:bookmarkStart w:id="749" w:name="_Toc1780"/>
      <w:bookmarkStart w:id="750" w:name="_Toc385427834"/>
      <w:bookmarkStart w:id="751" w:name="_Toc15048"/>
      <w:bookmarkStart w:id="752" w:name="_Toc30862"/>
      <w:bookmarkStart w:id="753" w:name="_Toc29993"/>
      <w:bookmarkStart w:id="754" w:name="_Toc28815"/>
      <w:bookmarkStart w:id="755" w:name="_Toc21217"/>
      <w:bookmarkStart w:id="756" w:name="_Toc21570"/>
      <w:bookmarkStart w:id="757" w:name="_Toc114134646"/>
      <w:bookmarkStart w:id="758" w:name="_Toc24240"/>
      <w:bookmarkStart w:id="759" w:name="_Toc22442"/>
      <w:bookmarkStart w:id="760" w:name="_Toc24885"/>
      <w:bookmarkStart w:id="761" w:name="_Toc18694"/>
      <w:bookmarkStart w:id="762" w:name="_Toc390098460"/>
      <w:bookmarkStart w:id="763" w:name="_Toc5767"/>
      <w:bookmarkStart w:id="764" w:name="_Toc4190"/>
      <w:bookmarkStart w:id="765" w:name="_Toc383891209"/>
      <w:bookmarkStart w:id="766" w:name="_Toc12983544"/>
      <w:bookmarkStart w:id="767" w:name="_Toc1862"/>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E0C8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6690A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9D7E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3FF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02C917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5576"/>
      <w:bookmarkStart w:id="769" w:name="_Toc375039102"/>
      <w:bookmarkStart w:id="770" w:name="_Toc25632"/>
      <w:bookmarkStart w:id="771" w:name="_Toc385427835"/>
      <w:bookmarkStart w:id="772" w:name="_Toc6599"/>
      <w:bookmarkStart w:id="773" w:name="_Toc11079"/>
      <w:bookmarkStart w:id="774" w:name="_Toc25483"/>
      <w:bookmarkStart w:id="775" w:name="_Toc114134647"/>
      <w:bookmarkStart w:id="776" w:name="_Toc492478760"/>
      <w:bookmarkStart w:id="777" w:name="_Toc9981"/>
      <w:bookmarkStart w:id="778" w:name="_Toc20178"/>
      <w:bookmarkStart w:id="779" w:name="_Toc25750630"/>
      <w:bookmarkStart w:id="780" w:name="_Toc31814"/>
      <w:bookmarkStart w:id="781" w:name="_Toc390098461"/>
      <w:bookmarkStart w:id="782" w:name="_Toc17281"/>
      <w:bookmarkStart w:id="783" w:name="_Toc383891210"/>
      <w:bookmarkStart w:id="784" w:name="_Toc12983545"/>
      <w:bookmarkStart w:id="785" w:name="_Toc16589"/>
      <w:bookmarkStart w:id="786" w:name="_Toc24750"/>
      <w:bookmarkStart w:id="787" w:name="_Toc11412"/>
      <w:bookmarkStart w:id="788" w:name="_Toc8104"/>
      <w:bookmarkStart w:id="789" w:name="_Toc23817"/>
      <w:bookmarkStart w:id="790" w:name="_Toc16371"/>
      <w:bookmarkStart w:id="791" w:name="_Toc9433"/>
      <w:bookmarkStart w:id="792" w:name="_Toc29857"/>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2B6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7E52BA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C7B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1D1C00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B0A43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12926F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97564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4FA0B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14ADB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272C7D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32A8D1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00E9D0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509A01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5B016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5D20A2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18AFF7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54A421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EFABE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1E8BB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1F3E4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02CE9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EBC6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5F22D9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336BF7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6F1506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168DB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37DBFC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24A42A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26167B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EF200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719DA4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164A30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7C867D82">
      <w:pPr>
        <w:rPr>
          <w:rFonts w:hint="eastAsia" w:ascii="宋体" w:hAnsi="宋体"/>
          <w:color w:val="auto"/>
          <w:sz w:val="30"/>
          <w:szCs w:val="30"/>
          <w:highlight w:val="none"/>
        </w:rPr>
      </w:pPr>
    </w:p>
    <w:p w14:paraId="3A121251">
      <w:pPr>
        <w:rPr>
          <w:rFonts w:hint="eastAsia" w:ascii="宋体" w:hAnsi="宋体"/>
          <w:color w:val="auto"/>
          <w:sz w:val="30"/>
          <w:szCs w:val="30"/>
          <w:highlight w:val="none"/>
        </w:rPr>
      </w:pPr>
      <w:r>
        <w:rPr>
          <w:rFonts w:hint="eastAsia" w:ascii="宋体" w:hAnsi="宋体"/>
          <w:color w:val="auto"/>
          <w:sz w:val="30"/>
          <w:szCs w:val="30"/>
          <w:highlight w:val="none"/>
        </w:rPr>
        <w:br w:type="page"/>
      </w:r>
    </w:p>
    <w:p w14:paraId="0FEC53CC">
      <w:pPr>
        <w:spacing w:line="480" w:lineRule="exact"/>
        <w:jc w:val="center"/>
        <w:rPr>
          <w:rFonts w:ascii="宋体" w:hAnsi="宋体" w:eastAsia="宋体"/>
          <w:color w:val="auto"/>
          <w:sz w:val="24"/>
          <w:szCs w:val="24"/>
          <w:highlight w:val="none"/>
        </w:rPr>
      </w:pPr>
      <w:r>
        <w:rPr>
          <w:rFonts w:hint="eastAsia" w:ascii="宋体" w:hAnsi="宋体"/>
          <w:color w:val="auto"/>
          <w:sz w:val="30"/>
          <w:szCs w:val="30"/>
          <w:highlight w:val="none"/>
        </w:rPr>
        <w:t>第三章合同条款及格式</w:t>
      </w:r>
    </w:p>
    <w:p w14:paraId="08348FFF">
      <w:pPr>
        <w:jc w:val="center"/>
        <w:rPr>
          <w:rFonts w:hint="eastAsia" w:ascii="长城新魏碑体" w:hAnsi="宋体" w:eastAsia="长城新魏碑体"/>
          <w:b/>
          <w:bCs/>
          <w:sz w:val="48"/>
          <w:szCs w:val="48"/>
          <w:lang w:eastAsia="zh-CN"/>
        </w:rPr>
      </w:pPr>
    </w:p>
    <w:p w14:paraId="5E1E8EF6">
      <w:pPr>
        <w:jc w:val="center"/>
        <w:rPr>
          <w:rFonts w:ascii="长城新魏碑体" w:hAnsi="宋体" w:eastAsia="长城新魏碑体"/>
          <w:b/>
          <w:bCs/>
          <w:sz w:val="48"/>
          <w:szCs w:val="48"/>
        </w:rPr>
      </w:pPr>
      <w:r>
        <w:rPr>
          <w:rFonts w:hint="eastAsia" w:ascii="长城新魏碑体" w:hAnsi="宋体" w:eastAsia="长城新魏碑体"/>
          <w:b/>
          <w:bCs/>
          <w:sz w:val="48"/>
          <w:szCs w:val="48"/>
          <w:lang w:eastAsia="zh-CN"/>
        </w:rPr>
        <w:t>南宁轨道地产建筑工程有限责任公司2025年-2026年法律顾问</w:t>
      </w:r>
      <w:r>
        <w:rPr>
          <w:rFonts w:hint="eastAsia" w:ascii="长城新魏碑体" w:hAnsi="宋体" w:eastAsia="长城新魏碑体"/>
          <w:b/>
          <w:bCs/>
          <w:sz w:val="48"/>
          <w:szCs w:val="48"/>
        </w:rPr>
        <w:t>服务合同</w:t>
      </w:r>
    </w:p>
    <w:p w14:paraId="7D3A7AA5">
      <w:pPr>
        <w:tabs>
          <w:tab w:val="left" w:pos="2443"/>
        </w:tabs>
        <w:ind w:firstLine="1446" w:firstLineChars="300"/>
        <w:outlineLvl w:val="0"/>
        <w:rPr>
          <w:rFonts w:hint="eastAsia" w:ascii="宋体" w:eastAsia="宋体"/>
          <w:b/>
          <w:sz w:val="48"/>
          <w:szCs w:val="48"/>
        </w:rPr>
      </w:pPr>
    </w:p>
    <w:p w14:paraId="7A0BF033">
      <w:pPr>
        <w:ind w:firstLine="709"/>
        <w:rPr>
          <w:rFonts w:hint="eastAsia" w:ascii="宋体" w:hAnsi="宋体" w:eastAsia="宋体"/>
          <w:b/>
          <w:sz w:val="24"/>
          <w:szCs w:val="24"/>
        </w:rPr>
      </w:pPr>
      <w:r>
        <w:rPr>
          <w:rFonts w:hint="eastAsia" w:ascii="宋体" w:hAnsi="宋体" w:eastAsia="宋体"/>
          <w:b/>
          <w:sz w:val="24"/>
          <w:szCs w:val="24"/>
        </w:rPr>
        <w:t>甲  方：南宁轨道地产建筑工程有限责任公司</w:t>
      </w:r>
    </w:p>
    <w:p w14:paraId="29CE906E">
      <w:pPr>
        <w:ind w:firstLine="709"/>
        <w:rPr>
          <w:rFonts w:hint="eastAsia" w:ascii="宋体" w:hAnsi="宋体" w:eastAsia="宋体"/>
          <w:b/>
          <w:sz w:val="24"/>
          <w:szCs w:val="24"/>
          <w:lang w:eastAsia="zh-CN"/>
        </w:rPr>
      </w:pPr>
      <w:r>
        <w:rPr>
          <w:rFonts w:hint="eastAsia" w:ascii="宋体" w:hAnsi="宋体" w:eastAsia="宋体"/>
          <w:b/>
          <w:sz w:val="24"/>
          <w:szCs w:val="24"/>
        </w:rPr>
        <w:t>住所地：</w:t>
      </w:r>
      <w:r>
        <w:rPr>
          <w:rFonts w:hint="eastAsia" w:ascii="宋体" w:hAnsi="宋体" w:eastAsia="宋体"/>
          <w:b/>
          <w:sz w:val="24"/>
          <w:szCs w:val="24"/>
          <w:lang w:val="en-US" w:eastAsia="zh-CN"/>
        </w:rPr>
        <w:t xml:space="preserve"> </w:t>
      </w:r>
    </w:p>
    <w:p w14:paraId="34690C15">
      <w:pPr>
        <w:ind w:firstLine="709"/>
        <w:rPr>
          <w:rFonts w:hint="eastAsia" w:ascii="宋体" w:hAnsi="宋体" w:eastAsia="宋体"/>
          <w:b/>
          <w:sz w:val="24"/>
          <w:szCs w:val="24"/>
          <w:lang w:val="en-US" w:eastAsia="zh-CN"/>
        </w:rPr>
      </w:pPr>
      <w:r>
        <w:rPr>
          <w:rFonts w:hint="eastAsia" w:ascii="宋体" w:hAnsi="宋体" w:eastAsia="宋体"/>
          <w:b/>
          <w:sz w:val="24"/>
          <w:szCs w:val="24"/>
        </w:rPr>
        <w:t>法定代表人：</w:t>
      </w:r>
      <w:r>
        <w:rPr>
          <w:rFonts w:hint="eastAsia" w:ascii="宋体" w:hAnsi="宋体" w:eastAsia="宋体"/>
          <w:b/>
          <w:sz w:val="24"/>
          <w:szCs w:val="24"/>
          <w:lang w:val="en-US" w:eastAsia="zh-CN"/>
        </w:rPr>
        <w:t xml:space="preserve"> </w:t>
      </w:r>
    </w:p>
    <w:p w14:paraId="775CA8A7">
      <w:pPr>
        <w:ind w:firstLine="709"/>
        <w:rPr>
          <w:rFonts w:hint="eastAsia" w:ascii="宋体" w:hAnsi="宋体" w:eastAsia="宋体"/>
          <w:b/>
          <w:sz w:val="24"/>
          <w:szCs w:val="24"/>
          <w:lang w:eastAsia="zh-CN"/>
        </w:rPr>
      </w:pPr>
      <w:r>
        <w:rPr>
          <w:rFonts w:hint="eastAsia" w:ascii="宋体" w:hAnsi="宋体" w:eastAsia="宋体"/>
          <w:b/>
          <w:sz w:val="24"/>
          <w:szCs w:val="24"/>
        </w:rPr>
        <w:t>电话（传真）：</w:t>
      </w:r>
      <w:r>
        <w:rPr>
          <w:rFonts w:hint="eastAsia" w:ascii="宋体" w:hAnsi="宋体" w:eastAsia="宋体"/>
          <w:b/>
          <w:sz w:val="24"/>
          <w:szCs w:val="24"/>
          <w:lang w:val="en-US" w:eastAsia="zh-CN"/>
        </w:rPr>
        <w:t xml:space="preserve"> </w:t>
      </w:r>
    </w:p>
    <w:p w14:paraId="34B719B5">
      <w:pPr>
        <w:ind w:firstLine="709"/>
        <w:rPr>
          <w:rFonts w:hint="eastAsia" w:ascii="宋体" w:hAnsi="宋体" w:eastAsia="宋体"/>
          <w:b/>
          <w:sz w:val="24"/>
          <w:szCs w:val="24"/>
          <w:lang w:eastAsia="zh-CN"/>
        </w:rPr>
      </w:pPr>
      <w:r>
        <w:rPr>
          <w:rFonts w:hint="eastAsia" w:ascii="宋体" w:hAnsi="宋体" w:eastAsia="宋体"/>
          <w:b/>
          <w:sz w:val="24"/>
          <w:szCs w:val="24"/>
        </w:rPr>
        <w:t>邮政编码：</w:t>
      </w:r>
      <w:r>
        <w:rPr>
          <w:rFonts w:hint="eastAsia" w:ascii="宋体" w:hAnsi="宋体" w:eastAsia="宋体"/>
          <w:b/>
          <w:sz w:val="24"/>
          <w:szCs w:val="24"/>
          <w:lang w:val="en-US" w:eastAsia="zh-CN"/>
        </w:rPr>
        <w:t xml:space="preserve"> </w:t>
      </w:r>
    </w:p>
    <w:p w14:paraId="1E21C9B3">
      <w:pPr>
        <w:ind w:firstLine="709"/>
        <w:rPr>
          <w:rFonts w:hint="eastAsia" w:ascii="宋体" w:hAnsi="宋体" w:eastAsia="宋体"/>
          <w:b/>
          <w:sz w:val="24"/>
          <w:szCs w:val="24"/>
        </w:rPr>
      </w:pPr>
    </w:p>
    <w:p w14:paraId="7DC2FF5D">
      <w:pPr>
        <w:ind w:firstLine="709"/>
        <w:rPr>
          <w:rFonts w:hint="default" w:ascii="宋体" w:hAnsi="宋体" w:eastAsia="宋体"/>
          <w:b/>
          <w:sz w:val="24"/>
          <w:szCs w:val="24"/>
          <w:lang w:val="en-US" w:eastAsia="zh-CN"/>
        </w:rPr>
      </w:pPr>
      <w:r>
        <w:rPr>
          <w:rFonts w:hint="eastAsia" w:ascii="宋体" w:hAnsi="宋体" w:eastAsia="宋体"/>
          <w:b/>
          <w:sz w:val="24"/>
          <w:szCs w:val="24"/>
        </w:rPr>
        <w:t>乙方（受托方）：</w:t>
      </w:r>
      <w:r>
        <w:rPr>
          <w:rFonts w:hint="eastAsia" w:ascii="宋体" w:hAnsi="宋体" w:eastAsia="宋体"/>
          <w:b/>
          <w:sz w:val="24"/>
          <w:szCs w:val="24"/>
          <w:lang w:val="en-US" w:eastAsia="zh-CN"/>
        </w:rPr>
        <w:t xml:space="preserve"> </w:t>
      </w:r>
    </w:p>
    <w:p w14:paraId="17D8730F">
      <w:pPr>
        <w:ind w:firstLine="709"/>
        <w:rPr>
          <w:rFonts w:hint="eastAsia" w:ascii="宋体" w:hAnsi="宋体" w:eastAsia="宋体"/>
          <w:b/>
          <w:sz w:val="24"/>
          <w:szCs w:val="24"/>
          <w:lang w:val="en-US" w:eastAsia="zh-CN"/>
        </w:rPr>
      </w:pPr>
      <w:r>
        <w:rPr>
          <w:rFonts w:hint="eastAsia" w:ascii="宋体" w:hAnsi="宋体" w:eastAsia="宋体"/>
          <w:b/>
          <w:sz w:val="24"/>
          <w:szCs w:val="24"/>
        </w:rPr>
        <w:t>负责人：</w:t>
      </w:r>
      <w:r>
        <w:rPr>
          <w:rFonts w:hint="eastAsia" w:ascii="宋体" w:hAnsi="宋体" w:eastAsia="宋体"/>
          <w:b/>
          <w:sz w:val="24"/>
          <w:szCs w:val="24"/>
          <w:lang w:val="en-US" w:eastAsia="zh-CN"/>
        </w:rPr>
        <w:t xml:space="preserve"> </w:t>
      </w:r>
    </w:p>
    <w:p w14:paraId="72DE065E">
      <w:pPr>
        <w:ind w:firstLine="709"/>
        <w:rPr>
          <w:rFonts w:hint="eastAsia" w:ascii="宋体" w:hAnsi="宋体" w:eastAsia="宋体"/>
          <w:b/>
          <w:sz w:val="24"/>
          <w:szCs w:val="24"/>
          <w:lang w:eastAsia="zh-CN"/>
        </w:rPr>
      </w:pPr>
      <w:r>
        <w:rPr>
          <w:rFonts w:hint="eastAsia" w:ascii="宋体" w:hAnsi="宋体" w:eastAsia="宋体"/>
          <w:b/>
          <w:sz w:val="24"/>
          <w:szCs w:val="24"/>
        </w:rPr>
        <w:t>住所地：</w:t>
      </w:r>
      <w:r>
        <w:rPr>
          <w:rFonts w:hint="eastAsia" w:ascii="宋体" w:hAnsi="宋体" w:eastAsia="宋体"/>
          <w:b/>
          <w:sz w:val="24"/>
          <w:szCs w:val="24"/>
          <w:lang w:val="en-US" w:eastAsia="zh-CN"/>
        </w:rPr>
        <w:t xml:space="preserve"> </w:t>
      </w:r>
    </w:p>
    <w:p w14:paraId="72FE56E8">
      <w:pPr>
        <w:ind w:firstLine="709"/>
        <w:rPr>
          <w:rFonts w:hint="eastAsia" w:ascii="宋体" w:hAnsi="宋体" w:eastAsia="宋体"/>
          <w:b/>
          <w:sz w:val="24"/>
          <w:szCs w:val="24"/>
          <w:lang w:eastAsia="zh-CN"/>
        </w:rPr>
      </w:pPr>
      <w:r>
        <w:rPr>
          <w:rFonts w:hint="eastAsia" w:ascii="宋体" w:hAnsi="宋体" w:eastAsia="宋体"/>
          <w:b/>
          <w:sz w:val="24"/>
          <w:szCs w:val="24"/>
        </w:rPr>
        <w:t>联系电话：</w:t>
      </w:r>
      <w:r>
        <w:rPr>
          <w:rFonts w:hint="eastAsia" w:ascii="宋体" w:hAnsi="宋体" w:eastAsia="宋体"/>
          <w:b/>
          <w:sz w:val="24"/>
          <w:szCs w:val="24"/>
          <w:lang w:val="en-US" w:eastAsia="zh-CN"/>
        </w:rPr>
        <w:t xml:space="preserve"> </w:t>
      </w:r>
    </w:p>
    <w:p w14:paraId="046AA664">
      <w:pPr>
        <w:ind w:firstLine="709"/>
        <w:rPr>
          <w:rFonts w:hint="default" w:ascii="宋体" w:hAnsi="宋体" w:eastAsia="宋体"/>
          <w:b/>
          <w:sz w:val="24"/>
          <w:szCs w:val="24"/>
          <w:lang w:val="en-US" w:eastAsia="zh-CN"/>
        </w:rPr>
      </w:pPr>
      <w:r>
        <w:rPr>
          <w:rFonts w:hint="eastAsia" w:ascii="宋体" w:hAnsi="宋体" w:eastAsia="宋体"/>
          <w:b/>
          <w:sz w:val="24"/>
          <w:szCs w:val="24"/>
        </w:rPr>
        <w:t>邮政编码 ：</w:t>
      </w:r>
      <w:r>
        <w:rPr>
          <w:rFonts w:hint="eastAsia" w:ascii="宋体" w:hAnsi="宋体" w:eastAsia="宋体"/>
          <w:b/>
          <w:sz w:val="24"/>
          <w:szCs w:val="24"/>
          <w:lang w:val="en-US" w:eastAsia="zh-CN"/>
        </w:rPr>
        <w:t xml:space="preserve"> </w:t>
      </w:r>
    </w:p>
    <w:p w14:paraId="4CB7301B">
      <w:pPr>
        <w:pStyle w:val="9"/>
        <w:ind w:firstLine="720"/>
        <w:rPr>
          <w:rFonts w:ascii="华文细黑" w:hAnsi="华文细黑" w:eastAsia="华文细黑"/>
          <w:sz w:val="24"/>
          <w:szCs w:val="24"/>
        </w:rPr>
      </w:pPr>
    </w:p>
    <w:p w14:paraId="7D43A0F6">
      <w:pPr>
        <w:pStyle w:val="9"/>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hint="eastAsia" w:ascii="仿宋" w:hAnsi="仿宋" w:eastAsia="仿宋" w:cs="仿宋"/>
          <w:sz w:val="24"/>
          <w:szCs w:val="24"/>
        </w:rPr>
      </w:pPr>
      <w:r>
        <w:rPr>
          <w:rFonts w:hint="eastAsia" w:ascii="仿宋" w:hAnsi="仿宋" w:eastAsia="仿宋" w:cs="仿宋"/>
          <w:sz w:val="24"/>
          <w:szCs w:val="24"/>
        </w:rPr>
        <w:t>根据《中华人民共和国民法典》《中华人民共和国律师法》的有关规定，甲方聘请乙方为甲方常年法律顾问，经双方协商订立下列协议，共同遵照履行：</w:t>
      </w:r>
    </w:p>
    <w:p w14:paraId="1C717DC5">
      <w:pPr>
        <w:pStyle w:val="9"/>
        <w:keepNext w:val="0"/>
        <w:keepLines w:val="0"/>
        <w:pageBreakBefore w:val="0"/>
        <w:widowControl w:val="0"/>
        <w:kinsoku/>
        <w:wordWrap/>
        <w:overflowPunct/>
        <w:topLinePunct w:val="0"/>
        <w:autoSpaceDE/>
        <w:autoSpaceDN/>
        <w:bidi w:val="0"/>
        <w:adjustRightInd w:val="0"/>
        <w:snapToGrid w:val="0"/>
        <w:spacing w:line="420" w:lineRule="exact"/>
        <w:ind w:firstLine="0"/>
        <w:textAlignment w:val="auto"/>
        <w:outlineLvl w:val="0"/>
        <w:rPr>
          <w:rFonts w:hint="eastAsia" w:ascii="仿宋" w:hAnsi="仿宋" w:eastAsia="仿宋" w:cs="仿宋"/>
          <w:b/>
          <w:sz w:val="24"/>
          <w:szCs w:val="24"/>
        </w:rPr>
      </w:pPr>
      <w:r>
        <w:rPr>
          <w:rFonts w:hint="eastAsia" w:ascii="仿宋" w:hAnsi="仿宋" w:eastAsia="仿宋" w:cs="仿宋"/>
          <w:sz w:val="24"/>
          <w:szCs w:val="24"/>
        </w:rPr>
        <w:t xml:space="preserve">    </w:t>
      </w:r>
      <w:r>
        <w:rPr>
          <w:rFonts w:hint="eastAsia" w:ascii="仿宋" w:hAnsi="仿宋" w:eastAsia="仿宋" w:cs="仿宋"/>
          <w:b/>
          <w:sz w:val="24"/>
          <w:szCs w:val="24"/>
        </w:rPr>
        <w:t xml:space="preserve">第一条 </w:t>
      </w:r>
      <w:r>
        <w:rPr>
          <w:rFonts w:hint="eastAsia" w:ascii="仿宋" w:hAnsi="仿宋" w:eastAsia="仿宋" w:cs="仿宋"/>
          <w:sz w:val="24"/>
          <w:szCs w:val="24"/>
        </w:rPr>
        <w:t xml:space="preserve"> 乙方委派律师</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担任甲方的常年法律顾问，为甲方提供法律服务，依法维护甲方合法权益。甲方指定</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为法律顾问的联系人。乙方应按照合法、公正、独立、优质、高效的原则为甲方提供服务，认真维护甲方的合法权益。</w:t>
      </w:r>
    </w:p>
    <w:p w14:paraId="3A162F40">
      <w:pPr>
        <w:keepNext w:val="0"/>
        <w:keepLines w:val="0"/>
        <w:pageBreakBefore w:val="0"/>
        <w:widowControl w:val="0"/>
        <w:kinsoku/>
        <w:wordWrap/>
        <w:overflowPunct/>
        <w:topLinePunct w:val="0"/>
        <w:autoSpaceDE/>
        <w:autoSpaceDN/>
        <w:bidi w:val="0"/>
        <w:adjustRightInd w:val="0"/>
        <w:snapToGrid w:val="0"/>
        <w:spacing w:line="420" w:lineRule="exact"/>
        <w:ind w:firstLine="618"/>
        <w:textAlignment w:val="auto"/>
        <w:rPr>
          <w:rFonts w:hint="eastAsia" w:ascii="仿宋" w:hAnsi="仿宋" w:eastAsia="仿宋" w:cs="仿宋"/>
          <w:sz w:val="24"/>
          <w:szCs w:val="24"/>
        </w:rPr>
      </w:pPr>
      <w:r>
        <w:rPr>
          <w:rFonts w:hint="eastAsia" w:ascii="仿宋" w:hAnsi="仿宋" w:eastAsia="仿宋" w:cs="仿宋"/>
          <w:b/>
          <w:sz w:val="24"/>
          <w:szCs w:val="24"/>
        </w:rPr>
        <w:t xml:space="preserve">第二条 </w:t>
      </w:r>
      <w:r>
        <w:rPr>
          <w:rFonts w:hint="eastAsia" w:ascii="仿宋" w:hAnsi="仿宋" w:eastAsia="仿宋" w:cs="仿宋"/>
          <w:b/>
          <w:bCs w:val="0"/>
          <w:sz w:val="24"/>
          <w:szCs w:val="24"/>
        </w:rPr>
        <w:t xml:space="preserve"> 法律顾问的工作范围：</w:t>
      </w:r>
      <w:r>
        <w:rPr>
          <w:rFonts w:hint="eastAsia" w:ascii="仿宋" w:hAnsi="仿宋" w:eastAsia="仿宋" w:cs="仿宋"/>
          <w:sz w:val="24"/>
          <w:szCs w:val="24"/>
        </w:rPr>
        <w:t xml:space="preserve"> </w:t>
      </w:r>
    </w:p>
    <w:p w14:paraId="7824AD6C">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hint="eastAsia" w:ascii="仿宋" w:hAnsi="仿宋" w:eastAsia="仿宋" w:cs="仿宋"/>
          <w:sz w:val="24"/>
          <w:szCs w:val="24"/>
          <w:lang w:eastAsia="zh-CN"/>
        </w:rPr>
      </w:pPr>
      <w:r>
        <w:rPr>
          <w:rFonts w:hint="eastAsia" w:ascii="仿宋" w:hAnsi="仿宋" w:eastAsia="仿宋" w:cs="仿宋"/>
          <w:sz w:val="24"/>
          <w:szCs w:val="24"/>
        </w:rPr>
        <w:t xml:space="preserve">    1、甲方需要了解或解答的法律问题，乙方应予以及时、准确、完整地答复。律师在工作过程中发现的重大问题，有责任主动向甲方提出意见和建议，并及时通报有关的法律、政策动态和信息</w:t>
      </w:r>
      <w:r>
        <w:rPr>
          <w:rFonts w:hint="eastAsia" w:ascii="仿宋" w:hAnsi="仿宋" w:eastAsia="仿宋" w:cs="仿宋"/>
          <w:sz w:val="24"/>
          <w:szCs w:val="24"/>
          <w:lang w:eastAsia="zh-CN"/>
        </w:rPr>
        <w:t>；</w:t>
      </w:r>
    </w:p>
    <w:p w14:paraId="1BEF91D5">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hint="eastAsia" w:ascii="仿宋" w:hAnsi="仿宋" w:eastAsia="仿宋" w:cs="仿宋"/>
          <w:sz w:val="24"/>
          <w:szCs w:val="24"/>
        </w:rPr>
      </w:pPr>
      <w:r>
        <w:rPr>
          <w:rFonts w:hint="eastAsia" w:ascii="仿宋" w:hAnsi="仿宋" w:eastAsia="仿宋" w:cs="仿宋"/>
          <w:sz w:val="24"/>
          <w:szCs w:val="24"/>
        </w:rPr>
        <w:t xml:space="preserve">    2、应甲方要求，提供与甲方有关的法律信息；</w:t>
      </w:r>
    </w:p>
    <w:p w14:paraId="54EC0EC2">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hint="eastAsia" w:ascii="仿宋" w:hAnsi="仿宋" w:eastAsia="仿宋" w:cs="仿宋"/>
          <w:sz w:val="24"/>
          <w:szCs w:val="24"/>
        </w:rPr>
      </w:pPr>
      <w:r>
        <w:rPr>
          <w:rFonts w:hint="eastAsia" w:ascii="仿宋" w:hAnsi="仿宋" w:eastAsia="仿宋" w:cs="仿宋"/>
          <w:sz w:val="24"/>
          <w:szCs w:val="24"/>
        </w:rPr>
        <w:t xml:space="preserve">    3、协助草拟、修改、审查合同、章程、制度以及其他有关法律事务文书；</w:t>
      </w:r>
    </w:p>
    <w:p w14:paraId="675BF1E8">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hint="eastAsia" w:ascii="仿宋" w:hAnsi="仿宋" w:eastAsia="仿宋" w:cs="仿宋"/>
          <w:sz w:val="24"/>
          <w:szCs w:val="24"/>
        </w:rPr>
      </w:pPr>
      <w:r>
        <w:rPr>
          <w:rFonts w:hint="eastAsia" w:ascii="仿宋" w:hAnsi="仿宋" w:eastAsia="仿宋" w:cs="仿宋"/>
          <w:sz w:val="24"/>
          <w:szCs w:val="24"/>
        </w:rPr>
        <w:t xml:space="preserve">    4、对甲方在生产、经营、管理方面的规章制度、公司章程、重要决策和授权委托文件等材料进行合法性审查，提供合法性审查意见，并根据需要出具法律意见书；</w:t>
      </w:r>
    </w:p>
    <w:p w14:paraId="66A293F7">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hint="eastAsia" w:ascii="仿宋" w:hAnsi="仿宋" w:eastAsia="仿宋" w:cs="仿宋"/>
          <w:sz w:val="24"/>
          <w:szCs w:val="24"/>
        </w:rPr>
      </w:pPr>
      <w:r>
        <w:rPr>
          <w:rFonts w:hint="eastAsia" w:ascii="仿宋" w:hAnsi="仿宋" w:eastAsia="仿宋" w:cs="仿宋"/>
          <w:sz w:val="24"/>
          <w:szCs w:val="24"/>
        </w:rPr>
        <w:t xml:space="preserve">    5、应甲方要求，参与相关事务谈判；</w:t>
      </w:r>
    </w:p>
    <w:p w14:paraId="7F3298F9">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hint="eastAsia" w:ascii="仿宋" w:hAnsi="仿宋" w:eastAsia="仿宋" w:cs="仿宋"/>
          <w:sz w:val="24"/>
          <w:szCs w:val="24"/>
        </w:rPr>
      </w:pPr>
      <w:r>
        <w:rPr>
          <w:rFonts w:hint="eastAsia" w:ascii="仿宋" w:hAnsi="仿宋" w:eastAsia="仿宋" w:cs="仿宋"/>
          <w:sz w:val="24"/>
          <w:szCs w:val="24"/>
        </w:rPr>
        <w:t xml:space="preserve">    6、应甲方要求，向甲方员工进行法制宣传教育；</w:t>
      </w:r>
    </w:p>
    <w:p w14:paraId="0202CC03">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7、担任代理人，参加诉讼、仲裁、行政复议</w:t>
      </w:r>
      <w:r>
        <w:rPr>
          <w:rFonts w:hint="eastAsia" w:ascii="仿宋" w:hAnsi="仿宋" w:eastAsia="仿宋" w:cs="仿宋"/>
          <w:sz w:val="24"/>
          <w:szCs w:val="24"/>
          <w:lang w:eastAsia="zh-CN"/>
        </w:rPr>
        <w:t>；</w:t>
      </w:r>
    </w:p>
    <w:p w14:paraId="4BE643C9">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8、公司经营活动方面的法律服务工作；</w:t>
      </w:r>
    </w:p>
    <w:p w14:paraId="7A1F359E">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根据甲方要求审查招标文件、合同、协议、对外发布函件、文稿、声明、指示、决定等文书，出具合法性审查意见，并根据需要出具法律意见书。对招投标过程中出现的法律风险、质疑、投诉等问题提出法律意见。对合同签订及履约过程中出现的争议、索赔等问题提出法律意见。</w:t>
      </w:r>
    </w:p>
    <w:p w14:paraId="5B412087">
      <w:pPr>
        <w:keepNext w:val="0"/>
        <w:keepLines w:val="0"/>
        <w:pageBreakBefore w:val="0"/>
        <w:widowControl w:val="0"/>
        <w:kinsoku/>
        <w:wordWrap/>
        <w:overflowPunct/>
        <w:topLinePunct w:val="0"/>
        <w:autoSpaceDE/>
        <w:autoSpaceDN/>
        <w:bidi w:val="0"/>
        <w:adjustRightInd w:val="0"/>
        <w:snapToGrid w:val="0"/>
        <w:spacing w:line="420" w:lineRule="exact"/>
        <w:textAlignment w:val="auto"/>
        <w:outlineLvl w:val="0"/>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b/>
          <w:sz w:val="24"/>
          <w:szCs w:val="24"/>
        </w:rPr>
        <w:t>第三条</w:t>
      </w:r>
      <w:r>
        <w:rPr>
          <w:rFonts w:hint="eastAsia" w:ascii="仿宋" w:hAnsi="仿宋" w:eastAsia="仿宋" w:cs="仿宋"/>
          <w:sz w:val="24"/>
          <w:szCs w:val="24"/>
        </w:rPr>
        <w:t xml:space="preserve">  </w:t>
      </w:r>
      <w:r>
        <w:rPr>
          <w:rFonts w:hint="eastAsia" w:ascii="仿宋" w:hAnsi="仿宋" w:eastAsia="仿宋" w:cs="仿宋"/>
          <w:b/>
          <w:bCs/>
          <w:sz w:val="24"/>
          <w:szCs w:val="24"/>
        </w:rPr>
        <w:t>甲方应履行以下义务：</w:t>
      </w:r>
    </w:p>
    <w:p w14:paraId="71447B86">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1、甲方应当向乙方充分披露与委托事项有关的背景信息，并提供有关资料、文件、证据、联系人及联系方式。除非另有书面指示，甲方提供给乙方的资料、文件、证据均应为复印件或复制品，原件应由甲方妥善保管</w:t>
      </w:r>
      <w:r>
        <w:rPr>
          <w:rFonts w:hint="eastAsia" w:ascii="仿宋" w:hAnsi="仿宋" w:eastAsia="仿宋" w:cs="仿宋"/>
          <w:sz w:val="24"/>
          <w:szCs w:val="24"/>
          <w:lang w:eastAsia="zh-CN"/>
        </w:rPr>
        <w:t>；</w:t>
      </w:r>
    </w:p>
    <w:p w14:paraId="60B79DAC">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甲方应保证向乙方所提供的信息均为真实、准确、完整的信息，所提供的资料、文件、证据均真实可靠，复印件及复制品与其原件完全一致</w:t>
      </w:r>
      <w:r>
        <w:rPr>
          <w:rFonts w:hint="eastAsia" w:ascii="仿宋" w:hAnsi="仿宋" w:eastAsia="仿宋" w:cs="仿宋"/>
          <w:sz w:val="24"/>
          <w:szCs w:val="24"/>
          <w:lang w:eastAsia="zh-CN"/>
        </w:rPr>
        <w:t>；</w:t>
      </w:r>
    </w:p>
    <w:p w14:paraId="003B4FA0">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甲方应为乙方提供法律服务提供一切必要的配合和条件</w:t>
      </w:r>
      <w:r>
        <w:rPr>
          <w:rFonts w:hint="eastAsia" w:ascii="仿宋" w:hAnsi="仿宋" w:eastAsia="仿宋" w:cs="仿宋"/>
          <w:sz w:val="24"/>
          <w:szCs w:val="24"/>
          <w:lang w:eastAsia="zh-CN"/>
        </w:rPr>
        <w:t>；</w:t>
      </w:r>
    </w:p>
    <w:p w14:paraId="720A597C">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积极、主动地配合乙方律师为甲方的利益所从事的各项工作，并根据实际需要为乙方提供办公条件</w:t>
      </w:r>
      <w:r>
        <w:rPr>
          <w:rFonts w:hint="eastAsia" w:ascii="仿宋" w:hAnsi="仿宋" w:eastAsia="仿宋" w:cs="仿宋"/>
          <w:sz w:val="24"/>
          <w:szCs w:val="24"/>
          <w:lang w:eastAsia="zh-CN"/>
        </w:rPr>
        <w:t>和其他</w:t>
      </w:r>
      <w:r>
        <w:rPr>
          <w:rFonts w:hint="eastAsia" w:ascii="仿宋" w:hAnsi="仿宋" w:eastAsia="仿宋" w:cs="仿宋"/>
          <w:sz w:val="24"/>
          <w:szCs w:val="24"/>
        </w:rPr>
        <w:t>便利</w:t>
      </w:r>
      <w:r>
        <w:rPr>
          <w:rFonts w:hint="eastAsia" w:ascii="仿宋" w:hAnsi="仿宋" w:eastAsia="仿宋" w:cs="仿宋"/>
          <w:sz w:val="24"/>
          <w:szCs w:val="24"/>
          <w:lang w:eastAsia="zh-CN"/>
        </w:rPr>
        <w:t>；</w:t>
      </w:r>
    </w:p>
    <w:p w14:paraId="7B676D6F">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5、甲方应根据本合同及时支付法律服务费用</w:t>
      </w:r>
      <w:r>
        <w:rPr>
          <w:rFonts w:hint="eastAsia" w:ascii="仿宋" w:hAnsi="仿宋" w:eastAsia="仿宋" w:cs="仿宋"/>
          <w:sz w:val="24"/>
          <w:szCs w:val="24"/>
        </w:rPr>
        <w:t>。</w:t>
      </w:r>
    </w:p>
    <w:p w14:paraId="112CAB3B">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outlineLvl w:val="0"/>
        <w:rPr>
          <w:rFonts w:hint="eastAsia" w:ascii="仿宋" w:hAnsi="仿宋" w:eastAsia="仿宋" w:cs="仿宋"/>
          <w:sz w:val="24"/>
          <w:szCs w:val="24"/>
        </w:rPr>
      </w:pPr>
      <w:r>
        <w:rPr>
          <w:rFonts w:hint="eastAsia" w:ascii="仿宋" w:hAnsi="仿宋" w:eastAsia="仿宋" w:cs="仿宋"/>
          <w:b/>
          <w:sz w:val="24"/>
          <w:szCs w:val="24"/>
        </w:rPr>
        <w:t>第四条</w:t>
      </w:r>
      <w:r>
        <w:rPr>
          <w:rFonts w:hint="eastAsia" w:ascii="仿宋" w:hAnsi="仿宋" w:eastAsia="仿宋" w:cs="仿宋"/>
          <w:sz w:val="24"/>
          <w:szCs w:val="24"/>
        </w:rPr>
        <w:t xml:space="preserve">  </w:t>
      </w:r>
      <w:r>
        <w:rPr>
          <w:rFonts w:hint="eastAsia" w:ascii="仿宋" w:hAnsi="仿宋" w:eastAsia="仿宋" w:cs="仿宋"/>
          <w:b/>
          <w:bCs/>
          <w:sz w:val="24"/>
          <w:szCs w:val="24"/>
        </w:rPr>
        <w:t>乙方应履行以下义务：</w:t>
      </w:r>
    </w:p>
    <w:p w14:paraId="74E1912D">
      <w:pPr>
        <w:keepNext w:val="0"/>
        <w:keepLines w:val="0"/>
        <w:pageBreakBefore w:val="0"/>
        <w:widowControl w:val="0"/>
        <w:kinsoku/>
        <w:wordWrap/>
        <w:overflowPunct/>
        <w:topLinePunct w:val="0"/>
        <w:autoSpaceDE/>
        <w:autoSpaceDN/>
        <w:bidi w:val="0"/>
        <w:adjustRightInd w:val="0"/>
        <w:snapToGrid w:val="0"/>
        <w:spacing w:line="420" w:lineRule="exact"/>
        <w:ind w:firstLine="615"/>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、律师的工作时间、地点应根据甲方的提议，随时联系</w:t>
      </w:r>
      <w:r>
        <w:rPr>
          <w:rFonts w:hint="eastAsia" w:ascii="仿宋" w:hAnsi="仿宋" w:eastAsia="仿宋" w:cs="仿宋"/>
          <w:sz w:val="24"/>
          <w:szCs w:val="24"/>
          <w:lang w:eastAsia="zh-CN"/>
        </w:rPr>
        <w:t>、</w:t>
      </w:r>
      <w:r>
        <w:rPr>
          <w:rFonts w:hint="eastAsia" w:ascii="仿宋" w:hAnsi="仿宋" w:eastAsia="仿宋" w:cs="仿宋"/>
          <w:sz w:val="24"/>
          <w:szCs w:val="24"/>
        </w:rPr>
        <w:t>约定；</w:t>
      </w:r>
    </w:p>
    <w:p w14:paraId="5DB90DD6">
      <w:pPr>
        <w:keepNext w:val="0"/>
        <w:keepLines w:val="0"/>
        <w:pageBreakBefore w:val="0"/>
        <w:widowControl w:val="0"/>
        <w:kinsoku/>
        <w:wordWrap/>
        <w:overflowPunct/>
        <w:topLinePunct w:val="0"/>
        <w:autoSpaceDE/>
        <w:autoSpaceDN/>
        <w:bidi w:val="0"/>
        <w:adjustRightInd w:val="0"/>
        <w:snapToGrid w:val="0"/>
        <w:spacing w:line="420" w:lineRule="exact"/>
        <w:ind w:firstLine="615"/>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乙方律师按照律师行业公认的业务标准和道德规范，勤勉尽责地为甲方提供高效、优质的法律服务</w:t>
      </w:r>
      <w:r>
        <w:rPr>
          <w:rFonts w:hint="eastAsia" w:ascii="仿宋" w:hAnsi="仿宋" w:eastAsia="仿宋" w:cs="仿宋"/>
          <w:sz w:val="24"/>
          <w:szCs w:val="24"/>
          <w:lang w:eastAsia="zh-CN"/>
        </w:rPr>
        <w:t>；</w:t>
      </w:r>
    </w:p>
    <w:p w14:paraId="31FCC901">
      <w:pPr>
        <w:keepNext w:val="0"/>
        <w:keepLines w:val="0"/>
        <w:pageBreakBefore w:val="0"/>
        <w:widowControl w:val="0"/>
        <w:kinsoku/>
        <w:wordWrap/>
        <w:overflowPunct/>
        <w:topLinePunct w:val="0"/>
        <w:autoSpaceDE/>
        <w:autoSpaceDN/>
        <w:bidi w:val="0"/>
        <w:adjustRightInd w:val="0"/>
        <w:snapToGrid w:val="0"/>
        <w:spacing w:line="420" w:lineRule="exact"/>
        <w:ind w:firstLine="615"/>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乙方应设置应急电话，保证在24小时内及时高效地提供法律顾问服务。如遇紧急事件，乙方应尽快处理甲方委托之事项</w:t>
      </w:r>
      <w:r>
        <w:rPr>
          <w:rFonts w:hint="eastAsia" w:ascii="仿宋" w:hAnsi="仿宋" w:eastAsia="仿宋" w:cs="仿宋"/>
          <w:sz w:val="24"/>
          <w:szCs w:val="24"/>
          <w:lang w:eastAsia="zh-CN"/>
        </w:rPr>
        <w:t>；</w:t>
      </w:r>
    </w:p>
    <w:p w14:paraId="6A371B54">
      <w:pPr>
        <w:keepNext w:val="0"/>
        <w:keepLines w:val="0"/>
        <w:pageBreakBefore w:val="0"/>
        <w:widowControl w:val="0"/>
        <w:kinsoku/>
        <w:wordWrap/>
        <w:overflowPunct/>
        <w:topLinePunct w:val="0"/>
        <w:autoSpaceDE/>
        <w:autoSpaceDN/>
        <w:bidi w:val="0"/>
        <w:adjustRightInd w:val="0"/>
        <w:snapToGrid w:val="0"/>
        <w:spacing w:line="420" w:lineRule="exact"/>
        <w:ind w:firstLine="615"/>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本着互相支持、共同发展的精神，与甲方保持经常性的业务接触；在接到甲方要求提供法律服务的通知后，如有必要，乙方应到现场提供服务</w:t>
      </w:r>
      <w:r>
        <w:rPr>
          <w:rFonts w:hint="eastAsia" w:ascii="仿宋" w:hAnsi="仿宋" w:eastAsia="仿宋" w:cs="仿宋"/>
          <w:sz w:val="24"/>
          <w:szCs w:val="24"/>
          <w:lang w:eastAsia="zh-CN"/>
        </w:rPr>
        <w:t>；</w:t>
      </w:r>
    </w:p>
    <w:p w14:paraId="5B74EE17">
      <w:pPr>
        <w:keepNext w:val="0"/>
        <w:keepLines w:val="0"/>
        <w:pageBreakBefore w:val="0"/>
        <w:widowControl w:val="0"/>
        <w:kinsoku/>
        <w:wordWrap/>
        <w:overflowPunct/>
        <w:topLinePunct w:val="0"/>
        <w:autoSpaceDE/>
        <w:autoSpaceDN/>
        <w:bidi w:val="0"/>
        <w:adjustRightInd w:val="0"/>
        <w:snapToGrid w:val="0"/>
        <w:spacing w:line="420" w:lineRule="exact"/>
        <w:ind w:firstLine="615"/>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r>
        <w:rPr>
          <w:rFonts w:hint="eastAsia" w:ascii="仿宋" w:hAnsi="仿宋" w:eastAsia="仿宋" w:cs="仿宋"/>
          <w:sz w:val="24"/>
          <w:szCs w:val="24"/>
        </w:rPr>
        <w:t>乙方应根据具体项目情况与甲方进行联系，需要审查的合同或者咨询的问题及发生的具体问题或者纠纷，由</w:t>
      </w:r>
      <w:r>
        <w:rPr>
          <w:rFonts w:hint="eastAsia" w:ascii="仿宋" w:hAnsi="仿宋" w:eastAsia="仿宋" w:cs="仿宋"/>
          <w:sz w:val="24"/>
          <w:szCs w:val="24"/>
          <w:lang w:val="en-US" w:eastAsia="zh-CN"/>
        </w:rPr>
        <w:t>乙方</w:t>
      </w:r>
      <w:r>
        <w:rPr>
          <w:rFonts w:hint="eastAsia" w:ascii="仿宋" w:hAnsi="仿宋" w:eastAsia="仿宋" w:cs="仿宋"/>
          <w:sz w:val="24"/>
          <w:szCs w:val="24"/>
        </w:rPr>
        <w:t>会同甲方专门人员进行详细调查了解后作出法律建议或者出具法律意见书；涉及较为重大的事项，由</w:t>
      </w:r>
      <w:r>
        <w:rPr>
          <w:rFonts w:hint="eastAsia" w:ascii="仿宋" w:hAnsi="仿宋" w:eastAsia="仿宋" w:cs="仿宋"/>
          <w:sz w:val="24"/>
          <w:szCs w:val="24"/>
          <w:lang w:val="en-US" w:eastAsia="zh-CN"/>
        </w:rPr>
        <w:t>乙方</w:t>
      </w:r>
      <w:r>
        <w:rPr>
          <w:rFonts w:hint="eastAsia" w:ascii="仿宋" w:hAnsi="仿宋" w:eastAsia="仿宋" w:cs="仿宋"/>
          <w:sz w:val="24"/>
          <w:szCs w:val="24"/>
        </w:rPr>
        <w:t>会同项目工程的高级管理人员、相关部门、具体经办人员及有关方面共同召开会议，进行研究分析</w:t>
      </w:r>
      <w:r>
        <w:rPr>
          <w:rFonts w:hint="eastAsia" w:ascii="仿宋" w:hAnsi="仿宋" w:eastAsia="仿宋" w:cs="仿宋"/>
          <w:sz w:val="24"/>
          <w:szCs w:val="24"/>
          <w:lang w:eastAsia="zh-CN"/>
        </w:rPr>
        <w:t>；</w:t>
      </w:r>
    </w:p>
    <w:p w14:paraId="45CA73F1">
      <w:pPr>
        <w:keepNext w:val="0"/>
        <w:keepLines w:val="0"/>
        <w:pageBreakBefore w:val="0"/>
        <w:widowControl w:val="0"/>
        <w:kinsoku/>
        <w:wordWrap/>
        <w:overflowPunct/>
        <w:topLinePunct w:val="0"/>
        <w:autoSpaceDE/>
        <w:autoSpaceDN/>
        <w:bidi w:val="0"/>
        <w:adjustRightInd w:val="0"/>
        <w:snapToGrid w:val="0"/>
        <w:spacing w:line="420" w:lineRule="exact"/>
        <w:ind w:firstLine="615"/>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法律工作经验不少于</w:t>
      </w:r>
      <w:r>
        <w:rPr>
          <w:rFonts w:hint="eastAsia" w:ascii="仿宋" w:hAnsi="仿宋" w:eastAsia="仿宋" w:cs="仿宋"/>
          <w:sz w:val="24"/>
          <w:szCs w:val="24"/>
          <w:lang w:val="en-US" w:eastAsia="zh-CN"/>
        </w:rPr>
        <w:t>3</w:t>
      </w:r>
      <w:r>
        <w:rPr>
          <w:rFonts w:hint="eastAsia" w:ascii="仿宋" w:hAnsi="仿宋" w:eastAsia="仿宋" w:cs="仿宋"/>
          <w:sz w:val="24"/>
          <w:szCs w:val="24"/>
        </w:rPr>
        <w:t>年；</w:t>
      </w:r>
    </w:p>
    <w:p w14:paraId="14BEFE97">
      <w:pPr>
        <w:keepNext w:val="0"/>
        <w:keepLines w:val="0"/>
        <w:pageBreakBefore w:val="0"/>
        <w:widowControl w:val="0"/>
        <w:kinsoku/>
        <w:wordWrap/>
        <w:overflowPunct/>
        <w:topLinePunct w:val="0"/>
        <w:autoSpaceDE/>
        <w:autoSpaceDN/>
        <w:bidi w:val="0"/>
        <w:adjustRightInd w:val="0"/>
        <w:snapToGrid w:val="0"/>
        <w:spacing w:line="420" w:lineRule="exact"/>
        <w:ind w:firstLine="615"/>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现场接受甲方相关部门人员的法律咨询并现场解答，如不能现场解答的，应做好相关记录，在2个日历天内答复；</w:t>
      </w:r>
    </w:p>
    <w:p w14:paraId="55AF82F6">
      <w:pPr>
        <w:keepNext w:val="0"/>
        <w:keepLines w:val="0"/>
        <w:pageBreakBefore w:val="0"/>
        <w:widowControl w:val="0"/>
        <w:kinsoku/>
        <w:wordWrap/>
        <w:overflowPunct/>
        <w:topLinePunct w:val="0"/>
        <w:autoSpaceDE/>
        <w:autoSpaceDN/>
        <w:bidi w:val="0"/>
        <w:adjustRightInd w:val="0"/>
        <w:snapToGrid w:val="0"/>
        <w:spacing w:line="420" w:lineRule="exact"/>
        <w:ind w:firstLine="615"/>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r>
        <w:rPr>
          <w:rFonts w:hint="eastAsia" w:ascii="仿宋" w:hAnsi="仿宋" w:eastAsia="仿宋" w:cs="仿宋"/>
          <w:sz w:val="24"/>
          <w:szCs w:val="24"/>
        </w:rPr>
        <w:t>如有需要，到甲方相关部门走访，收集相关部门的法律服务需求，并现场接受咨询和解答</w:t>
      </w:r>
      <w:r>
        <w:rPr>
          <w:rFonts w:hint="eastAsia" w:ascii="仿宋" w:hAnsi="仿宋" w:eastAsia="仿宋" w:cs="仿宋"/>
          <w:sz w:val="24"/>
          <w:szCs w:val="24"/>
          <w:lang w:eastAsia="zh-CN"/>
        </w:rPr>
        <w:t>；</w:t>
      </w:r>
    </w:p>
    <w:p w14:paraId="1D389271">
      <w:pPr>
        <w:keepNext w:val="0"/>
        <w:keepLines w:val="0"/>
        <w:pageBreakBefore w:val="0"/>
        <w:widowControl w:val="0"/>
        <w:kinsoku/>
        <w:wordWrap/>
        <w:overflowPunct/>
        <w:topLinePunct w:val="0"/>
        <w:autoSpaceDE/>
        <w:autoSpaceDN/>
        <w:bidi w:val="0"/>
        <w:adjustRightInd w:val="0"/>
        <w:snapToGrid w:val="0"/>
        <w:spacing w:line="420" w:lineRule="exact"/>
        <w:ind w:firstLine="615"/>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9、</w:t>
      </w:r>
      <w:r>
        <w:rPr>
          <w:rFonts w:hint="eastAsia" w:ascii="仿宋" w:hAnsi="仿宋" w:eastAsia="仿宋" w:cs="仿宋"/>
          <w:sz w:val="24"/>
          <w:szCs w:val="24"/>
        </w:rPr>
        <w:t>需要派出律师到外地协助甲方处理法律事务的，乙方可利用自身拥有的便利交通条件，在最短的时间内到达目的地</w:t>
      </w:r>
      <w:r>
        <w:rPr>
          <w:rFonts w:hint="eastAsia" w:ascii="仿宋" w:hAnsi="仿宋" w:eastAsia="仿宋" w:cs="仿宋"/>
          <w:sz w:val="24"/>
          <w:szCs w:val="24"/>
          <w:lang w:eastAsia="zh-CN"/>
        </w:rPr>
        <w:t>；</w:t>
      </w:r>
    </w:p>
    <w:p w14:paraId="72B805C1">
      <w:pPr>
        <w:keepNext w:val="0"/>
        <w:keepLines w:val="0"/>
        <w:pageBreakBefore w:val="0"/>
        <w:widowControl w:val="0"/>
        <w:kinsoku/>
        <w:wordWrap/>
        <w:overflowPunct/>
        <w:topLinePunct w:val="0"/>
        <w:autoSpaceDE/>
        <w:autoSpaceDN/>
        <w:bidi w:val="0"/>
        <w:adjustRightInd w:val="0"/>
        <w:snapToGrid w:val="0"/>
        <w:spacing w:line="420" w:lineRule="exact"/>
        <w:ind w:firstLine="615"/>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10、</w:t>
      </w:r>
      <w:r>
        <w:rPr>
          <w:rFonts w:hint="eastAsia" w:ascii="仿宋" w:hAnsi="仿宋" w:eastAsia="仿宋" w:cs="仿宋"/>
          <w:sz w:val="24"/>
          <w:szCs w:val="24"/>
        </w:rPr>
        <w:t>乙方律师不得超越代理权限，如违反而给甲方造成损失应承担相应的赔偿责任</w:t>
      </w:r>
      <w:r>
        <w:rPr>
          <w:rFonts w:hint="eastAsia" w:ascii="仿宋" w:hAnsi="仿宋" w:eastAsia="仿宋" w:cs="仿宋"/>
          <w:sz w:val="24"/>
          <w:szCs w:val="24"/>
          <w:lang w:eastAsia="zh-CN"/>
        </w:rPr>
        <w:t>；</w:t>
      </w:r>
    </w:p>
    <w:p w14:paraId="10DEDE62">
      <w:pPr>
        <w:keepNext w:val="0"/>
        <w:keepLines w:val="0"/>
        <w:pageBreakBefore w:val="0"/>
        <w:widowControl w:val="0"/>
        <w:kinsoku/>
        <w:wordWrap/>
        <w:overflowPunct/>
        <w:topLinePunct w:val="0"/>
        <w:autoSpaceDE/>
        <w:autoSpaceDN/>
        <w:bidi w:val="0"/>
        <w:adjustRightInd w:val="0"/>
        <w:snapToGrid w:val="0"/>
        <w:spacing w:line="420" w:lineRule="exact"/>
        <w:ind w:firstLine="615"/>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11、</w:t>
      </w:r>
      <w:r>
        <w:rPr>
          <w:rFonts w:hint="eastAsia" w:ascii="仿宋" w:hAnsi="仿宋" w:eastAsia="仿宋" w:cs="仿宋"/>
          <w:sz w:val="24"/>
          <w:szCs w:val="24"/>
        </w:rPr>
        <w:t>乙方应严格遵守律师职业道德及执业规范，保守对在承办委托事务过程中所接触或掌握的一切信息予以保密</w:t>
      </w:r>
      <w:r>
        <w:rPr>
          <w:rFonts w:hint="eastAsia" w:ascii="仿宋" w:hAnsi="仿宋" w:eastAsia="仿宋" w:cs="仿宋"/>
          <w:sz w:val="24"/>
          <w:szCs w:val="24"/>
          <w:lang w:eastAsia="zh-CN"/>
        </w:rPr>
        <w:t>；</w:t>
      </w:r>
    </w:p>
    <w:p w14:paraId="1C39C70A">
      <w:pPr>
        <w:keepNext w:val="0"/>
        <w:keepLines w:val="0"/>
        <w:pageBreakBefore w:val="0"/>
        <w:widowControl w:val="0"/>
        <w:kinsoku/>
        <w:wordWrap/>
        <w:overflowPunct/>
        <w:topLinePunct w:val="0"/>
        <w:autoSpaceDE/>
        <w:autoSpaceDN/>
        <w:bidi w:val="0"/>
        <w:adjustRightInd w:val="0"/>
        <w:snapToGrid w:val="0"/>
        <w:spacing w:line="420" w:lineRule="exact"/>
        <w:ind w:firstLine="615"/>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12、</w:t>
      </w:r>
      <w:r>
        <w:rPr>
          <w:rFonts w:hint="eastAsia" w:ascii="仿宋" w:hAnsi="仿宋" w:eastAsia="仿宋" w:cs="仿宋"/>
          <w:sz w:val="24"/>
          <w:szCs w:val="24"/>
        </w:rPr>
        <w:t>乙方在工作过程中发现的重大法律问题，应主动向甲方发出书面法律意见，提出意见和建议，并及时通报有关的法律、政策动态及信息。</w:t>
      </w:r>
    </w:p>
    <w:p w14:paraId="4C7A9E13">
      <w:pPr>
        <w:keepNext w:val="0"/>
        <w:keepLines w:val="0"/>
        <w:pageBreakBefore w:val="0"/>
        <w:widowControl w:val="0"/>
        <w:kinsoku/>
        <w:wordWrap/>
        <w:overflowPunct/>
        <w:topLinePunct w:val="0"/>
        <w:autoSpaceDE/>
        <w:autoSpaceDN/>
        <w:bidi w:val="0"/>
        <w:adjustRightInd w:val="0"/>
        <w:snapToGrid w:val="0"/>
        <w:spacing w:line="420" w:lineRule="exact"/>
        <w:ind w:firstLine="615"/>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13、</w:t>
      </w:r>
      <w:r>
        <w:rPr>
          <w:rFonts w:hint="eastAsia" w:ascii="仿宋" w:hAnsi="仿宋" w:eastAsia="仿宋" w:cs="仿宋"/>
          <w:sz w:val="24"/>
          <w:szCs w:val="24"/>
        </w:rPr>
        <w:t>对于乙方接受的法律咨询的时限控制及要求为：</w:t>
      </w:r>
    </w:p>
    <w:p w14:paraId="51D99789">
      <w:pPr>
        <w:pStyle w:val="6"/>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 w:hAnsi="仿宋" w:eastAsia="仿宋" w:cs="仿宋"/>
          <w:sz w:val="24"/>
          <w:szCs w:val="16"/>
        </w:rPr>
      </w:pPr>
      <w:r>
        <w:rPr>
          <w:rFonts w:hint="eastAsia" w:ascii="仿宋" w:hAnsi="仿宋" w:eastAsia="仿宋" w:cs="仿宋"/>
          <w:sz w:val="24"/>
          <w:szCs w:val="16"/>
        </w:rPr>
        <w:t>①法律咨询要及时、准确，一般问题顾问律师应即时解答；较为疑难、复杂的问题半日内予以解答，最长不超过24小时；重大疑难问题在两日内作出解答，最长不得超过48小时。</w:t>
      </w:r>
    </w:p>
    <w:p w14:paraId="4A788997">
      <w:pPr>
        <w:pStyle w:val="6"/>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 w:hAnsi="仿宋" w:eastAsia="仿宋" w:cs="仿宋"/>
          <w:sz w:val="24"/>
          <w:szCs w:val="16"/>
        </w:rPr>
      </w:pPr>
      <w:r>
        <w:rPr>
          <w:rFonts w:hint="eastAsia" w:ascii="仿宋" w:hAnsi="仿宋" w:eastAsia="仿宋" w:cs="仿宋"/>
          <w:sz w:val="24"/>
          <w:szCs w:val="16"/>
        </w:rPr>
        <w:t>②根据甲方的要求，线上或线下草拟、审查或修改合同文本、</w:t>
      </w:r>
      <w:r>
        <w:rPr>
          <w:rFonts w:hint="eastAsia" w:ascii="仿宋" w:hAnsi="仿宋" w:eastAsia="仿宋" w:cs="仿宋"/>
          <w:sz w:val="24"/>
          <w:szCs w:val="16"/>
          <w:lang w:val="en-US" w:eastAsia="zh-CN"/>
        </w:rPr>
        <w:t>招采文件及</w:t>
      </w:r>
      <w:r>
        <w:rPr>
          <w:rFonts w:hint="eastAsia" w:ascii="仿宋" w:hAnsi="仿宋" w:eastAsia="仿宋" w:cs="仿宋"/>
          <w:sz w:val="24"/>
          <w:szCs w:val="16"/>
        </w:rPr>
        <w:t>其他法律文书，涉及一般法律问题的合同在半日内起草或审查完毕，最长不超过24小时；涉及法律问题较为复杂的合同，在24小时内完成起草和审查；涉及重大疑难法律问题的合同，两日内需完成起草和审查；涉及紧急业务的合同及文书，在接到甲方通知起半日内完成审查。</w:t>
      </w:r>
    </w:p>
    <w:p w14:paraId="23C9DB06">
      <w:pPr>
        <w:pStyle w:val="6"/>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 w:hAnsi="仿宋" w:eastAsia="仿宋" w:cs="仿宋"/>
          <w:sz w:val="24"/>
          <w:szCs w:val="16"/>
        </w:rPr>
      </w:pPr>
      <w:r>
        <w:rPr>
          <w:rFonts w:hint="eastAsia" w:ascii="仿宋" w:hAnsi="仿宋" w:eastAsia="仿宋" w:cs="仿宋"/>
          <w:sz w:val="24"/>
          <w:szCs w:val="16"/>
        </w:rPr>
        <w:t>③应邀参与甲方与第三方的业务谈判时，顾问律师应确保在谈判前或谈判过程中能及时了解谈判业务所涉及到的有关法律问题和法律风险，并针对可能存在的法律风险点拟出相关意见和建议，出具法律意见书/法律顾问咨询表的时间不超过24小时。</w:t>
      </w:r>
    </w:p>
    <w:p w14:paraId="61131F1A">
      <w:pPr>
        <w:pStyle w:val="6"/>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 w:hAnsi="仿宋" w:eastAsia="仿宋" w:cs="仿宋"/>
          <w:sz w:val="24"/>
          <w:szCs w:val="16"/>
        </w:rPr>
      </w:pPr>
      <w:r>
        <w:rPr>
          <w:rFonts w:hint="eastAsia" w:ascii="仿宋" w:hAnsi="仿宋" w:eastAsia="仿宋" w:cs="仿宋"/>
          <w:sz w:val="24"/>
          <w:szCs w:val="16"/>
        </w:rPr>
        <w:t>④应甲方的要求，就专门法律问题或应经营活动的需要出具法律意见书/法律顾问咨询表的，一般问题的法律意见书/法律顾问咨询表应在24小时内出具，疑难复杂性问题的法律意见书/法律顾问咨询表应在48小时内出具，最长不超过72小时。</w:t>
      </w:r>
    </w:p>
    <w:p w14:paraId="2E3745DB">
      <w:pPr>
        <w:pStyle w:val="6"/>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 w:hAnsi="仿宋" w:eastAsia="仿宋" w:cs="仿宋"/>
          <w:sz w:val="24"/>
          <w:szCs w:val="16"/>
        </w:rPr>
      </w:pPr>
      <w:r>
        <w:rPr>
          <w:rFonts w:hint="eastAsia" w:ascii="仿宋" w:hAnsi="仿宋" w:eastAsia="仿宋" w:cs="仿宋"/>
          <w:sz w:val="24"/>
          <w:szCs w:val="16"/>
        </w:rPr>
        <w:t>⑤协助甲方抓好普法教育工作，结合甲方业务的实际情况，开展各种形式的法律专业知识教育，每年应不少于两次培训。</w:t>
      </w:r>
    </w:p>
    <w:p w14:paraId="036DA42D">
      <w:pPr>
        <w:pStyle w:val="6"/>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 w:hAnsi="仿宋" w:eastAsia="仿宋" w:cs="仿宋"/>
          <w:sz w:val="24"/>
          <w:szCs w:val="16"/>
        </w:rPr>
      </w:pPr>
      <w:r>
        <w:rPr>
          <w:rFonts w:hint="eastAsia" w:ascii="仿宋" w:hAnsi="仿宋" w:eastAsia="仿宋" w:cs="仿宋"/>
          <w:sz w:val="24"/>
          <w:szCs w:val="16"/>
        </w:rPr>
        <w:t>⑥顾问律师要全方位地掌握甲方的法律需求，服务态度需做到有问必答、要事必办、有疑必释、有难必帮，若因顾问律师的服务态度问题遭到甲方的投诉，甲方采购负责人需立即出面调解，若调节未果甲方有权终止合作。</w:t>
      </w:r>
    </w:p>
    <w:p w14:paraId="0D9A80C8">
      <w:pPr>
        <w:keepNext w:val="0"/>
        <w:keepLines w:val="0"/>
        <w:pageBreakBefore w:val="0"/>
        <w:widowControl w:val="0"/>
        <w:kinsoku/>
        <w:wordWrap/>
        <w:overflowPunct/>
        <w:topLinePunct w:val="0"/>
        <w:autoSpaceDE/>
        <w:autoSpaceDN/>
        <w:bidi w:val="0"/>
        <w:adjustRightInd w:val="0"/>
        <w:snapToGrid w:val="0"/>
        <w:spacing w:line="420" w:lineRule="exact"/>
        <w:ind w:firstLine="615"/>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14、</w:t>
      </w:r>
      <w:r>
        <w:rPr>
          <w:rFonts w:hint="eastAsia" w:ascii="仿宋" w:hAnsi="仿宋" w:eastAsia="仿宋" w:cs="仿宋"/>
          <w:sz w:val="24"/>
          <w:szCs w:val="24"/>
        </w:rPr>
        <w:t>乙方所作出的分析及意见应提前预见其所涉及的法律问题及法律风险，同时应充分考虑</w:t>
      </w:r>
      <w:r>
        <w:rPr>
          <w:rFonts w:hint="eastAsia" w:ascii="仿宋" w:hAnsi="仿宋" w:eastAsia="仿宋" w:cs="仿宋"/>
          <w:sz w:val="24"/>
          <w:szCs w:val="24"/>
          <w:lang w:eastAsia="zh-CN"/>
        </w:rPr>
        <w:t>法律法规</w:t>
      </w:r>
      <w:r>
        <w:rPr>
          <w:rFonts w:hint="eastAsia" w:ascii="仿宋" w:hAnsi="仿宋" w:eastAsia="仿宋" w:cs="仿宋"/>
          <w:sz w:val="24"/>
          <w:szCs w:val="24"/>
        </w:rPr>
        <w:t>的规定和司法实践的情况，提出符合甲方最大利益的方案</w:t>
      </w:r>
      <w:r>
        <w:rPr>
          <w:rFonts w:hint="eastAsia" w:ascii="仿宋" w:hAnsi="仿宋" w:eastAsia="仿宋" w:cs="仿宋"/>
          <w:sz w:val="24"/>
          <w:szCs w:val="24"/>
          <w:lang w:eastAsia="zh-CN"/>
        </w:rPr>
        <w:t>；</w:t>
      </w:r>
    </w:p>
    <w:p w14:paraId="4D0201E4">
      <w:pPr>
        <w:keepNext w:val="0"/>
        <w:keepLines w:val="0"/>
        <w:pageBreakBefore w:val="0"/>
        <w:widowControl w:val="0"/>
        <w:kinsoku/>
        <w:wordWrap/>
        <w:overflowPunct/>
        <w:topLinePunct w:val="0"/>
        <w:autoSpaceDE/>
        <w:autoSpaceDN/>
        <w:bidi w:val="0"/>
        <w:adjustRightInd w:val="0"/>
        <w:snapToGrid w:val="0"/>
        <w:spacing w:line="420" w:lineRule="exact"/>
        <w:ind w:firstLine="615"/>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15、</w:t>
      </w:r>
      <w:r>
        <w:rPr>
          <w:rFonts w:hint="eastAsia" w:ascii="仿宋" w:hAnsi="仿宋" w:eastAsia="仿宋" w:cs="仿宋"/>
          <w:sz w:val="24"/>
          <w:szCs w:val="24"/>
        </w:rPr>
        <w:t>接受甲方委托后，乙方不得为与甲方有利益冲突的利害关系人提供法律服务，如乙方发现已承揽业务中有与甲方有利益冲突的利害关系人，应主动向甲方提出，非经双方同意，乙方不得代理任何冲突一方与对方诉讼或仲裁</w:t>
      </w:r>
      <w:r>
        <w:rPr>
          <w:rFonts w:hint="eastAsia" w:ascii="仿宋" w:hAnsi="仿宋" w:eastAsia="仿宋" w:cs="仿宋"/>
          <w:sz w:val="24"/>
          <w:szCs w:val="24"/>
          <w:lang w:eastAsia="zh-CN"/>
        </w:rPr>
        <w:t>；</w:t>
      </w:r>
    </w:p>
    <w:p w14:paraId="781D20B5">
      <w:pPr>
        <w:keepNext w:val="0"/>
        <w:keepLines w:val="0"/>
        <w:pageBreakBefore w:val="0"/>
        <w:widowControl w:val="0"/>
        <w:kinsoku/>
        <w:wordWrap/>
        <w:overflowPunct/>
        <w:topLinePunct w:val="0"/>
        <w:autoSpaceDE/>
        <w:autoSpaceDN/>
        <w:bidi w:val="0"/>
        <w:adjustRightInd w:val="0"/>
        <w:snapToGrid w:val="0"/>
        <w:spacing w:line="420" w:lineRule="exact"/>
        <w:ind w:firstLine="615"/>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16、</w:t>
      </w:r>
      <w:r>
        <w:rPr>
          <w:rFonts w:hint="eastAsia" w:ascii="仿宋" w:hAnsi="仿宋" w:eastAsia="仿宋" w:cs="仿宋"/>
          <w:sz w:val="24"/>
          <w:szCs w:val="24"/>
        </w:rPr>
        <w:t>如因乙方律师工作上的故意或过错造成甲方经济损失的，乙方应当向甲方承担全部赔偿责任。</w:t>
      </w:r>
    </w:p>
    <w:p w14:paraId="5E341791">
      <w:pPr>
        <w:keepNext w:val="0"/>
        <w:keepLines w:val="0"/>
        <w:pageBreakBefore w:val="0"/>
        <w:widowControl w:val="0"/>
        <w:kinsoku/>
        <w:wordWrap/>
        <w:overflowPunct/>
        <w:topLinePunct w:val="0"/>
        <w:autoSpaceDE/>
        <w:autoSpaceDN/>
        <w:bidi w:val="0"/>
        <w:adjustRightInd w:val="0"/>
        <w:snapToGrid w:val="0"/>
        <w:spacing w:line="420" w:lineRule="exact"/>
        <w:ind w:firstLine="615"/>
        <w:textAlignment w:val="auto"/>
        <w:rPr>
          <w:rFonts w:hint="eastAsia" w:ascii="仿宋" w:hAnsi="仿宋" w:eastAsia="仿宋" w:cs="仿宋"/>
          <w:sz w:val="24"/>
          <w:szCs w:val="24"/>
        </w:rPr>
      </w:pPr>
      <w:r>
        <w:rPr>
          <w:rFonts w:hint="eastAsia" w:ascii="仿宋" w:hAnsi="仿宋" w:eastAsia="仿宋" w:cs="仿宋"/>
          <w:b/>
          <w:sz w:val="24"/>
          <w:szCs w:val="24"/>
        </w:rPr>
        <w:t>第五条</w:t>
      </w:r>
      <w:r>
        <w:rPr>
          <w:rFonts w:hint="eastAsia" w:ascii="仿宋" w:hAnsi="仿宋" w:eastAsia="仿宋" w:cs="仿宋"/>
          <w:sz w:val="24"/>
          <w:szCs w:val="24"/>
        </w:rPr>
        <w:t xml:space="preserve">  </w:t>
      </w:r>
      <w:r>
        <w:rPr>
          <w:rFonts w:hint="eastAsia" w:ascii="仿宋" w:hAnsi="仿宋" w:eastAsia="仿宋" w:cs="仿宋"/>
          <w:b/>
          <w:bCs/>
          <w:sz w:val="24"/>
          <w:szCs w:val="24"/>
        </w:rPr>
        <w:t>费用及支付方式：</w:t>
      </w:r>
    </w:p>
    <w:p w14:paraId="78002C01">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outlineLvl w:val="0"/>
        <w:rPr>
          <w:rFonts w:hint="eastAsia" w:ascii="仿宋" w:hAnsi="仿宋" w:eastAsia="仿宋" w:cs="仿宋"/>
          <w:sz w:val="24"/>
          <w:szCs w:val="24"/>
        </w:rPr>
      </w:pPr>
      <w:r>
        <w:rPr>
          <w:rFonts w:hint="eastAsia" w:ascii="仿宋" w:hAnsi="仿宋" w:eastAsia="仿宋" w:cs="仿宋"/>
          <w:sz w:val="24"/>
          <w:szCs w:val="24"/>
        </w:rPr>
        <w:t>1、甲乙双方约定按照下列收费方法收费：甲方于本合同签订之日起</w:t>
      </w:r>
      <w:r>
        <w:rPr>
          <w:rFonts w:hint="eastAsia" w:ascii="仿宋" w:hAnsi="仿宋" w:eastAsia="仿宋" w:cs="仿宋"/>
          <w:sz w:val="24"/>
          <w:szCs w:val="24"/>
          <w:lang w:val="en-US" w:eastAsia="zh-CN"/>
        </w:rPr>
        <w:t>十个工作</w:t>
      </w:r>
      <w:r>
        <w:rPr>
          <w:rFonts w:hint="eastAsia" w:ascii="仿宋" w:hAnsi="仿宋" w:eastAsia="仿宋" w:cs="仿宋"/>
          <w:sz w:val="24"/>
          <w:szCs w:val="24"/>
        </w:rPr>
        <w:t>日内向乙方支付常年法律顾问费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元（¥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rPr>
        <w:t>除税总价为：</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元</w:t>
      </w:r>
      <w:r>
        <w:rPr>
          <w:rFonts w:hint="eastAsia" w:ascii="仿宋" w:hAnsi="仿宋" w:eastAsia="仿宋" w:cs="仿宋"/>
          <w:sz w:val="24"/>
          <w:szCs w:val="24"/>
        </w:rPr>
        <w:t>，</w:t>
      </w:r>
      <w:r>
        <w:rPr>
          <w:rFonts w:hint="eastAsia" w:ascii="仿宋" w:hAnsi="仿宋" w:eastAsia="仿宋" w:cs="仿宋"/>
          <w:sz w:val="24"/>
          <w:szCs w:val="24"/>
          <w:u w:val="single"/>
        </w:rPr>
        <w:t>增值税为：￥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元）</w:t>
      </w:r>
      <w:r>
        <w:rPr>
          <w:rFonts w:hint="eastAsia" w:ascii="仿宋" w:hAnsi="仿宋" w:eastAsia="仿宋" w:cs="仿宋"/>
          <w:sz w:val="24"/>
          <w:szCs w:val="24"/>
        </w:rPr>
        <w:t>。</w:t>
      </w:r>
      <w:r>
        <w:rPr>
          <w:rFonts w:hint="eastAsia" w:ascii="仿宋" w:hAnsi="仿宋" w:eastAsia="仿宋" w:cs="仿宋"/>
          <w:sz w:val="24"/>
          <w:szCs w:val="24"/>
          <w:highlight w:val="none"/>
        </w:rPr>
        <w:t>合同总价为含税价，税率为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r>
        <w:rPr>
          <w:rFonts w:hint="eastAsia" w:ascii="仿宋" w:hAnsi="仿宋" w:eastAsia="仿宋" w:cs="仿宋"/>
          <w:sz w:val="24"/>
          <w:szCs w:val="24"/>
          <w:lang w:eastAsia="zh-CN"/>
        </w:rPr>
        <w:t>增值税</w:t>
      </w:r>
      <w:r>
        <w:rPr>
          <w:rFonts w:hint="eastAsia" w:ascii="仿宋" w:hAnsi="仿宋" w:eastAsia="仿宋" w:cs="仿宋"/>
          <w:sz w:val="24"/>
          <w:szCs w:val="24"/>
        </w:rPr>
        <w:t>税率随着国家或地区政策的调整而调整。乙方应于付款前向甲方提供本次法律服务等额、合法有效的增值税专用发票给甲方，甲方按照税务机关开票要求提供营业执照、法定地址、日常联系电话、开户银行全称及其账号。</w:t>
      </w:r>
    </w:p>
    <w:p w14:paraId="08617E2B">
      <w:pPr>
        <w:keepNext w:val="0"/>
        <w:keepLines w:val="0"/>
        <w:pageBreakBefore w:val="0"/>
        <w:widowControl w:val="0"/>
        <w:kinsoku/>
        <w:wordWrap/>
        <w:overflowPunct/>
        <w:topLinePunct w:val="0"/>
        <w:autoSpaceDE/>
        <w:autoSpaceDN/>
        <w:bidi w:val="0"/>
        <w:adjustRightInd w:val="0"/>
        <w:snapToGrid w:val="0"/>
        <w:spacing w:line="420" w:lineRule="exact"/>
        <w:ind w:firstLine="530" w:firstLineChars="221"/>
        <w:textAlignment w:val="auto"/>
        <w:outlineLvl w:val="0"/>
        <w:rPr>
          <w:rFonts w:hint="eastAsia" w:ascii="仿宋" w:hAnsi="仿宋" w:eastAsia="仿宋" w:cs="仿宋"/>
          <w:sz w:val="24"/>
          <w:szCs w:val="24"/>
        </w:rPr>
      </w:pPr>
      <w:r>
        <w:rPr>
          <w:rFonts w:hint="eastAsia" w:ascii="仿宋" w:hAnsi="仿宋" w:eastAsia="仿宋" w:cs="仿宋"/>
          <w:sz w:val="24"/>
          <w:szCs w:val="24"/>
        </w:rPr>
        <w:t>2、甲方应将法律顾问费转到乙方指定的以下账户：</w:t>
      </w:r>
    </w:p>
    <w:p w14:paraId="307DEADA">
      <w:pPr>
        <w:keepNext w:val="0"/>
        <w:keepLines w:val="0"/>
        <w:pageBreakBefore w:val="0"/>
        <w:widowControl w:val="0"/>
        <w:kinsoku/>
        <w:wordWrap/>
        <w:overflowPunct/>
        <w:topLinePunct w:val="0"/>
        <w:autoSpaceDE/>
        <w:autoSpaceDN/>
        <w:bidi w:val="0"/>
        <w:adjustRightInd w:val="0"/>
        <w:snapToGrid w:val="0"/>
        <w:spacing w:line="420" w:lineRule="exact"/>
        <w:ind w:firstLine="532" w:firstLineChars="221"/>
        <w:textAlignment w:val="auto"/>
        <w:outlineLvl w:val="0"/>
        <w:rPr>
          <w:rFonts w:hint="eastAsia" w:ascii="仿宋" w:hAnsi="仿宋" w:eastAsia="仿宋" w:cs="仿宋"/>
          <w:b/>
          <w:bCs/>
          <w:sz w:val="24"/>
          <w:szCs w:val="24"/>
        </w:rPr>
      </w:pPr>
      <w:r>
        <w:rPr>
          <w:rFonts w:hint="eastAsia" w:ascii="仿宋" w:hAnsi="仿宋" w:eastAsia="仿宋" w:cs="仿宋"/>
          <w:b/>
          <w:bCs/>
          <w:sz w:val="24"/>
          <w:szCs w:val="24"/>
        </w:rPr>
        <w:t>账户名称：</w:t>
      </w:r>
    </w:p>
    <w:p w14:paraId="12A67FB8">
      <w:pPr>
        <w:keepNext w:val="0"/>
        <w:keepLines w:val="0"/>
        <w:pageBreakBefore w:val="0"/>
        <w:widowControl w:val="0"/>
        <w:kinsoku/>
        <w:wordWrap/>
        <w:overflowPunct/>
        <w:topLinePunct w:val="0"/>
        <w:autoSpaceDE/>
        <w:autoSpaceDN/>
        <w:bidi w:val="0"/>
        <w:adjustRightInd w:val="0"/>
        <w:snapToGrid w:val="0"/>
        <w:spacing w:line="420" w:lineRule="exact"/>
        <w:ind w:firstLine="532" w:firstLineChars="221"/>
        <w:textAlignment w:val="auto"/>
        <w:outlineLvl w:val="0"/>
        <w:rPr>
          <w:rFonts w:hint="eastAsia" w:ascii="仿宋" w:hAnsi="仿宋" w:eastAsia="仿宋" w:cs="仿宋"/>
          <w:b/>
          <w:bCs/>
          <w:sz w:val="24"/>
          <w:szCs w:val="24"/>
        </w:rPr>
      </w:pPr>
      <w:r>
        <w:rPr>
          <w:rFonts w:hint="eastAsia" w:ascii="仿宋" w:hAnsi="仿宋" w:eastAsia="仿宋" w:cs="仿宋"/>
          <w:b/>
          <w:bCs/>
          <w:sz w:val="24"/>
          <w:szCs w:val="24"/>
        </w:rPr>
        <w:t>开户银行：</w:t>
      </w:r>
    </w:p>
    <w:p w14:paraId="5D5A1F49">
      <w:pPr>
        <w:keepNext w:val="0"/>
        <w:keepLines w:val="0"/>
        <w:pageBreakBefore w:val="0"/>
        <w:widowControl w:val="0"/>
        <w:kinsoku/>
        <w:wordWrap/>
        <w:overflowPunct/>
        <w:topLinePunct w:val="0"/>
        <w:autoSpaceDE/>
        <w:autoSpaceDN/>
        <w:bidi w:val="0"/>
        <w:adjustRightInd w:val="0"/>
        <w:snapToGrid w:val="0"/>
        <w:spacing w:line="420" w:lineRule="exact"/>
        <w:ind w:firstLine="532" w:firstLineChars="221"/>
        <w:textAlignment w:val="auto"/>
        <w:outlineLvl w:val="0"/>
        <w:rPr>
          <w:rFonts w:hint="eastAsia" w:ascii="仿宋" w:hAnsi="仿宋" w:eastAsia="仿宋" w:cs="仿宋"/>
          <w:b/>
          <w:bCs/>
          <w:sz w:val="24"/>
          <w:szCs w:val="24"/>
        </w:rPr>
      </w:pPr>
      <w:r>
        <w:rPr>
          <w:rFonts w:hint="eastAsia" w:ascii="仿宋" w:hAnsi="仿宋" w:eastAsia="仿宋" w:cs="仿宋"/>
          <w:b/>
          <w:bCs/>
          <w:sz w:val="24"/>
          <w:szCs w:val="24"/>
        </w:rPr>
        <w:t>银行账号：</w:t>
      </w:r>
    </w:p>
    <w:p w14:paraId="5BDC821B">
      <w:pPr>
        <w:keepNext w:val="0"/>
        <w:keepLines w:val="0"/>
        <w:pageBreakBefore w:val="0"/>
        <w:widowControl w:val="0"/>
        <w:kinsoku/>
        <w:wordWrap/>
        <w:overflowPunct/>
        <w:topLinePunct w:val="0"/>
        <w:autoSpaceDE/>
        <w:autoSpaceDN/>
        <w:bidi w:val="0"/>
        <w:adjustRightInd w:val="0"/>
        <w:snapToGrid w:val="0"/>
        <w:spacing w:line="420" w:lineRule="exact"/>
        <w:ind w:firstLine="530" w:firstLineChars="221"/>
        <w:textAlignment w:val="auto"/>
        <w:outlineLvl w:val="0"/>
        <w:rPr>
          <w:rFonts w:hint="eastAsia" w:ascii="仿宋" w:hAnsi="仿宋" w:eastAsia="仿宋" w:cs="仿宋"/>
          <w:sz w:val="24"/>
          <w:szCs w:val="24"/>
        </w:rPr>
      </w:pPr>
      <w:r>
        <w:rPr>
          <w:rFonts w:hint="eastAsia" w:ascii="仿宋" w:hAnsi="仿宋" w:eastAsia="仿宋" w:cs="仿宋"/>
          <w:sz w:val="24"/>
          <w:szCs w:val="24"/>
        </w:rPr>
        <w:t>3、发票开具：乙方按以下信息向甲方开具增值税专用发票：</w:t>
      </w:r>
    </w:p>
    <w:p w14:paraId="2C76FD8C">
      <w:pPr>
        <w:keepNext w:val="0"/>
        <w:keepLines w:val="0"/>
        <w:pageBreakBefore w:val="0"/>
        <w:widowControl w:val="0"/>
        <w:kinsoku/>
        <w:wordWrap/>
        <w:overflowPunct/>
        <w:topLinePunct w:val="0"/>
        <w:autoSpaceDE/>
        <w:autoSpaceDN/>
        <w:bidi w:val="0"/>
        <w:adjustRightInd w:val="0"/>
        <w:snapToGrid w:val="0"/>
        <w:spacing w:line="420" w:lineRule="exact"/>
        <w:ind w:firstLine="530" w:firstLineChars="221"/>
        <w:textAlignment w:val="auto"/>
        <w:outlineLvl w:val="0"/>
        <w:rPr>
          <w:rFonts w:hint="eastAsia" w:ascii="仿宋" w:hAnsi="仿宋" w:eastAsia="仿宋" w:cs="仿宋"/>
          <w:sz w:val="24"/>
          <w:szCs w:val="24"/>
        </w:rPr>
      </w:pPr>
      <w:r>
        <w:rPr>
          <w:rFonts w:hint="eastAsia" w:ascii="仿宋" w:hAnsi="仿宋" w:eastAsia="仿宋" w:cs="仿宋"/>
          <w:sz w:val="24"/>
          <w:szCs w:val="24"/>
        </w:rPr>
        <w:t>单位名称：南宁轨道地产建筑工程有限责任公司</w:t>
      </w:r>
    </w:p>
    <w:p w14:paraId="2B66B1A3">
      <w:pPr>
        <w:keepNext w:val="0"/>
        <w:keepLines w:val="0"/>
        <w:pageBreakBefore w:val="0"/>
        <w:widowControl w:val="0"/>
        <w:kinsoku/>
        <w:wordWrap/>
        <w:overflowPunct/>
        <w:topLinePunct w:val="0"/>
        <w:autoSpaceDE/>
        <w:autoSpaceDN/>
        <w:bidi w:val="0"/>
        <w:adjustRightInd w:val="0"/>
        <w:snapToGrid w:val="0"/>
        <w:spacing w:line="420" w:lineRule="exact"/>
        <w:ind w:firstLine="530" w:firstLineChars="221"/>
        <w:textAlignment w:val="auto"/>
        <w:outlineLvl w:val="0"/>
        <w:rPr>
          <w:rFonts w:hint="eastAsia" w:ascii="仿宋" w:hAnsi="仿宋" w:eastAsia="仿宋" w:cs="仿宋"/>
          <w:sz w:val="24"/>
          <w:szCs w:val="24"/>
        </w:rPr>
      </w:pPr>
      <w:r>
        <w:rPr>
          <w:rFonts w:hint="eastAsia" w:ascii="仿宋" w:hAnsi="仿宋" w:eastAsia="仿宋" w:cs="仿宋"/>
          <w:sz w:val="24"/>
          <w:szCs w:val="24"/>
        </w:rPr>
        <w:t>地址：南宁市青秀区民族大道168号中房翡翠园紫青庭地下二层商铺</w:t>
      </w:r>
    </w:p>
    <w:p w14:paraId="7994CB48">
      <w:pPr>
        <w:keepNext w:val="0"/>
        <w:keepLines w:val="0"/>
        <w:pageBreakBefore w:val="0"/>
        <w:widowControl w:val="0"/>
        <w:kinsoku/>
        <w:wordWrap/>
        <w:overflowPunct/>
        <w:topLinePunct w:val="0"/>
        <w:autoSpaceDE/>
        <w:autoSpaceDN/>
        <w:bidi w:val="0"/>
        <w:adjustRightInd w:val="0"/>
        <w:snapToGrid w:val="0"/>
        <w:spacing w:line="420" w:lineRule="exact"/>
        <w:ind w:firstLine="530" w:firstLineChars="221"/>
        <w:textAlignment w:val="auto"/>
        <w:outlineLvl w:val="0"/>
        <w:rPr>
          <w:rFonts w:hint="eastAsia" w:ascii="仿宋" w:hAnsi="仿宋" w:eastAsia="仿宋" w:cs="仿宋"/>
          <w:sz w:val="24"/>
          <w:szCs w:val="24"/>
        </w:rPr>
      </w:pPr>
      <w:r>
        <w:rPr>
          <w:rFonts w:hint="eastAsia" w:ascii="仿宋" w:hAnsi="仿宋" w:eastAsia="仿宋" w:cs="仿宋"/>
          <w:sz w:val="24"/>
          <w:szCs w:val="24"/>
        </w:rPr>
        <w:t>开户行：中国建设银行股份有限公司南宁金湖北路支行</w:t>
      </w:r>
    </w:p>
    <w:p w14:paraId="493DC8D8">
      <w:pPr>
        <w:keepNext w:val="0"/>
        <w:keepLines w:val="0"/>
        <w:pageBreakBefore w:val="0"/>
        <w:widowControl w:val="0"/>
        <w:kinsoku/>
        <w:wordWrap/>
        <w:overflowPunct/>
        <w:topLinePunct w:val="0"/>
        <w:autoSpaceDE/>
        <w:autoSpaceDN/>
        <w:bidi w:val="0"/>
        <w:adjustRightInd w:val="0"/>
        <w:snapToGrid w:val="0"/>
        <w:spacing w:line="420" w:lineRule="exact"/>
        <w:ind w:firstLine="530" w:firstLineChars="221"/>
        <w:textAlignment w:val="auto"/>
        <w:outlineLvl w:val="0"/>
        <w:rPr>
          <w:rFonts w:hint="eastAsia" w:ascii="仿宋" w:hAnsi="仿宋" w:eastAsia="仿宋" w:cs="仿宋"/>
          <w:sz w:val="24"/>
          <w:szCs w:val="24"/>
        </w:rPr>
      </w:pPr>
      <w:r>
        <w:rPr>
          <w:rFonts w:hint="eastAsia" w:ascii="仿宋" w:hAnsi="仿宋" w:eastAsia="仿宋" w:cs="仿宋"/>
          <w:sz w:val="24"/>
          <w:szCs w:val="24"/>
        </w:rPr>
        <w:t>账号：45001604264050702251</w:t>
      </w:r>
    </w:p>
    <w:p w14:paraId="753E5045">
      <w:pPr>
        <w:keepNext w:val="0"/>
        <w:keepLines w:val="0"/>
        <w:pageBreakBefore w:val="0"/>
        <w:widowControl w:val="0"/>
        <w:kinsoku/>
        <w:wordWrap/>
        <w:overflowPunct/>
        <w:topLinePunct w:val="0"/>
        <w:autoSpaceDE/>
        <w:autoSpaceDN/>
        <w:bidi w:val="0"/>
        <w:adjustRightInd w:val="0"/>
        <w:snapToGrid w:val="0"/>
        <w:spacing w:line="420" w:lineRule="exact"/>
        <w:ind w:firstLine="530" w:firstLineChars="221"/>
        <w:textAlignment w:val="auto"/>
        <w:outlineLvl w:val="0"/>
        <w:rPr>
          <w:rFonts w:hint="eastAsia" w:ascii="仿宋" w:hAnsi="仿宋" w:eastAsia="仿宋" w:cs="仿宋"/>
          <w:sz w:val="24"/>
          <w:szCs w:val="24"/>
        </w:rPr>
      </w:pPr>
      <w:r>
        <w:rPr>
          <w:rFonts w:hint="eastAsia" w:ascii="仿宋" w:hAnsi="仿宋" w:eastAsia="仿宋" w:cs="仿宋"/>
          <w:sz w:val="24"/>
          <w:szCs w:val="24"/>
        </w:rPr>
        <w:t>税号：91450100198466905E</w:t>
      </w:r>
    </w:p>
    <w:p w14:paraId="69C8FA2E">
      <w:pPr>
        <w:keepNext w:val="0"/>
        <w:keepLines w:val="0"/>
        <w:pageBreakBefore w:val="0"/>
        <w:widowControl w:val="0"/>
        <w:kinsoku/>
        <w:wordWrap/>
        <w:overflowPunct/>
        <w:topLinePunct w:val="0"/>
        <w:autoSpaceDE/>
        <w:autoSpaceDN/>
        <w:bidi w:val="0"/>
        <w:adjustRightInd w:val="0"/>
        <w:snapToGrid w:val="0"/>
        <w:spacing w:line="420" w:lineRule="exact"/>
        <w:ind w:firstLine="530" w:firstLineChars="221"/>
        <w:textAlignment w:val="auto"/>
        <w:outlineLvl w:val="0"/>
        <w:rPr>
          <w:rFonts w:hint="eastAsia" w:ascii="仿宋" w:hAnsi="仿宋" w:eastAsia="仿宋" w:cs="仿宋"/>
          <w:sz w:val="24"/>
          <w:szCs w:val="24"/>
        </w:rPr>
      </w:pPr>
      <w:r>
        <w:rPr>
          <w:rFonts w:hint="eastAsia" w:ascii="仿宋" w:hAnsi="仿宋" w:eastAsia="仿宋" w:cs="仿宋"/>
          <w:sz w:val="24"/>
          <w:szCs w:val="24"/>
        </w:rPr>
        <w:t>电话：0771-5857742</w:t>
      </w:r>
    </w:p>
    <w:p w14:paraId="29A08E2A">
      <w:pPr>
        <w:keepNext w:val="0"/>
        <w:keepLines w:val="0"/>
        <w:pageBreakBefore w:val="0"/>
        <w:widowControl w:val="0"/>
        <w:kinsoku/>
        <w:wordWrap/>
        <w:overflowPunct/>
        <w:topLinePunct w:val="0"/>
        <w:autoSpaceDE/>
        <w:autoSpaceDN/>
        <w:bidi w:val="0"/>
        <w:adjustRightInd w:val="0"/>
        <w:snapToGrid w:val="0"/>
        <w:spacing w:line="420" w:lineRule="exact"/>
        <w:ind w:firstLine="600" w:firstLineChars="250"/>
        <w:textAlignment w:val="auto"/>
        <w:outlineLvl w:val="0"/>
        <w:rPr>
          <w:rFonts w:hint="eastAsia" w:ascii="仿宋" w:hAnsi="仿宋" w:eastAsia="仿宋" w:cs="仿宋"/>
          <w:sz w:val="24"/>
          <w:szCs w:val="24"/>
          <w:lang w:eastAsia="zh-CN"/>
        </w:rPr>
      </w:pPr>
      <w:r>
        <w:rPr>
          <w:rFonts w:hint="eastAsia" w:ascii="仿宋" w:hAnsi="仿宋" w:eastAsia="仿宋" w:cs="仿宋"/>
          <w:sz w:val="24"/>
          <w:szCs w:val="24"/>
        </w:rPr>
        <w:t>4、乙方根据甲方的要求，参加诉讼、仲裁、行政复议、专项非诉讼业务等，甲方应向乙方另行支付律师费</w:t>
      </w:r>
      <w:r>
        <w:rPr>
          <w:rFonts w:hint="eastAsia" w:ascii="仿宋" w:hAnsi="仿宋" w:eastAsia="仿宋" w:cs="仿宋"/>
          <w:sz w:val="24"/>
          <w:szCs w:val="24"/>
          <w:lang w:eastAsia="zh-CN"/>
        </w:rPr>
        <w:t>；</w:t>
      </w:r>
    </w:p>
    <w:p w14:paraId="3BBB985B">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rPr>
        <w:t>5、乙方律师受甲方委托，从事与甲方业务有关的活动而发生必要及合理的鉴定、翻译、评估审计等费用时由甲方承担；发生资料复印、交通、通讯、差旅等费用时，由乙方承担。</w:t>
      </w:r>
    </w:p>
    <w:p w14:paraId="778532EC">
      <w:pPr>
        <w:keepNext w:val="0"/>
        <w:keepLines w:val="0"/>
        <w:pageBreakBefore w:val="0"/>
        <w:widowControl w:val="0"/>
        <w:kinsoku/>
        <w:wordWrap/>
        <w:overflowPunct/>
        <w:topLinePunct w:val="0"/>
        <w:autoSpaceDE/>
        <w:autoSpaceDN/>
        <w:bidi w:val="0"/>
        <w:adjustRightInd w:val="0"/>
        <w:snapToGrid w:val="0"/>
        <w:spacing w:line="420" w:lineRule="exact"/>
        <w:ind w:firstLine="723" w:firstLineChars="300"/>
        <w:textAlignment w:val="auto"/>
        <w:rPr>
          <w:rFonts w:hint="eastAsia" w:ascii="仿宋" w:hAnsi="仿宋" w:eastAsia="仿宋" w:cs="仿宋"/>
          <w:b/>
          <w:bCs/>
          <w:sz w:val="24"/>
          <w:szCs w:val="16"/>
        </w:rPr>
      </w:pPr>
      <w:r>
        <w:rPr>
          <w:rFonts w:hint="eastAsia" w:ascii="仿宋" w:hAnsi="仿宋" w:eastAsia="仿宋" w:cs="仿宋"/>
          <w:b/>
          <w:bCs/>
          <w:sz w:val="24"/>
          <w:szCs w:val="16"/>
          <w:lang w:val="en-US" w:eastAsia="zh-CN"/>
        </w:rPr>
        <w:t xml:space="preserve">第六条  </w:t>
      </w:r>
      <w:r>
        <w:rPr>
          <w:rFonts w:hint="eastAsia" w:ascii="仿宋" w:hAnsi="仿宋" w:eastAsia="仿宋" w:cs="仿宋"/>
          <w:b/>
          <w:bCs/>
          <w:sz w:val="24"/>
          <w:szCs w:val="16"/>
        </w:rPr>
        <w:t>保密条款</w:t>
      </w:r>
    </w:p>
    <w:p w14:paraId="585EFCA2">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rPr>
        <w:t>针对乙方在咨询过程及完成咨询委托事项过程中所知悉或持有的甲方及与甲方相关的商业秘密、技术秘密、法律信息等应负保密义务，具体约定如下：</w:t>
      </w:r>
    </w:p>
    <w:p w14:paraId="1251D65B">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保密事项范围</w:t>
      </w:r>
    </w:p>
    <w:p w14:paraId="1A39C589">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rPr>
        <w:t>保密事项范围包括：乙方在接受咨询委托过程中接触到的甲方提供或告知的尚未为公众所知悉的商业秘密、技术秘密、法律信息等，包括但不限于：文件和批复、合作意向书、各类合同合作协议、会议纪要、会议决议、内部汇报材料、谈判方案、财务资料、定价资料</w:t>
      </w:r>
      <w:r>
        <w:rPr>
          <w:rFonts w:hint="eastAsia" w:ascii="仿宋" w:hAnsi="仿宋" w:eastAsia="仿宋" w:cs="仿宋"/>
          <w:sz w:val="24"/>
          <w:szCs w:val="24"/>
          <w:lang w:eastAsia="zh-CN"/>
        </w:rPr>
        <w:t>、</w:t>
      </w:r>
      <w:r>
        <w:rPr>
          <w:rFonts w:hint="eastAsia" w:ascii="仿宋" w:hAnsi="仿宋" w:eastAsia="仿宋" w:cs="仿宋"/>
          <w:sz w:val="24"/>
          <w:szCs w:val="24"/>
        </w:rPr>
        <w:t>客户名单、行销计划、采购资料、进货渠道、技术方案、工程设计、制造方法、配方、工艺流程、技术指标、计算机软件、数据库、技术文档、相关的函电等。</w:t>
      </w:r>
    </w:p>
    <w:p w14:paraId="27CB144E">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保密事项排除范围：</w:t>
      </w:r>
    </w:p>
    <w:p w14:paraId="403E58B7">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rPr>
        <w:t>需保密的信息范围不含以下内容：</w:t>
      </w:r>
    </w:p>
    <w:p w14:paraId="2BF6E6CD">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w:t>
      </w:r>
      <w:r>
        <w:rPr>
          <w:rFonts w:hint="eastAsia" w:ascii="仿宋" w:hAnsi="仿宋" w:eastAsia="仿宋" w:cs="仿宋"/>
          <w:sz w:val="24"/>
          <w:szCs w:val="24"/>
        </w:rPr>
        <w:t>本合同签订时，已经为公众所知的信息；</w:t>
      </w:r>
    </w:p>
    <w:p w14:paraId="32083077">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本合同签订后，非因归责于乙方的责任事由而为公众所知的信息；</w:t>
      </w:r>
    </w:p>
    <w:p w14:paraId="28515D63">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w:t>
      </w:r>
      <w:r>
        <w:rPr>
          <w:rFonts w:hint="eastAsia" w:ascii="仿宋" w:hAnsi="仿宋" w:eastAsia="仿宋" w:cs="仿宋"/>
          <w:sz w:val="24"/>
          <w:szCs w:val="24"/>
        </w:rPr>
        <w:t>根据法律规定及政府有关部门要求需公开的信息和资料；</w:t>
      </w:r>
    </w:p>
    <w:p w14:paraId="6CC07E90">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w:t>
      </w:r>
      <w:r>
        <w:rPr>
          <w:rFonts w:hint="eastAsia" w:ascii="仿宋" w:hAnsi="仿宋" w:eastAsia="仿宋" w:cs="仿宋"/>
          <w:sz w:val="24"/>
          <w:szCs w:val="24"/>
        </w:rPr>
        <w:t>经甲方事先书面同意予以公开的信息。</w:t>
      </w:r>
    </w:p>
    <w:p w14:paraId="2A00D79E">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保密信息的使用</w:t>
      </w:r>
    </w:p>
    <w:p w14:paraId="24189816">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rPr>
        <w:t>乙方对保密事项的使用只限于与甲方委托业务有关的目的加以使用，而不得为任何其他目的加以利用。</w:t>
      </w:r>
    </w:p>
    <w:p w14:paraId="26B0787E">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保密义务的具体内容</w:t>
      </w:r>
    </w:p>
    <w:p w14:paraId="57403E15">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w:t>
      </w:r>
      <w:r>
        <w:rPr>
          <w:rFonts w:hint="eastAsia" w:ascii="仿宋" w:hAnsi="仿宋" w:eastAsia="仿宋" w:cs="仿宋"/>
          <w:sz w:val="24"/>
          <w:szCs w:val="24"/>
        </w:rPr>
        <w:t>乙方应本着谨慎、诚实的态度，采取任何必要、合理的措施，维护在咨询委托过程中知悉或者持有的任何属于甲方或与甲方相关的保密事项，以保持其机密性。</w:t>
      </w:r>
    </w:p>
    <w:p w14:paraId="054075C1">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sz w:val="24"/>
          <w:szCs w:val="24"/>
        </w:rPr>
        <w:t>乙方必须遵守甲方规定的任何成文或不成文的保密规章、制度，履行与其工作岗位相应的保密职责。</w:t>
      </w:r>
    </w:p>
    <w:p w14:paraId="521CA225">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w:t>
      </w:r>
      <w:r>
        <w:rPr>
          <w:rFonts w:hint="eastAsia" w:ascii="仿宋" w:hAnsi="仿宋" w:eastAsia="仿宋" w:cs="仿宋"/>
          <w:sz w:val="24"/>
          <w:szCs w:val="24"/>
        </w:rPr>
        <w:t>除了完成委托事项的需要之外，乙方承诺，未经甲方同意，不得以泄露、公布、发布、出版、传授、转让或者其他任何方式使任何第三方知悉属于甲方或者与甲方相关保密事项，也不得在履行职务之外使用这些秘密信息。</w:t>
      </w:r>
    </w:p>
    <w:p w14:paraId="6DA98B18">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赔偿责任</w:t>
      </w:r>
    </w:p>
    <w:p w14:paraId="2C820A0F">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rPr>
        <w:t>乙方不履行本保密条款、过失或故意泄露其知悉的甲方保密事项或者在擅自协议约定的工作内容之外使用甲方保密事项从</w:t>
      </w:r>
      <w:r>
        <w:rPr>
          <w:rFonts w:hint="eastAsia" w:ascii="仿宋" w:hAnsi="仿宋" w:eastAsia="仿宋" w:cs="仿宋"/>
          <w:sz w:val="24"/>
          <w:szCs w:val="24"/>
          <w:lang w:eastAsia="zh-CN"/>
        </w:rPr>
        <w:t>而对</w:t>
      </w:r>
      <w:r>
        <w:rPr>
          <w:rFonts w:hint="eastAsia" w:ascii="仿宋" w:hAnsi="仿宋" w:eastAsia="仿宋" w:cs="仿宋"/>
          <w:sz w:val="24"/>
          <w:szCs w:val="24"/>
        </w:rPr>
        <w:t>甲方造成损失的，乙方应承担相应的赔偿责任。</w:t>
      </w:r>
    </w:p>
    <w:p w14:paraId="6921AA0A">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期限</w:t>
      </w:r>
    </w:p>
    <w:p w14:paraId="458496EE">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rPr>
        <w:t>乙方承担保密义务自其知悉相应的保密事项之日起，且其保密义务不因本合同的终止而终止。</w:t>
      </w:r>
    </w:p>
    <w:p w14:paraId="7915660D">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 xml:space="preserve"> 第七条  违约责任</w:t>
      </w:r>
    </w:p>
    <w:p w14:paraId="5B11EBDC">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甲方未按合同约定支付服务费的，乙方有权暂停工作，由于甲方原因造成超过30日不支付的，乙方有权单方解除合同，并有权要求甲方支付已经提供法律服务期间的费用。</w:t>
      </w:r>
    </w:p>
    <w:p w14:paraId="6FA195BC">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合同签订后，甲方无正当理由提前解除合同的，已经支付的服务费不予退还，尚未支付的应继续支付；乙方无正当理由拒绝为甲方提供服务的、对甲方委托的工作出现重大偏差或误判的、不服从甲方工作安排两次及以上的、不按约定时限完成相应工作两次及以上的，甲方有权解除合同，并要求乙方承担由此造成的相关损失。</w:t>
      </w:r>
    </w:p>
    <w:p w14:paraId="2B4A5F41">
      <w:pPr>
        <w:keepNext w:val="0"/>
        <w:keepLines w:val="0"/>
        <w:pageBreakBefore w:val="0"/>
        <w:widowControl w:val="0"/>
        <w:kinsoku/>
        <w:wordWrap/>
        <w:overflowPunct/>
        <w:topLinePunct w:val="0"/>
        <w:autoSpaceDE/>
        <w:autoSpaceDN/>
        <w:bidi w:val="0"/>
        <w:adjustRightInd w:val="0"/>
        <w:snapToGrid w:val="0"/>
        <w:spacing w:line="420" w:lineRule="exact"/>
        <w:ind w:firstLine="675"/>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乙方不履行或不适当履行服务职责，甲方有权扣除乙方的顾问费余款；造成甲方经济损失的，依法予以赔偿。</w:t>
      </w:r>
    </w:p>
    <w:p w14:paraId="6287CA99">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sz w:val="24"/>
          <w:szCs w:val="24"/>
          <w:highlight w:val="yellow"/>
        </w:rPr>
      </w:pPr>
      <w:r>
        <w:rPr>
          <w:rFonts w:hint="eastAsia" w:ascii="仿宋" w:hAnsi="仿宋" w:eastAsia="仿宋" w:cs="仿宋"/>
          <w:b/>
          <w:sz w:val="24"/>
          <w:szCs w:val="24"/>
          <w:highlight w:val="none"/>
        </w:rPr>
        <w:t>第八条</w:t>
      </w:r>
      <w:r>
        <w:rPr>
          <w:rFonts w:hint="eastAsia" w:ascii="仿宋" w:hAnsi="仿宋" w:eastAsia="仿宋" w:cs="仿宋"/>
          <w:sz w:val="24"/>
          <w:szCs w:val="24"/>
          <w:highlight w:val="none"/>
        </w:rPr>
        <w:t xml:space="preserve">  本协议有效期限自</w:t>
      </w:r>
      <w:r>
        <w:rPr>
          <w:rFonts w:hint="eastAsia" w:ascii="仿宋" w:hAnsi="仿宋" w:eastAsia="仿宋" w:cs="仿宋"/>
          <w:sz w:val="24"/>
          <w:szCs w:val="24"/>
          <w:highlight w:val="none"/>
          <w:u w:val="single"/>
          <w:lang w:val="en-US" w:eastAsia="zh-CN"/>
        </w:rPr>
        <w:t>2025</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日起至</w:t>
      </w:r>
      <w:r>
        <w:rPr>
          <w:rFonts w:hint="eastAsia" w:ascii="仿宋" w:hAnsi="仿宋" w:eastAsia="仿宋" w:cs="仿宋"/>
          <w:sz w:val="24"/>
          <w:szCs w:val="24"/>
          <w:highlight w:val="none"/>
          <w:u w:val="single"/>
          <w:lang w:val="en-US" w:eastAsia="zh-CN"/>
        </w:rPr>
        <w:t>2026</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日止。</w:t>
      </w:r>
    </w:p>
    <w:p w14:paraId="10FA9ACD">
      <w:pPr>
        <w:pStyle w:val="7"/>
        <w:keepNext w:val="0"/>
        <w:keepLines w:val="0"/>
        <w:pageBreakBefore w:val="0"/>
        <w:widowControl w:val="0"/>
        <w:kinsoku/>
        <w:wordWrap/>
        <w:overflowPunct/>
        <w:topLinePunct w:val="0"/>
        <w:autoSpaceDE/>
        <w:autoSpaceDN/>
        <w:bidi w:val="0"/>
        <w:adjustRightInd w:val="0"/>
        <w:snapToGrid w:val="0"/>
        <w:spacing w:line="420" w:lineRule="exact"/>
        <w:ind w:firstLine="532" w:firstLineChars="221"/>
        <w:textAlignment w:val="auto"/>
        <w:rPr>
          <w:rFonts w:hint="eastAsia" w:ascii="仿宋" w:hAnsi="仿宋" w:eastAsia="仿宋" w:cs="仿宋"/>
          <w:sz w:val="24"/>
          <w:szCs w:val="24"/>
        </w:rPr>
      </w:pPr>
      <w:r>
        <w:rPr>
          <w:rFonts w:hint="eastAsia" w:ascii="仿宋" w:hAnsi="仿宋" w:eastAsia="仿宋" w:cs="仿宋"/>
          <w:b/>
          <w:sz w:val="24"/>
          <w:szCs w:val="24"/>
        </w:rPr>
        <w:t xml:space="preserve">第九条  </w:t>
      </w:r>
      <w:r>
        <w:rPr>
          <w:rFonts w:hint="eastAsia" w:ascii="仿宋" w:hAnsi="仿宋" w:eastAsia="仿宋" w:cs="仿宋"/>
          <w:sz w:val="24"/>
          <w:szCs w:val="24"/>
        </w:rPr>
        <w:t>本协议一式四份，甲方执</w:t>
      </w:r>
      <w:r>
        <w:rPr>
          <w:rFonts w:hint="eastAsia" w:ascii="仿宋" w:hAnsi="仿宋" w:eastAsia="仿宋" w:cs="仿宋"/>
          <w:sz w:val="24"/>
          <w:szCs w:val="24"/>
          <w:lang w:val="en-US" w:eastAsia="zh-CN"/>
        </w:rPr>
        <w:t>叁</w:t>
      </w:r>
      <w:r>
        <w:rPr>
          <w:rFonts w:hint="eastAsia" w:ascii="仿宋" w:hAnsi="仿宋" w:eastAsia="仿宋" w:cs="仿宋"/>
          <w:sz w:val="24"/>
          <w:szCs w:val="24"/>
        </w:rPr>
        <w:t>份、乙方执</w:t>
      </w:r>
      <w:r>
        <w:rPr>
          <w:rFonts w:hint="eastAsia" w:ascii="仿宋" w:hAnsi="仿宋" w:eastAsia="仿宋" w:cs="仿宋"/>
          <w:sz w:val="24"/>
          <w:szCs w:val="24"/>
          <w:lang w:val="en-US" w:eastAsia="zh-CN"/>
        </w:rPr>
        <w:t>壹</w:t>
      </w:r>
      <w:r>
        <w:rPr>
          <w:rFonts w:hint="eastAsia" w:ascii="仿宋" w:hAnsi="仿宋" w:eastAsia="仿宋" w:cs="仿宋"/>
          <w:sz w:val="24"/>
          <w:szCs w:val="24"/>
        </w:rPr>
        <w:t>份，每份均具有同等法律效力，自签订之日双方法定代表人或委托代理人签字或盖章、加盖双方单位公章后生效。</w:t>
      </w:r>
    </w:p>
    <w:p w14:paraId="5C8C4905">
      <w:pPr>
        <w:keepNext w:val="0"/>
        <w:keepLines w:val="0"/>
        <w:pageBreakBefore w:val="0"/>
        <w:widowControl w:val="0"/>
        <w:kinsoku/>
        <w:wordWrap/>
        <w:overflowPunct/>
        <w:topLinePunct w:val="0"/>
        <w:autoSpaceDE/>
        <w:autoSpaceDN/>
        <w:bidi w:val="0"/>
        <w:adjustRightInd w:val="0"/>
        <w:snapToGrid w:val="0"/>
        <w:spacing w:line="420" w:lineRule="exact"/>
        <w:ind w:firstLine="470" w:firstLineChars="196"/>
        <w:textAlignment w:val="auto"/>
        <w:rPr>
          <w:rFonts w:hint="eastAsia" w:ascii="仿宋" w:hAnsi="仿宋" w:eastAsia="仿宋" w:cs="仿宋"/>
          <w:sz w:val="24"/>
          <w:szCs w:val="24"/>
        </w:rPr>
      </w:pPr>
      <w:r>
        <w:rPr>
          <w:rFonts w:hint="eastAsia" w:ascii="仿宋" w:hAnsi="仿宋" w:eastAsia="仿宋" w:cs="仿宋"/>
          <w:sz w:val="24"/>
          <w:szCs w:val="24"/>
        </w:rPr>
        <w:t>本协议未尽事宜由双方通过友好协商解决。</w:t>
      </w:r>
    </w:p>
    <w:p w14:paraId="344BD4FF">
      <w:pPr>
        <w:keepNext w:val="0"/>
        <w:keepLines w:val="0"/>
        <w:pageBreakBefore w:val="0"/>
        <w:widowControl w:val="0"/>
        <w:kinsoku/>
        <w:wordWrap/>
        <w:overflowPunct/>
        <w:topLinePunct w:val="0"/>
        <w:autoSpaceDE/>
        <w:autoSpaceDN/>
        <w:bidi w:val="0"/>
        <w:adjustRightInd w:val="0"/>
        <w:snapToGrid w:val="0"/>
        <w:spacing w:line="420" w:lineRule="exact"/>
        <w:ind w:firstLine="470" w:firstLineChars="196"/>
        <w:textAlignment w:val="auto"/>
        <w:rPr>
          <w:rFonts w:hint="eastAsia" w:ascii="仿宋" w:hAnsi="仿宋" w:eastAsia="仿宋" w:cs="仿宋"/>
          <w:sz w:val="24"/>
          <w:szCs w:val="24"/>
        </w:rPr>
      </w:pPr>
      <w:r>
        <w:rPr>
          <w:rFonts w:hint="eastAsia" w:ascii="仿宋" w:hAnsi="仿宋" w:eastAsia="仿宋" w:cs="仿宋"/>
          <w:sz w:val="24"/>
          <w:szCs w:val="24"/>
        </w:rPr>
        <w:t>如发生争议，双方应友好协商解决；协商未能解决争议，任何一方均可向甲方营业执照记载的住所地有管辖权的人民法院提起诉讼，产生的律师费、诉讼费由责任方承担。</w:t>
      </w:r>
    </w:p>
    <w:p w14:paraId="5CA7AB98">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hint="eastAsia" w:ascii="仿宋" w:hAnsi="仿宋" w:eastAsia="仿宋" w:cs="仿宋"/>
          <w:sz w:val="24"/>
          <w:szCs w:val="24"/>
        </w:rPr>
      </w:pPr>
      <w:r>
        <w:rPr>
          <w:rFonts w:hint="eastAsia" w:ascii="仿宋" w:hAnsi="仿宋" w:eastAsia="仿宋" w:cs="仿宋"/>
          <w:sz w:val="24"/>
          <w:szCs w:val="24"/>
        </w:rPr>
        <w:t xml:space="preserve">  </w:t>
      </w:r>
    </w:p>
    <w:p w14:paraId="5799CD0F">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hint="eastAsia" w:ascii="仿宋" w:hAnsi="仿宋" w:eastAsia="仿宋" w:cs="仿宋"/>
          <w:b/>
          <w:sz w:val="24"/>
          <w:szCs w:val="24"/>
          <w:lang w:val="en-US" w:eastAsia="zh-CN"/>
        </w:rPr>
      </w:pPr>
      <w:r>
        <w:rPr>
          <w:rFonts w:hint="eastAsia" w:ascii="仿宋" w:hAnsi="仿宋" w:eastAsia="仿宋" w:cs="仿宋"/>
          <w:b/>
          <w:sz w:val="24"/>
          <w:szCs w:val="24"/>
        </w:rPr>
        <w:t>甲　方：南宁轨道地产建筑工程           乙　方：</w:t>
      </w:r>
    </w:p>
    <w:p w14:paraId="54E5CF6F">
      <w:pPr>
        <w:keepNext w:val="0"/>
        <w:keepLines w:val="0"/>
        <w:pageBreakBefore w:val="0"/>
        <w:widowControl w:val="0"/>
        <w:kinsoku/>
        <w:wordWrap/>
        <w:overflowPunct/>
        <w:topLinePunct w:val="0"/>
        <w:autoSpaceDE/>
        <w:autoSpaceDN/>
        <w:bidi w:val="0"/>
        <w:adjustRightInd w:val="0"/>
        <w:snapToGrid w:val="0"/>
        <w:spacing w:line="420" w:lineRule="exact"/>
        <w:ind w:firstLine="964" w:firstLineChars="400"/>
        <w:textAlignment w:val="auto"/>
        <w:rPr>
          <w:rFonts w:hint="eastAsia" w:ascii="仿宋" w:hAnsi="仿宋" w:eastAsia="仿宋" w:cs="仿宋"/>
          <w:sz w:val="24"/>
          <w:szCs w:val="24"/>
        </w:rPr>
      </w:pPr>
      <w:r>
        <w:rPr>
          <w:rFonts w:hint="eastAsia" w:ascii="仿宋" w:hAnsi="仿宋" w:eastAsia="仿宋" w:cs="仿宋"/>
          <w:b/>
          <w:sz w:val="24"/>
          <w:szCs w:val="24"/>
        </w:rPr>
        <w:t xml:space="preserve">有限责任公司       </w:t>
      </w:r>
    </w:p>
    <w:p w14:paraId="3EE91A1D">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hint="eastAsia" w:ascii="仿宋" w:hAnsi="仿宋" w:eastAsia="仿宋" w:cs="仿宋"/>
          <w:b/>
          <w:sz w:val="24"/>
          <w:szCs w:val="24"/>
        </w:rPr>
      </w:pPr>
    </w:p>
    <w:p w14:paraId="10016934">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hint="eastAsia" w:ascii="仿宋" w:hAnsi="仿宋" w:eastAsia="仿宋" w:cs="仿宋"/>
          <w:b/>
          <w:sz w:val="24"/>
          <w:szCs w:val="24"/>
        </w:rPr>
      </w:pPr>
      <w:r>
        <w:rPr>
          <w:rFonts w:hint="eastAsia" w:ascii="仿宋" w:hAnsi="仿宋" w:eastAsia="仿宋" w:cs="仿宋"/>
          <w:b/>
          <w:sz w:val="24"/>
          <w:szCs w:val="24"/>
        </w:rPr>
        <w:t xml:space="preserve">代表人：           </w:t>
      </w:r>
      <w:r>
        <w:rPr>
          <w:rFonts w:hint="eastAsia" w:ascii="仿宋" w:hAnsi="仿宋" w:eastAsia="仿宋" w:cs="仿宋"/>
          <w:b/>
          <w:sz w:val="24"/>
          <w:szCs w:val="24"/>
          <w:vertAlign w:val="subscript"/>
        </w:rPr>
        <w:t xml:space="preserve">                                 </w:t>
      </w:r>
      <w:r>
        <w:rPr>
          <w:rFonts w:hint="eastAsia" w:ascii="仿宋" w:hAnsi="仿宋" w:eastAsia="仿宋" w:cs="仿宋"/>
          <w:b/>
          <w:sz w:val="24"/>
          <w:szCs w:val="24"/>
          <w:vertAlign w:val="subscript"/>
          <w:lang w:val="en-US" w:eastAsia="zh-CN"/>
        </w:rPr>
        <w:t xml:space="preserve">   </w:t>
      </w:r>
      <w:r>
        <w:rPr>
          <w:rFonts w:hint="eastAsia" w:ascii="仿宋" w:hAnsi="仿宋" w:eastAsia="仿宋" w:cs="仿宋"/>
          <w:b/>
          <w:sz w:val="24"/>
          <w:szCs w:val="24"/>
          <w:vertAlign w:val="subscript"/>
        </w:rPr>
        <w:t xml:space="preserve"> </w:t>
      </w:r>
      <w:r>
        <w:rPr>
          <w:rFonts w:hint="eastAsia" w:ascii="仿宋" w:hAnsi="仿宋" w:eastAsia="仿宋" w:cs="仿宋"/>
          <w:b/>
          <w:sz w:val="24"/>
          <w:szCs w:val="24"/>
          <w:vertAlign w:val="subscript"/>
          <w:lang w:val="en-US" w:eastAsia="zh-CN"/>
        </w:rPr>
        <w:t xml:space="preserve"> </w:t>
      </w:r>
      <w:r>
        <w:rPr>
          <w:rFonts w:hint="eastAsia" w:ascii="仿宋" w:hAnsi="仿宋" w:eastAsia="仿宋" w:cs="仿宋"/>
          <w:b/>
          <w:sz w:val="24"/>
          <w:szCs w:val="24"/>
          <w:vertAlign w:val="subscript"/>
        </w:rPr>
        <w:t xml:space="preserve"> </w:t>
      </w:r>
      <w:r>
        <w:rPr>
          <w:rFonts w:hint="eastAsia" w:ascii="仿宋" w:hAnsi="仿宋" w:eastAsia="仿宋" w:cs="仿宋"/>
          <w:b/>
          <w:sz w:val="24"/>
          <w:szCs w:val="24"/>
        </w:rPr>
        <w:t>负责人：</w:t>
      </w:r>
    </w:p>
    <w:p w14:paraId="38AF11A1">
      <w:pPr>
        <w:keepNext w:val="0"/>
        <w:keepLines w:val="0"/>
        <w:pageBreakBefore w:val="0"/>
        <w:widowControl w:val="0"/>
        <w:kinsoku/>
        <w:wordWrap/>
        <w:overflowPunct/>
        <w:topLinePunct w:val="0"/>
        <w:autoSpaceDE/>
        <w:autoSpaceDN/>
        <w:bidi w:val="0"/>
        <w:adjustRightInd w:val="0"/>
        <w:snapToGrid w:val="0"/>
        <w:spacing w:line="420" w:lineRule="exact"/>
        <w:ind w:firstLine="349"/>
        <w:textAlignment w:val="auto"/>
        <w:rPr>
          <w:rFonts w:hint="eastAsia" w:ascii="仿宋" w:hAnsi="仿宋" w:eastAsia="仿宋" w:cs="仿宋"/>
          <w:sz w:val="24"/>
          <w:szCs w:val="24"/>
        </w:rPr>
      </w:pPr>
      <w:r>
        <w:rPr>
          <w:rFonts w:hint="eastAsia" w:ascii="仿宋" w:hAnsi="仿宋" w:eastAsia="仿宋" w:cs="仿宋"/>
          <w:sz w:val="24"/>
          <w:szCs w:val="24"/>
        </w:rPr>
        <w:t>（签字或盖章）                      （签字或盖章）</w:t>
      </w:r>
    </w:p>
    <w:p w14:paraId="13A1624E">
      <w:pPr>
        <w:pStyle w:val="6"/>
        <w:keepNext w:val="0"/>
        <w:keepLines w:val="0"/>
        <w:pageBreakBefore w:val="0"/>
        <w:widowControl w:val="0"/>
        <w:kinsoku/>
        <w:wordWrap/>
        <w:overflowPunct/>
        <w:topLinePunct w:val="0"/>
        <w:autoSpaceDE/>
        <w:autoSpaceDN/>
        <w:bidi w:val="0"/>
        <w:spacing w:line="420" w:lineRule="exact"/>
        <w:textAlignment w:val="auto"/>
        <w:rPr>
          <w:rFonts w:hint="eastAsia"/>
        </w:rPr>
      </w:pPr>
    </w:p>
    <w:p w14:paraId="5057E958">
      <w:pPr>
        <w:pStyle w:val="6"/>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hint="eastAsia" w:ascii="仿宋" w:hAnsi="仿宋" w:eastAsia="仿宋" w:cs="仿宋"/>
          <w:sz w:val="28"/>
          <w:szCs w:val="18"/>
          <w:lang w:val="en-US" w:eastAsia="zh-CN"/>
        </w:rPr>
      </w:pPr>
      <w:r>
        <w:rPr>
          <w:rFonts w:hint="eastAsia" w:ascii="仿宋" w:hAnsi="仿宋" w:eastAsia="仿宋" w:cs="仿宋"/>
          <w:sz w:val="28"/>
          <w:szCs w:val="18"/>
          <w:lang w:val="en-US" w:eastAsia="zh-CN"/>
        </w:rPr>
        <w:t>签订日期：2025年  月  日</w:t>
      </w:r>
    </w:p>
    <w:p w14:paraId="1C70F400">
      <w:pPr>
        <w:rPr>
          <w:rFonts w:hint="eastAsia"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6A43CE48">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w:t>
      </w:r>
      <w:r>
        <w:rPr>
          <w:rFonts w:hint="eastAsia" w:ascii="宋体" w:hAnsi="宋体" w:eastAsia="宋体" w:cs="宋体"/>
          <w:b/>
          <w:bCs/>
          <w:color w:val="auto"/>
          <w:sz w:val="36"/>
          <w:szCs w:val="36"/>
          <w:highlight w:val="none"/>
          <w:lang w:val="en-US" w:eastAsia="zh-CN" w:bidi="ar"/>
        </w:rPr>
        <w:t>四</w:t>
      </w:r>
      <w:r>
        <w:rPr>
          <w:rFonts w:hint="eastAsia" w:ascii="宋体" w:hAnsi="宋体" w:eastAsia="宋体" w:cs="宋体"/>
          <w:b/>
          <w:bCs/>
          <w:color w:val="auto"/>
          <w:sz w:val="36"/>
          <w:szCs w:val="36"/>
          <w:highlight w:val="none"/>
          <w:lang w:bidi="ar"/>
        </w:rPr>
        <w:t>章</w:t>
      </w:r>
      <w:r>
        <w:rPr>
          <w:rFonts w:hint="eastAsia" w:ascii="宋体" w:hAnsi="宋体" w:eastAsia="宋体" w:cs="宋体"/>
          <w:b/>
          <w:bCs/>
          <w:color w:val="auto"/>
          <w:sz w:val="36"/>
          <w:szCs w:val="36"/>
          <w:highlight w:val="none"/>
          <w:lang w:val="en-US" w:eastAsia="zh-CN" w:bidi="ar"/>
        </w:rPr>
        <w:t xml:space="preserve"> </w:t>
      </w:r>
      <w:r>
        <w:rPr>
          <w:rFonts w:hint="eastAsia" w:ascii="宋体" w:hAnsi="宋体" w:eastAsia="宋体" w:cs="宋体"/>
          <w:b/>
          <w:bCs/>
          <w:color w:val="auto"/>
          <w:sz w:val="36"/>
          <w:szCs w:val="36"/>
          <w:highlight w:val="none"/>
          <w:lang w:bidi="ar"/>
        </w:rPr>
        <w:t>评审办法</w:t>
      </w:r>
    </w:p>
    <w:p w14:paraId="778366CC">
      <w:pPr>
        <w:spacing w:line="480" w:lineRule="exact"/>
        <w:ind w:firstLine="482" w:firstLineChars="200"/>
        <w:rPr>
          <w:rFonts w:ascii="宋体" w:hAnsi="宋体" w:eastAsia="宋体"/>
          <w:b/>
          <w:bCs/>
          <w:sz w:val="24"/>
          <w:szCs w:val="24"/>
        </w:rPr>
      </w:pPr>
      <w:bookmarkStart w:id="793" w:name="_Toc27271"/>
      <w:bookmarkStart w:id="794" w:name="_Toc15224"/>
      <w:bookmarkStart w:id="795" w:name="_Toc414290583"/>
      <w:bookmarkStart w:id="796" w:name="_Toc15073"/>
      <w:bookmarkStart w:id="797" w:name="_Toc9730"/>
      <w:bookmarkStart w:id="798" w:name="_Toc16364"/>
      <w:bookmarkStart w:id="799" w:name="_Toc9189"/>
      <w:bookmarkStart w:id="800" w:name="_Toc28404"/>
      <w:bookmarkStart w:id="801" w:name="_Toc25750694"/>
      <w:bookmarkStart w:id="802" w:name="_Toc25604"/>
      <w:bookmarkStart w:id="803" w:name="_Toc434"/>
      <w:bookmarkStart w:id="804" w:name="_Toc23314"/>
      <w:bookmarkStart w:id="805" w:name="_Toc18096"/>
      <w:bookmarkStart w:id="806" w:name="_Toc492478849"/>
      <w:bookmarkStart w:id="807" w:name="_Toc22464"/>
      <w:bookmarkStart w:id="808" w:name="_Toc19557"/>
      <w:bookmarkStart w:id="809" w:name="_Toc31611"/>
      <w:bookmarkStart w:id="810" w:name="_Toc29923"/>
      <w:bookmarkStart w:id="811" w:name="_Toc10968"/>
      <w:bookmarkStart w:id="812" w:name="_Toc114134688"/>
      <w:bookmarkStart w:id="813" w:name="_Toc29245"/>
      <w:bookmarkStart w:id="814" w:name="_Toc9588"/>
      <w:r>
        <w:rPr>
          <w:rFonts w:hint="eastAsia" w:ascii="宋体" w:hAnsi="宋体" w:eastAsia="宋体"/>
          <w:b/>
          <w:bCs/>
          <w:sz w:val="24"/>
          <w:szCs w:val="24"/>
        </w:rPr>
        <w:t>一、评审原则</w:t>
      </w:r>
    </w:p>
    <w:p w14:paraId="26678B74">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r>
        <w:rPr>
          <w:rFonts w:hint="eastAsia" w:ascii="宋体" w:hAnsi="宋体" w:eastAsia="宋体"/>
          <w:sz w:val="24"/>
          <w:szCs w:val="24"/>
        </w:rPr>
        <w:t>比选评审小组由比选人的人员组成，对比选申请文件进行评审。</w:t>
      </w:r>
    </w:p>
    <w:p w14:paraId="16832826">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评审依据：评审小组以比选文件、比选申请文件为评审依据。</w:t>
      </w:r>
    </w:p>
    <w:p w14:paraId="09F85E1C">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w:t>
      </w:r>
      <w:r>
        <w:rPr>
          <w:rFonts w:hint="eastAsia" w:ascii="宋体" w:hAnsi="宋体" w:eastAsia="宋体"/>
          <w:sz w:val="24"/>
          <w:szCs w:val="24"/>
        </w:rPr>
        <w:t>评审形式：以评审会议形式进行。</w:t>
      </w:r>
    </w:p>
    <w:p w14:paraId="034BFF79">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二、评定办法</w:t>
      </w:r>
    </w:p>
    <w:p w14:paraId="43163CD4">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color w:val="auto"/>
          <w:sz w:val="24"/>
          <w:szCs w:val="24"/>
          <w:highlight w:val="yellow"/>
        </w:rPr>
        <w:t>对</w:t>
      </w:r>
      <w:r>
        <w:rPr>
          <w:rFonts w:hint="eastAsia" w:ascii="宋体" w:hAnsi="宋体" w:eastAsia="宋体"/>
          <w:b/>
          <w:bCs/>
          <w:color w:val="auto"/>
          <w:sz w:val="24"/>
          <w:szCs w:val="24"/>
          <w:highlight w:val="yellow"/>
        </w:rPr>
        <w:t>资格性和符合性检查合格</w:t>
      </w:r>
      <w:r>
        <w:rPr>
          <w:rFonts w:hint="eastAsia" w:ascii="宋体" w:hAnsi="宋体" w:eastAsia="宋体"/>
          <w:color w:val="auto"/>
          <w:sz w:val="24"/>
          <w:szCs w:val="24"/>
          <w:highlight w:val="yellow"/>
        </w:rPr>
        <w:t>的比选申请文件，进入</w:t>
      </w:r>
      <w:r>
        <w:rPr>
          <w:rFonts w:hint="eastAsia" w:ascii="宋体" w:hAnsi="宋体" w:eastAsia="宋体"/>
          <w:color w:val="auto"/>
          <w:sz w:val="24"/>
          <w:szCs w:val="24"/>
          <w:highlight w:val="yellow"/>
          <w:lang w:val="en-US" w:eastAsia="zh-CN"/>
        </w:rPr>
        <w:t>资信</w:t>
      </w:r>
      <w:r>
        <w:rPr>
          <w:rFonts w:hint="eastAsia" w:ascii="宋体" w:hAnsi="宋体" w:eastAsia="宋体"/>
          <w:color w:val="auto"/>
          <w:sz w:val="24"/>
          <w:szCs w:val="24"/>
          <w:highlight w:val="yellow"/>
        </w:rPr>
        <w:t>、价格评审采用</w:t>
      </w:r>
      <w:r>
        <w:rPr>
          <w:rFonts w:hint="eastAsia" w:ascii="宋体" w:hAnsi="宋体" w:eastAsia="宋体"/>
          <w:b/>
          <w:bCs/>
          <w:color w:val="auto"/>
          <w:sz w:val="24"/>
          <w:szCs w:val="24"/>
          <w:highlight w:val="yellow"/>
          <w:u w:val="single"/>
        </w:rPr>
        <w:t xml:space="preserve"> 综合评分法</w:t>
      </w:r>
      <w:r>
        <w:rPr>
          <w:rFonts w:hint="eastAsia" w:ascii="宋体" w:hAnsi="宋体" w:eastAsia="宋体"/>
          <w:color w:val="auto"/>
          <w:sz w:val="24"/>
          <w:szCs w:val="24"/>
          <w:highlight w:val="yellow"/>
        </w:rPr>
        <w:t>进行评审。满分</w:t>
      </w:r>
      <w:r>
        <w:rPr>
          <w:rFonts w:ascii="宋体" w:hAnsi="宋体" w:eastAsia="宋体"/>
          <w:color w:val="auto"/>
          <w:sz w:val="24"/>
          <w:szCs w:val="24"/>
          <w:highlight w:val="yellow"/>
        </w:rPr>
        <w:t>100</w:t>
      </w:r>
      <w:r>
        <w:rPr>
          <w:rFonts w:hint="eastAsia" w:ascii="宋体" w:hAnsi="宋体" w:eastAsia="宋体"/>
          <w:color w:val="auto"/>
          <w:sz w:val="24"/>
          <w:szCs w:val="24"/>
          <w:highlight w:val="yellow"/>
        </w:rPr>
        <w:t>分，其中</w:t>
      </w:r>
      <w:r>
        <w:rPr>
          <w:rFonts w:hint="eastAsia" w:ascii="宋体" w:hAnsi="宋体" w:eastAsia="宋体"/>
          <w:b/>
          <w:bCs/>
          <w:color w:val="auto"/>
          <w:sz w:val="24"/>
          <w:szCs w:val="24"/>
          <w:highlight w:val="yellow"/>
          <w:u w:val="single"/>
          <w:lang w:val="en-US" w:eastAsia="zh-CN"/>
        </w:rPr>
        <w:t>资信</w:t>
      </w:r>
      <w:r>
        <w:rPr>
          <w:rFonts w:hint="eastAsia" w:ascii="宋体" w:hAnsi="宋体" w:eastAsia="宋体"/>
          <w:b/>
          <w:bCs/>
          <w:color w:val="auto"/>
          <w:sz w:val="24"/>
          <w:szCs w:val="24"/>
          <w:highlight w:val="yellow"/>
          <w:u w:val="single"/>
        </w:rPr>
        <w:t>得分20分，价格得分80分</w:t>
      </w:r>
      <w:r>
        <w:rPr>
          <w:rFonts w:hint="eastAsia" w:ascii="宋体" w:hAnsi="宋体" w:eastAsia="宋体"/>
          <w:color w:val="auto"/>
          <w:sz w:val="24"/>
          <w:szCs w:val="24"/>
          <w:highlight w:val="yellow"/>
        </w:rPr>
        <w:t>。</w:t>
      </w:r>
    </w:p>
    <w:p w14:paraId="3F9794DF">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比选评审小组将依照本比选文件相关要求，对照比选申请文件的应答进行比较，并对各比选申请文件的</w:t>
      </w:r>
      <w:r>
        <w:rPr>
          <w:rFonts w:hint="eastAsia" w:ascii="宋体" w:hAnsi="宋体" w:eastAsia="宋体"/>
          <w:sz w:val="24"/>
          <w:szCs w:val="24"/>
          <w:lang w:val="en-US" w:eastAsia="zh-CN"/>
        </w:rPr>
        <w:t>资信</w:t>
      </w:r>
      <w:r>
        <w:rPr>
          <w:rFonts w:hint="eastAsia" w:ascii="宋体" w:hAnsi="宋体" w:eastAsia="宋体"/>
          <w:sz w:val="24"/>
          <w:szCs w:val="24"/>
        </w:rPr>
        <w:t>、商务内容进行评审打分。</w:t>
      </w:r>
    </w:p>
    <w:p w14:paraId="04823A7D">
      <w:pPr>
        <w:spacing w:line="480" w:lineRule="exact"/>
        <w:ind w:firstLine="480" w:firstLineChars="200"/>
        <w:rPr>
          <w:rFonts w:ascii="宋体" w:hAnsi="宋体" w:eastAsia="宋体"/>
          <w:sz w:val="24"/>
          <w:szCs w:val="24"/>
        </w:rPr>
      </w:pPr>
      <w:r>
        <w:rPr>
          <w:rFonts w:hint="eastAsia" w:ascii="宋体" w:hAnsi="宋体" w:eastAsia="宋体"/>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sz w:val="24"/>
          <w:szCs w:val="24"/>
        </w:rPr>
      </w:pPr>
      <w:r>
        <w:rPr>
          <w:rFonts w:hint="eastAsia" w:ascii="宋体" w:hAnsi="宋体" w:eastAsia="宋体"/>
          <w:sz w:val="24"/>
          <w:szCs w:val="24"/>
        </w:rPr>
        <w:t>2.4总分=技术得分+价格得分。各项指标的分数计算四舍五入，取小数点后两位。计算比选申请人评分，并按照总分由高到低的顺序提出</w:t>
      </w:r>
      <w:r>
        <w:rPr>
          <w:rFonts w:hint="eastAsia" w:ascii="宋体" w:hAnsi="宋体" w:eastAsia="宋体"/>
          <w:b/>
          <w:bCs/>
          <w:sz w:val="24"/>
          <w:szCs w:val="24"/>
          <w:u w:val="single"/>
        </w:rPr>
        <w:t>3名中选候选人（具体同比选申请须知前附表内容进行填写）</w:t>
      </w:r>
      <w:r>
        <w:rPr>
          <w:rFonts w:hint="eastAsia" w:ascii="宋体" w:hAnsi="宋体" w:eastAsia="宋体"/>
          <w:sz w:val="24"/>
          <w:szCs w:val="24"/>
        </w:rPr>
        <w:t>，并编写评审报告。</w:t>
      </w:r>
    </w:p>
    <w:p w14:paraId="7C3795FD">
      <w:pPr>
        <w:spacing w:line="480" w:lineRule="exact"/>
        <w:ind w:firstLine="480" w:firstLineChars="200"/>
        <w:rPr>
          <w:rFonts w:ascii="宋体" w:hAnsi="宋体" w:eastAsia="宋体"/>
          <w:sz w:val="24"/>
          <w:szCs w:val="24"/>
        </w:rPr>
      </w:pPr>
      <w:r>
        <w:rPr>
          <w:rFonts w:hint="eastAsia" w:ascii="宋体" w:hAnsi="宋体" w:eastAsia="宋体"/>
          <w:sz w:val="24"/>
          <w:szCs w:val="24"/>
        </w:rPr>
        <w:t>三、评审流程</w:t>
      </w:r>
    </w:p>
    <w:p w14:paraId="63EA342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r>
        <w:rPr>
          <w:rFonts w:hint="eastAsia" w:ascii="宋体" w:hAnsi="宋体" w:eastAsia="宋体"/>
          <w:b/>
          <w:bCs/>
          <w:sz w:val="24"/>
          <w:szCs w:val="24"/>
        </w:rPr>
        <w:t>资格审查</w:t>
      </w:r>
    </w:p>
    <w:p w14:paraId="011698C4">
      <w:pPr>
        <w:spacing w:line="480" w:lineRule="exact"/>
        <w:ind w:firstLine="480" w:firstLineChars="200"/>
        <w:rPr>
          <w:rFonts w:ascii="宋体" w:hAnsi="宋体" w:eastAsia="宋体"/>
          <w:sz w:val="24"/>
          <w:szCs w:val="24"/>
        </w:rPr>
      </w:pPr>
      <w:r>
        <w:rPr>
          <w:rFonts w:hint="eastAsia" w:ascii="宋体" w:hAnsi="宋体" w:eastAsia="宋体"/>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sz w:val="24"/>
          <w:szCs w:val="24"/>
        </w:rPr>
      </w:pPr>
      <w:r>
        <w:rPr>
          <w:rFonts w:hint="eastAsia" w:ascii="宋体" w:hAnsi="宋体" w:eastAsia="宋体"/>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3.2详细评审</w:t>
      </w:r>
    </w:p>
    <w:p w14:paraId="67CEA93C">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sz w:val="24"/>
          <w:szCs w:val="24"/>
        </w:rPr>
        <w:t>比选评审小组对通过资格审查合格的比选申请文件的</w:t>
      </w:r>
      <w:r>
        <w:rPr>
          <w:rFonts w:hint="eastAsia" w:ascii="宋体" w:hAnsi="宋体" w:eastAsia="宋体"/>
          <w:sz w:val="24"/>
          <w:szCs w:val="24"/>
          <w:lang w:val="en-US" w:eastAsia="zh-CN"/>
        </w:rPr>
        <w:t>资信</w:t>
      </w:r>
      <w:r>
        <w:rPr>
          <w:rFonts w:hint="eastAsia" w:ascii="宋体" w:hAnsi="宋体" w:eastAsia="宋体"/>
          <w:sz w:val="24"/>
          <w:szCs w:val="24"/>
        </w:rPr>
        <w:t>文件进行详细评审。</w:t>
      </w:r>
    </w:p>
    <w:p w14:paraId="6ED50DD1">
      <w:pPr>
        <w:spacing w:line="480" w:lineRule="exact"/>
        <w:ind w:firstLine="480" w:firstLineChars="200"/>
        <w:rPr>
          <w:rFonts w:ascii="宋体" w:hAnsi="宋体" w:eastAsia="宋体"/>
          <w:sz w:val="24"/>
          <w:szCs w:val="24"/>
        </w:rPr>
      </w:pPr>
      <w:r>
        <w:rPr>
          <w:rFonts w:hint="eastAsia" w:ascii="宋体" w:hAnsi="宋体" w:eastAsia="宋体"/>
          <w:sz w:val="24"/>
          <w:szCs w:val="24"/>
        </w:rPr>
        <w:t>3.2.2比选评审小组按照《</w:t>
      </w:r>
      <w:r>
        <w:rPr>
          <w:rFonts w:hint="eastAsia" w:ascii="宋体" w:hAnsi="宋体" w:eastAsia="宋体"/>
          <w:sz w:val="24"/>
          <w:szCs w:val="24"/>
          <w:lang w:val="en-US" w:eastAsia="zh-CN"/>
        </w:rPr>
        <w:t>资信</w:t>
      </w:r>
      <w:r>
        <w:rPr>
          <w:rFonts w:hint="eastAsia" w:ascii="宋体" w:hAnsi="宋体" w:eastAsia="宋体"/>
          <w:sz w:val="24"/>
          <w:szCs w:val="24"/>
        </w:rPr>
        <w:t>文件评分表》规定的量化因素和分值，对各比选申请人</w:t>
      </w:r>
      <w:r>
        <w:rPr>
          <w:rFonts w:hint="eastAsia" w:ascii="宋体" w:hAnsi="宋体" w:eastAsia="宋体"/>
          <w:sz w:val="24"/>
          <w:szCs w:val="24"/>
          <w:lang w:val="en-US" w:eastAsia="zh-CN"/>
        </w:rPr>
        <w:t>资信</w:t>
      </w:r>
      <w:r>
        <w:rPr>
          <w:rFonts w:hint="eastAsia" w:ascii="宋体" w:hAnsi="宋体" w:eastAsia="宋体"/>
          <w:sz w:val="24"/>
          <w:szCs w:val="24"/>
        </w:rPr>
        <w:t>部分评审。各评委对比选申请人的各评分项评分累加后得出各评委的总得分。比选申请人</w:t>
      </w:r>
      <w:r>
        <w:rPr>
          <w:rFonts w:hint="eastAsia" w:ascii="宋体" w:hAnsi="宋体" w:eastAsia="宋体"/>
          <w:sz w:val="24"/>
          <w:szCs w:val="24"/>
          <w:lang w:val="en-US" w:eastAsia="zh-CN"/>
        </w:rPr>
        <w:t>资信</w:t>
      </w:r>
      <w:r>
        <w:rPr>
          <w:rFonts w:hint="eastAsia" w:ascii="宋体" w:hAnsi="宋体" w:eastAsia="宋体"/>
          <w:sz w:val="24"/>
          <w:szCs w:val="24"/>
        </w:rPr>
        <w:t>得分取所有评委总得分的算术平均值（得分计算四舍五入，取小数点后两位）。</w:t>
      </w:r>
    </w:p>
    <w:p w14:paraId="7D487370">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3价格评审</w:t>
      </w:r>
    </w:p>
    <w:p w14:paraId="68F2C911">
      <w:pPr>
        <w:spacing w:line="480" w:lineRule="exact"/>
        <w:ind w:firstLine="480" w:firstLineChars="200"/>
        <w:rPr>
          <w:rFonts w:ascii="宋体" w:hAnsi="宋体" w:eastAsia="宋体"/>
          <w:sz w:val="24"/>
          <w:szCs w:val="24"/>
        </w:rPr>
      </w:pPr>
      <w:r>
        <w:rPr>
          <w:rFonts w:hint="eastAsia" w:ascii="宋体" w:hAnsi="宋体" w:eastAsia="宋体"/>
          <w:sz w:val="24"/>
          <w:szCs w:val="24"/>
        </w:rPr>
        <w:t>3.2.3.1比选评审小组对通过初步评审的比选申请文件的报价文件进行详细评审。</w:t>
      </w:r>
    </w:p>
    <w:p w14:paraId="0A8859EF">
      <w:pPr>
        <w:spacing w:line="480" w:lineRule="exact"/>
        <w:ind w:firstLine="480" w:firstLineChars="200"/>
        <w:rPr>
          <w:rFonts w:ascii="宋体" w:hAnsi="宋体" w:eastAsia="宋体"/>
          <w:sz w:val="24"/>
          <w:szCs w:val="24"/>
        </w:rPr>
      </w:pPr>
      <w:r>
        <w:rPr>
          <w:rFonts w:hint="eastAsia" w:ascii="宋体" w:hAnsi="宋体" w:eastAsia="宋体"/>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sz w:val="24"/>
          <w:szCs w:val="24"/>
        </w:rPr>
      </w:pPr>
      <w:r>
        <w:rPr>
          <w:rFonts w:hint="eastAsia" w:ascii="宋体" w:hAnsi="宋体" w:eastAsia="宋体"/>
          <w:sz w:val="24"/>
          <w:szCs w:val="24"/>
        </w:rPr>
        <w:t>（3）若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比选申请报价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sz w:val="24"/>
          <w:szCs w:val="24"/>
        </w:rPr>
      </w:pPr>
      <w:r>
        <w:rPr>
          <w:rFonts w:hint="eastAsia" w:ascii="宋体" w:hAnsi="宋体" w:eastAsia="宋体"/>
          <w:sz w:val="24"/>
          <w:szCs w:val="24"/>
        </w:rPr>
        <w:t>3.2.3.3出现下列情况的比选申请文件将予以否决：</w:t>
      </w:r>
    </w:p>
    <w:p w14:paraId="5E2EEF18">
      <w:pPr>
        <w:spacing w:line="480" w:lineRule="exact"/>
        <w:ind w:firstLine="480" w:firstLineChars="200"/>
        <w:rPr>
          <w:rFonts w:ascii="宋体" w:hAnsi="宋体" w:eastAsia="宋体"/>
          <w:sz w:val="24"/>
          <w:szCs w:val="24"/>
        </w:rPr>
      </w:pPr>
      <w:r>
        <w:rPr>
          <w:rFonts w:hint="eastAsia" w:ascii="宋体" w:hAnsi="宋体" w:eastAsia="宋体"/>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（2）</w:t>
      </w:r>
      <w:bookmarkStart w:id="815" w:name="_Hlk36511445"/>
      <w:r>
        <w:rPr>
          <w:rFonts w:hint="eastAsia" w:ascii="宋体" w:hAnsi="宋体" w:eastAsia="宋体"/>
          <w:sz w:val="24"/>
          <w:szCs w:val="24"/>
        </w:rPr>
        <w:t>比选申请报价清单如有漏项的比选申请文件，将予以否决。</w:t>
      </w:r>
      <w:bookmarkEnd w:id="815"/>
    </w:p>
    <w:p w14:paraId="734878D6">
      <w:pPr>
        <w:pStyle w:val="6"/>
        <w:rPr>
          <w:rFonts w:hint="default" w:eastAsia="宋体"/>
          <w:lang w:val="en-US" w:eastAsia="zh-CN"/>
        </w:rPr>
      </w:pPr>
      <w:r>
        <w:rPr>
          <w:rFonts w:hint="eastAsia" w:ascii="宋体" w:hAnsi="宋体"/>
          <w:sz w:val="24"/>
          <w:szCs w:val="24"/>
          <w:lang w:val="en-US" w:eastAsia="zh-CN"/>
        </w:rPr>
        <w:t xml:space="preserve">    </w:t>
      </w:r>
      <w:r>
        <w:rPr>
          <w:rFonts w:hint="eastAsia" w:ascii="宋体" w:hAnsi="宋体"/>
          <w:sz w:val="24"/>
          <w:szCs w:val="24"/>
          <w:highlight w:val="none"/>
          <w:lang w:val="en-US" w:eastAsia="zh-CN"/>
        </w:rPr>
        <w:t>（3）任何一项评审资料缺失的。</w:t>
      </w:r>
    </w:p>
    <w:p w14:paraId="55408864">
      <w:pPr>
        <w:spacing w:line="480" w:lineRule="exact"/>
        <w:ind w:firstLine="480" w:firstLineChars="200"/>
        <w:rPr>
          <w:rFonts w:ascii="宋体" w:hAnsi="宋体" w:eastAsia="宋体"/>
          <w:sz w:val="24"/>
          <w:szCs w:val="24"/>
        </w:rPr>
      </w:pPr>
      <w:r>
        <w:rPr>
          <w:rFonts w:hint="eastAsia" w:ascii="宋体" w:hAnsi="宋体" w:eastAsia="宋体"/>
          <w:sz w:val="24"/>
          <w:szCs w:val="24"/>
        </w:rPr>
        <w:t>3.2.3.4比选评审小组按照《比选报价评分表》规定的量化因素和分值，对各比选申请人的比选申请报价评审，并计算出价格得分（得分计算四舍五入，取小数点后两位）。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澄清或补正</w:t>
      </w:r>
    </w:p>
    <w:p w14:paraId="765DE6B6">
      <w:pPr>
        <w:spacing w:line="480" w:lineRule="exact"/>
        <w:ind w:firstLine="480" w:firstLineChars="200"/>
        <w:rPr>
          <w:rFonts w:ascii="宋体" w:hAnsi="宋体" w:eastAsia="宋体"/>
          <w:sz w:val="24"/>
          <w:szCs w:val="24"/>
        </w:rPr>
      </w:pPr>
      <w:r>
        <w:rPr>
          <w:rFonts w:hint="eastAsia" w:ascii="宋体" w:hAnsi="宋体" w:eastAsia="宋体"/>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sz w:val="24"/>
          <w:szCs w:val="24"/>
        </w:rPr>
      </w:pPr>
      <w:r>
        <w:rPr>
          <w:rFonts w:hint="eastAsia" w:ascii="宋体" w:hAnsi="宋体" w:eastAsia="宋体"/>
          <w:sz w:val="24"/>
          <w:szCs w:val="24"/>
        </w:rPr>
        <w:t>3.3.2</w:t>
      </w:r>
      <w:r>
        <w:rPr>
          <w:rFonts w:ascii="宋体" w:hAnsi="宋体" w:eastAsia="宋体"/>
          <w:sz w:val="24"/>
          <w:szCs w:val="24"/>
        </w:rPr>
        <w:t>比选申请人须以书面形式提供澄清或补正文件，经</w:t>
      </w:r>
      <w:r>
        <w:rPr>
          <w:rFonts w:hint="eastAsia" w:ascii="宋体" w:hAnsi="宋体" w:eastAsia="宋体"/>
          <w:sz w:val="24"/>
          <w:szCs w:val="24"/>
        </w:rPr>
        <w:t>比选评审小组</w:t>
      </w:r>
      <w:r>
        <w:rPr>
          <w:rFonts w:ascii="宋体" w:hAnsi="宋体" w:eastAsia="宋体"/>
          <w:sz w:val="24"/>
          <w:szCs w:val="24"/>
        </w:rPr>
        <w:t>确认方可作为比选申请文件的组成部分。</w:t>
      </w:r>
    </w:p>
    <w:p w14:paraId="0FDABF50">
      <w:pPr>
        <w:spacing w:line="480" w:lineRule="exact"/>
        <w:ind w:firstLine="480" w:firstLineChars="200"/>
        <w:rPr>
          <w:rFonts w:ascii="宋体" w:hAnsi="宋体" w:eastAsia="宋体"/>
          <w:sz w:val="24"/>
          <w:szCs w:val="24"/>
        </w:rPr>
      </w:pPr>
      <w:r>
        <w:rPr>
          <w:rFonts w:hint="eastAsia" w:ascii="宋体" w:hAnsi="宋体" w:eastAsia="宋体"/>
          <w:sz w:val="24"/>
          <w:szCs w:val="24"/>
        </w:rPr>
        <w:t>3.3.3</w:t>
      </w:r>
      <w:r>
        <w:rPr>
          <w:rFonts w:ascii="宋体" w:hAnsi="宋体" w:eastAsia="宋体"/>
          <w:sz w:val="24"/>
          <w:szCs w:val="24"/>
        </w:rPr>
        <w:t>比选申请人能够合理说明或提供有效证明资料的，</w:t>
      </w:r>
      <w:r>
        <w:rPr>
          <w:rFonts w:hint="eastAsia" w:ascii="宋体" w:hAnsi="宋体" w:eastAsia="宋体"/>
          <w:sz w:val="24"/>
          <w:szCs w:val="24"/>
        </w:rPr>
        <w:t>比选评审小组</w:t>
      </w:r>
      <w:r>
        <w:rPr>
          <w:rFonts w:ascii="宋体" w:hAnsi="宋体" w:eastAsia="宋体"/>
          <w:sz w:val="24"/>
          <w:szCs w:val="24"/>
        </w:rPr>
        <w:t>将予以采信，取消该疑问事项及对应的比选申请报价偏差；不能合理说明或者不能提供有效证明材料的，</w:t>
      </w:r>
      <w:r>
        <w:rPr>
          <w:rFonts w:hint="eastAsia" w:ascii="宋体" w:hAnsi="宋体" w:eastAsia="宋体"/>
          <w:sz w:val="24"/>
          <w:szCs w:val="24"/>
        </w:rPr>
        <w:t>比选评审小组</w:t>
      </w:r>
      <w:r>
        <w:rPr>
          <w:rFonts w:ascii="宋体" w:hAnsi="宋体" w:eastAsia="宋体"/>
          <w:sz w:val="24"/>
          <w:szCs w:val="24"/>
        </w:rPr>
        <w:t>将不予采信，该疑问事项及对应的比选申请报价偏差将确认成立，但其比选申请总价保持不变。</w:t>
      </w:r>
    </w:p>
    <w:p w14:paraId="2A80D070">
      <w:pPr>
        <w:spacing w:line="480" w:lineRule="exact"/>
        <w:ind w:firstLine="480" w:firstLineChars="200"/>
        <w:rPr>
          <w:rFonts w:ascii="宋体" w:hAnsi="宋体" w:eastAsia="宋体"/>
          <w:sz w:val="24"/>
          <w:szCs w:val="24"/>
        </w:rPr>
      </w:pPr>
      <w:r>
        <w:rPr>
          <w:rFonts w:hint="eastAsia" w:ascii="宋体" w:hAnsi="宋体" w:eastAsia="宋体"/>
          <w:sz w:val="24"/>
          <w:szCs w:val="24"/>
        </w:rPr>
        <w:t>3.3.4</w:t>
      </w:r>
      <w:r>
        <w:rPr>
          <w:rFonts w:ascii="宋体" w:hAnsi="宋体" w:eastAsia="宋体"/>
          <w:sz w:val="24"/>
          <w:szCs w:val="24"/>
        </w:rPr>
        <w:t>如果</w:t>
      </w:r>
      <w:r>
        <w:rPr>
          <w:rFonts w:hint="eastAsia" w:ascii="宋体" w:hAnsi="宋体" w:eastAsia="宋体"/>
          <w:sz w:val="24"/>
          <w:szCs w:val="24"/>
        </w:rPr>
        <w:t>比选评审小组</w:t>
      </w:r>
      <w:r>
        <w:rPr>
          <w:rFonts w:ascii="宋体" w:hAnsi="宋体" w:eastAsia="宋体"/>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sz w:val="24"/>
          <w:szCs w:val="24"/>
        </w:rPr>
        <w:t>比选评审小组</w:t>
      </w:r>
      <w:r>
        <w:rPr>
          <w:rFonts w:ascii="宋体" w:hAnsi="宋体" w:eastAsia="宋体"/>
          <w:sz w:val="24"/>
          <w:szCs w:val="24"/>
        </w:rPr>
        <w:t>认为全部质疑得到解答。</w:t>
      </w:r>
    </w:p>
    <w:p w14:paraId="5676AEA4">
      <w:pPr>
        <w:spacing w:line="480" w:lineRule="exact"/>
        <w:ind w:firstLine="480" w:firstLineChars="200"/>
        <w:rPr>
          <w:rFonts w:ascii="宋体" w:hAnsi="宋体" w:eastAsia="宋体"/>
          <w:sz w:val="24"/>
          <w:szCs w:val="24"/>
        </w:rPr>
      </w:pPr>
      <w:r>
        <w:rPr>
          <w:rFonts w:hint="eastAsia" w:ascii="宋体" w:hAnsi="宋体" w:eastAsia="宋体"/>
          <w:sz w:val="24"/>
          <w:szCs w:val="24"/>
        </w:rPr>
        <w:t>3.3.5</w:t>
      </w:r>
      <w:r>
        <w:rPr>
          <w:rFonts w:ascii="宋体" w:hAnsi="宋体" w:eastAsia="宋体"/>
          <w:sz w:val="24"/>
          <w:szCs w:val="24"/>
        </w:rPr>
        <w:t>比选申请人不得借澄清或补正问题的机会，与比选人及</w:t>
      </w:r>
      <w:r>
        <w:rPr>
          <w:rFonts w:hint="eastAsia" w:ascii="宋体" w:hAnsi="宋体" w:eastAsia="宋体"/>
          <w:sz w:val="24"/>
          <w:szCs w:val="24"/>
        </w:rPr>
        <w:t>比选评审小组</w:t>
      </w:r>
      <w:r>
        <w:rPr>
          <w:rFonts w:ascii="宋体" w:hAnsi="宋体" w:eastAsia="宋体"/>
          <w:sz w:val="24"/>
          <w:szCs w:val="24"/>
        </w:rPr>
        <w:t>私下接触或对原比选申请价和内容提出修改，但在评审中进行的初步修正，则不在此列。比选人不接受比选申请人主动提出的对比选申请文件的澄清或补正。</w:t>
      </w:r>
    </w:p>
    <w:p w14:paraId="67E9E03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评审报告</w:t>
      </w:r>
    </w:p>
    <w:p w14:paraId="309AA4F3">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sz w:val="24"/>
          <w:szCs w:val="24"/>
        </w:rPr>
        <w:t>。</w:t>
      </w:r>
    </w:p>
    <w:p w14:paraId="29696E2B">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）比选评审小组根据</w:t>
      </w:r>
      <w:r>
        <w:rPr>
          <w:rFonts w:hint="eastAsia" w:ascii="宋体" w:hAnsi="宋体" w:eastAsia="宋体"/>
          <w:sz w:val="24"/>
          <w:szCs w:val="24"/>
          <w:u w:val="single"/>
        </w:rPr>
        <w:t>总分</w:t>
      </w:r>
      <w:r>
        <w:rPr>
          <w:rFonts w:hint="eastAsia" w:ascii="宋体" w:hAnsi="宋体" w:eastAsia="宋体"/>
          <w:sz w:val="24"/>
          <w:szCs w:val="24"/>
        </w:rPr>
        <w:t>由高到低顺序推荐中选候选人。</w:t>
      </w:r>
    </w:p>
    <w:p w14:paraId="6AF8B55E">
      <w:pPr>
        <w:spacing w:line="480" w:lineRule="exact"/>
        <w:ind w:firstLine="480" w:firstLineChars="200"/>
        <w:rPr>
          <w:rFonts w:ascii="宋体" w:hAnsi="宋体" w:eastAsia="宋体"/>
          <w:sz w:val="24"/>
          <w:szCs w:val="24"/>
        </w:rPr>
      </w:pPr>
      <w:r>
        <w:rPr>
          <w:rFonts w:ascii="Calibri" w:hAnsi="Calibri" w:eastAsia="宋体" w:cs="Calibri"/>
          <w:sz w:val="24"/>
          <w:szCs w:val="24"/>
          <w:highlight w:val="yellow"/>
        </w:rPr>
        <w:t>①</w:t>
      </w:r>
      <w:r>
        <w:rPr>
          <w:rFonts w:hint="eastAsia" w:ascii="宋体" w:hAnsi="宋体" w:eastAsia="宋体"/>
          <w:sz w:val="24"/>
          <w:szCs w:val="24"/>
          <w:highlight w:val="yellow"/>
          <w:u w:val="single"/>
        </w:rPr>
        <w:t>二次报价须知</w:t>
      </w:r>
      <w:r>
        <w:rPr>
          <w:rFonts w:hint="eastAsia" w:ascii="宋体" w:hAnsi="宋体" w:eastAsia="宋体"/>
          <w:sz w:val="24"/>
          <w:szCs w:val="24"/>
          <w:highlight w:val="yellow"/>
        </w:rPr>
        <w:t>：</w:t>
      </w:r>
      <w:r>
        <w:rPr>
          <w:rFonts w:hint="eastAsia" w:ascii="宋体" w:hAnsi="宋体" w:eastAsia="宋体"/>
          <w:sz w:val="24"/>
          <w:szCs w:val="24"/>
        </w:rPr>
        <w:t>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w:t>
      </w:r>
      <w:r>
        <w:rPr>
          <w:rFonts w:hint="eastAsia" w:ascii="宋体" w:hAnsi="宋体" w:eastAsia="宋体"/>
          <w:b/>
          <w:bCs/>
          <w:sz w:val="24"/>
          <w:szCs w:val="24"/>
          <w:u w:val="single"/>
        </w:rPr>
        <w:t>详细评审期间</w:t>
      </w:r>
      <w:r>
        <w:rPr>
          <w:rFonts w:hint="eastAsia" w:ascii="宋体" w:hAnsi="宋体" w:eastAsia="宋体"/>
          <w:sz w:val="24"/>
          <w:szCs w:val="24"/>
        </w:rPr>
        <w:t>的规定时间内做最终报价确认。</w:t>
      </w:r>
    </w:p>
    <w:p w14:paraId="0DA3E200">
      <w:pPr>
        <w:spacing w:line="480" w:lineRule="exact"/>
        <w:ind w:firstLine="480" w:firstLineChars="200"/>
        <w:rPr>
          <w:rFonts w:ascii="宋体" w:hAnsi="宋体" w:eastAsia="宋体"/>
          <w:sz w:val="24"/>
          <w:szCs w:val="24"/>
        </w:rPr>
      </w:pPr>
      <w:r>
        <w:rPr>
          <w:rFonts w:ascii="Calibri" w:hAnsi="Calibri" w:eastAsia="宋体" w:cs="Calibri"/>
          <w:sz w:val="24"/>
          <w:szCs w:val="24"/>
        </w:rPr>
        <w:t>②</w:t>
      </w:r>
      <w:r>
        <w:rPr>
          <w:rFonts w:hint="eastAsia" w:ascii="宋体" w:hAnsi="宋体" w:eastAsia="宋体"/>
          <w:sz w:val="24"/>
          <w:szCs w:val="24"/>
        </w:rPr>
        <w:t>如</w:t>
      </w:r>
      <w:r>
        <w:rPr>
          <w:rFonts w:hint="eastAsia" w:ascii="宋体" w:hAnsi="宋体" w:eastAsia="宋体"/>
          <w:sz w:val="24"/>
          <w:szCs w:val="24"/>
          <w:u w:val="single"/>
        </w:rPr>
        <w:t>总分</w:t>
      </w:r>
      <w:r>
        <w:rPr>
          <w:rFonts w:hint="eastAsia" w:ascii="宋体" w:hAnsi="宋体" w:eastAsia="宋体"/>
          <w:sz w:val="24"/>
          <w:szCs w:val="24"/>
        </w:rPr>
        <w:t>相同时，则</w:t>
      </w:r>
      <w:r>
        <w:rPr>
          <w:rFonts w:hint="eastAsia" w:ascii="宋体" w:hAnsi="宋体" w:eastAsia="宋体"/>
          <w:sz w:val="24"/>
          <w:szCs w:val="24"/>
          <w:u w:val="single"/>
        </w:rPr>
        <w:t>价格得</w:t>
      </w:r>
      <w:r>
        <w:rPr>
          <w:rFonts w:hint="eastAsia" w:ascii="宋体" w:hAnsi="宋体" w:eastAsia="宋体"/>
          <w:sz w:val="24"/>
          <w:szCs w:val="24"/>
        </w:rPr>
        <w:t>分较高的排名靠前；如</w:t>
      </w:r>
      <w:r>
        <w:rPr>
          <w:rFonts w:hint="eastAsia" w:ascii="宋体" w:hAnsi="宋体" w:eastAsia="宋体"/>
          <w:sz w:val="24"/>
          <w:szCs w:val="24"/>
          <w:u w:val="single"/>
        </w:rPr>
        <w:t>价格得分</w:t>
      </w:r>
      <w:r>
        <w:rPr>
          <w:rFonts w:hint="eastAsia" w:ascii="宋体" w:hAnsi="宋体" w:eastAsia="宋体"/>
          <w:sz w:val="24"/>
          <w:szCs w:val="24"/>
        </w:rPr>
        <w:t>也相同，则第一次报价较低的排名靠前；如</w:t>
      </w:r>
      <w:r>
        <w:rPr>
          <w:rFonts w:hint="eastAsia" w:ascii="宋体" w:hAnsi="宋体" w:eastAsia="宋体"/>
          <w:sz w:val="24"/>
          <w:szCs w:val="24"/>
          <w:u w:val="single"/>
        </w:rPr>
        <w:t>第一报价</w:t>
      </w:r>
      <w:r>
        <w:rPr>
          <w:rFonts w:hint="eastAsia" w:ascii="宋体" w:hAnsi="宋体" w:eastAsia="宋体"/>
          <w:sz w:val="24"/>
          <w:szCs w:val="24"/>
        </w:rPr>
        <w:t>也相同，则</w:t>
      </w:r>
      <w:r>
        <w:rPr>
          <w:rFonts w:hint="eastAsia" w:ascii="宋体" w:hAnsi="宋体" w:eastAsia="宋体"/>
          <w:sz w:val="24"/>
          <w:szCs w:val="24"/>
          <w:u w:val="single"/>
        </w:rPr>
        <w:t>技术得分</w:t>
      </w:r>
      <w:r>
        <w:rPr>
          <w:rFonts w:hint="eastAsia" w:ascii="宋体" w:hAnsi="宋体" w:eastAsia="宋体"/>
          <w:sz w:val="24"/>
          <w:szCs w:val="24"/>
        </w:rPr>
        <w:t>较高的排名靠前；如</w:t>
      </w:r>
      <w:r>
        <w:rPr>
          <w:rFonts w:hint="eastAsia" w:ascii="宋体" w:hAnsi="宋体" w:eastAsia="宋体"/>
          <w:sz w:val="24"/>
          <w:szCs w:val="24"/>
          <w:u w:val="single"/>
        </w:rPr>
        <w:t>技术得分</w:t>
      </w:r>
      <w:r>
        <w:rPr>
          <w:rFonts w:hint="eastAsia" w:ascii="宋体" w:hAnsi="宋体" w:eastAsia="宋体"/>
          <w:sz w:val="24"/>
          <w:szCs w:val="24"/>
        </w:rPr>
        <w:t>也相同，</w:t>
      </w:r>
      <w:bookmarkStart w:id="816" w:name="_Hlk31877730"/>
      <w:r>
        <w:rPr>
          <w:rFonts w:hint="eastAsia" w:ascii="宋体" w:hAnsi="宋体" w:eastAsia="宋体"/>
          <w:sz w:val="24"/>
          <w:szCs w:val="24"/>
        </w:rPr>
        <w:t>则由比选评审小组采用记名投票方式确定</w:t>
      </w:r>
      <w:bookmarkEnd w:id="816"/>
      <w:r>
        <w:rPr>
          <w:rFonts w:hint="eastAsia" w:ascii="宋体" w:hAnsi="宋体" w:eastAsia="宋体"/>
          <w:sz w:val="24"/>
          <w:szCs w:val="24"/>
        </w:rPr>
        <w:t>其排名顺序。</w:t>
      </w:r>
    </w:p>
    <w:p w14:paraId="3C2A03E6">
      <w:pPr>
        <w:spacing w:line="480" w:lineRule="exact"/>
        <w:ind w:firstLine="480" w:firstLineChars="200"/>
        <w:rPr>
          <w:rFonts w:ascii="宋体" w:hAnsi="宋体" w:eastAsia="宋体"/>
          <w:sz w:val="24"/>
          <w:szCs w:val="24"/>
        </w:rPr>
      </w:pPr>
      <w:r>
        <w:rPr>
          <w:rFonts w:hint="eastAsia" w:ascii="宋体" w:hAnsi="宋体" w:eastAsia="宋体"/>
          <w:sz w:val="24"/>
          <w:szCs w:val="24"/>
        </w:rPr>
        <w:t>3.5</w:t>
      </w:r>
      <w:r>
        <w:rPr>
          <w:rFonts w:ascii="宋体" w:hAnsi="宋体" w:eastAsia="宋体"/>
          <w:sz w:val="24"/>
          <w:szCs w:val="24"/>
        </w:rPr>
        <w:t>否决比选申请条件</w:t>
      </w:r>
    </w:p>
    <w:p w14:paraId="247EB119">
      <w:pPr>
        <w:spacing w:line="480" w:lineRule="exact"/>
        <w:ind w:firstLine="480" w:firstLineChars="200"/>
        <w:rPr>
          <w:rFonts w:ascii="宋体" w:hAnsi="宋体" w:eastAsia="宋体"/>
          <w:sz w:val="24"/>
          <w:szCs w:val="24"/>
        </w:rPr>
      </w:pPr>
      <w:r>
        <w:rPr>
          <w:rFonts w:ascii="宋体" w:hAnsi="宋体" w:eastAsia="宋体"/>
          <w:sz w:val="24"/>
          <w:szCs w:val="24"/>
        </w:rPr>
        <w:t>比选申请文件有下列情形之一的，</w:t>
      </w:r>
      <w:r>
        <w:rPr>
          <w:rFonts w:hint="eastAsia" w:ascii="宋体" w:hAnsi="宋体" w:eastAsia="宋体"/>
          <w:sz w:val="24"/>
          <w:szCs w:val="24"/>
        </w:rPr>
        <w:t>比选评审小组</w:t>
      </w:r>
      <w:r>
        <w:rPr>
          <w:rFonts w:ascii="宋体" w:hAnsi="宋体" w:eastAsia="宋体"/>
          <w:sz w:val="24"/>
          <w:szCs w:val="24"/>
        </w:rPr>
        <w:t>应按否决比选申请处理：</w:t>
      </w:r>
    </w:p>
    <w:p w14:paraId="1426E59B">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（1）不符合附表一《资格审查表》规定的；</w:t>
      </w:r>
    </w:p>
    <w:p w14:paraId="3F7C0336">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（3）在比选申请文件中有虚假文件和/或资料的；</w:t>
      </w:r>
    </w:p>
    <w:p w14:paraId="5B6EA250">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（4）比选申请文件中附有比选人不能接受的条件；</w:t>
      </w:r>
    </w:p>
    <w:p w14:paraId="3C81E69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（5）比选申请文件实质上不响应比选文件的要求的；</w:t>
      </w:r>
    </w:p>
    <w:p w14:paraId="37523A8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（7）比选申请人扰乱会场秩序，经劝阻仍然无理取闹的；</w:t>
      </w:r>
    </w:p>
    <w:p w14:paraId="5828101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sz w:val="24"/>
          <w:szCs w:val="24"/>
        </w:rPr>
      </w:pPr>
      <w:r>
        <w:rPr>
          <w:rFonts w:hint="eastAsia" w:ascii="宋体" w:hAnsi="宋体" w:eastAsia="宋体"/>
          <w:b/>
          <w:bCs/>
          <w:sz w:val="24"/>
          <w:szCs w:val="24"/>
        </w:rPr>
        <w:t>（9）比选申请人以他人的名义比选申请、串通比选申请、以行贿手段谋取中选或者以其他弄虚作假方式比选申请的</w:t>
      </w:r>
      <w:r>
        <w:rPr>
          <w:rFonts w:hint="eastAsia" w:ascii="宋体" w:hAnsi="宋体" w:eastAsia="宋体"/>
          <w:sz w:val="24"/>
          <w:szCs w:val="24"/>
        </w:rPr>
        <w:t>。</w:t>
      </w:r>
    </w:p>
    <w:p w14:paraId="4B11329C">
      <w:pPr>
        <w:spacing w:line="480" w:lineRule="exact"/>
        <w:ind w:firstLine="482" w:firstLineChars="200"/>
        <w:rPr>
          <w:rFonts w:ascii="宋体" w:hAnsi="宋体" w:eastAsia="宋体"/>
          <w:sz w:val="24"/>
          <w:szCs w:val="24"/>
        </w:rPr>
      </w:pPr>
      <w:r>
        <w:rPr>
          <w:rFonts w:hint="eastAsia" w:ascii="宋体" w:hAnsi="宋体" w:eastAsia="宋体"/>
          <w:b/>
          <w:bCs/>
          <w:sz w:val="24"/>
          <w:szCs w:val="24"/>
        </w:rPr>
        <w:t>（10）其他否决情形：</w:t>
      </w:r>
      <w:r>
        <w:rPr>
          <w:rFonts w:hint="eastAsia" w:ascii="宋体" w:hAnsi="宋体" w:eastAsia="宋体"/>
          <w:b/>
          <w:bCs/>
          <w:sz w:val="24"/>
          <w:szCs w:val="24"/>
          <w:u w:val="single"/>
        </w:rPr>
        <w:t xml:space="preserve">              。</w:t>
      </w:r>
    </w:p>
    <w:p w14:paraId="3E4AB600">
      <w:pPr>
        <w:spacing w:line="480" w:lineRule="exact"/>
        <w:ind w:firstLine="480" w:firstLineChars="200"/>
        <w:rPr>
          <w:rFonts w:ascii="宋体" w:hAnsi="宋体" w:eastAsia="宋体"/>
          <w:color w:val="auto"/>
          <w:sz w:val="24"/>
          <w:szCs w:val="24"/>
          <w:highlight w:val="none"/>
        </w:rPr>
      </w:pPr>
    </w:p>
    <w:p w14:paraId="579BCA6A">
      <w:pPr>
        <w:rPr>
          <w:color w:val="auto"/>
          <w:szCs w:val="21"/>
          <w:highlight w:val="none"/>
        </w:rPr>
      </w:pPr>
      <w:r>
        <w:rPr>
          <w:rFonts w:hint="eastAsia"/>
          <w:color w:val="auto"/>
          <w:szCs w:val="21"/>
          <w:highlight w:val="none"/>
        </w:rPr>
        <w:br w:type="page"/>
      </w:r>
    </w:p>
    <w:p w14:paraId="6D7F4759">
      <w:pPr>
        <w:pStyle w:val="2"/>
        <w:widowControl/>
        <w:spacing w:after="0" w:line="360" w:lineRule="auto"/>
        <w:ind w:right="-57"/>
        <w:rPr>
          <w:color w:val="auto"/>
          <w:sz w:val="21"/>
          <w:szCs w:val="21"/>
          <w:highlight w:val="none"/>
        </w:rPr>
      </w:pPr>
      <w:r>
        <w:rPr>
          <w:color w:val="auto"/>
          <w:sz w:val="21"/>
          <w:szCs w:val="21"/>
          <w:highlight w:val="none"/>
        </w:rPr>
        <w:t>附表一 资格审查表</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4580F9A5">
      <w:pPr>
        <w:snapToGrid w:val="0"/>
        <w:rPr>
          <w:rFonts w:ascii="宋体" w:hAnsi="宋体"/>
          <w:b/>
          <w:sz w:val="20"/>
          <w:szCs w:val="21"/>
          <w:highlight w:val="yellow"/>
        </w:rPr>
      </w:pPr>
      <w:r>
        <w:rPr>
          <w:rFonts w:hint="eastAsia" w:ascii="宋体" w:hAnsi="宋体"/>
          <w:b/>
          <w:sz w:val="20"/>
          <w:szCs w:val="21"/>
          <w:highlight w:val="yellow"/>
        </w:rPr>
        <w:t>要求：</w:t>
      </w:r>
    </w:p>
    <w:p w14:paraId="72A5CB37">
      <w:pPr>
        <w:snapToGrid w:val="0"/>
        <w:rPr>
          <w:rFonts w:ascii="宋体" w:hAnsi="宋体"/>
          <w:b/>
          <w:sz w:val="20"/>
          <w:szCs w:val="21"/>
          <w:highlight w:val="yellow"/>
        </w:rPr>
      </w:pPr>
      <w:r>
        <w:rPr>
          <w:rFonts w:hint="eastAsia" w:ascii="宋体" w:hAnsi="宋体"/>
          <w:b/>
          <w:sz w:val="20"/>
          <w:szCs w:val="21"/>
          <w:highlight w:val="yellow"/>
        </w:rPr>
        <w:t>1.所有证明资料的复印件加盖公章，原件备查。</w:t>
      </w:r>
    </w:p>
    <w:p w14:paraId="5E2B170A">
      <w:pPr>
        <w:snapToGrid w:val="0"/>
        <w:rPr>
          <w:rFonts w:hint="default" w:ascii="宋体" w:hAnsi="宋体" w:eastAsiaTheme="minorEastAsia"/>
          <w:b/>
          <w:sz w:val="20"/>
          <w:szCs w:val="21"/>
          <w:highlight w:val="yellow"/>
          <w:lang w:val="en-US" w:eastAsia="zh-CN"/>
        </w:rPr>
      </w:pPr>
      <w:r>
        <w:rPr>
          <w:rFonts w:hint="eastAsia" w:ascii="宋体" w:hAnsi="宋体"/>
          <w:b/>
          <w:sz w:val="20"/>
          <w:szCs w:val="21"/>
          <w:highlight w:val="yellow"/>
        </w:rPr>
        <w:t>2.</w:t>
      </w:r>
      <w:r>
        <w:rPr>
          <w:rFonts w:hint="eastAsia" w:ascii="宋体" w:hAnsi="宋体"/>
          <w:b/>
          <w:sz w:val="20"/>
          <w:szCs w:val="21"/>
          <w:highlight w:val="yellow"/>
          <w:lang w:val="en-US" w:eastAsia="zh-CN"/>
        </w:rPr>
        <w:t>所有的资料必须提供，所提供的资料缺少任一项的</w:t>
      </w:r>
      <w:r>
        <w:rPr>
          <w:rFonts w:hint="eastAsia" w:ascii="宋体" w:hAnsi="宋体"/>
          <w:b/>
          <w:sz w:val="20"/>
          <w:szCs w:val="21"/>
          <w:highlight w:val="yellow"/>
        </w:rPr>
        <w:t>则</w:t>
      </w:r>
      <w:r>
        <w:rPr>
          <w:rFonts w:hint="eastAsia" w:ascii="宋体" w:hAnsi="宋体"/>
          <w:b/>
          <w:sz w:val="20"/>
          <w:szCs w:val="21"/>
          <w:highlight w:val="yellow"/>
          <w:lang w:val="en-US" w:eastAsia="zh-CN"/>
        </w:rPr>
        <w:t>为不合格</w:t>
      </w:r>
      <w:r>
        <w:rPr>
          <w:rFonts w:hint="eastAsia" w:ascii="宋体" w:hAnsi="宋体"/>
          <w:b/>
          <w:sz w:val="20"/>
          <w:szCs w:val="21"/>
          <w:highlight w:val="yellow"/>
        </w:rPr>
        <w:t>。</w:t>
      </w:r>
    </w:p>
    <w:p w14:paraId="3544EE3A">
      <w:pPr>
        <w:snapToGrid w:val="0"/>
        <w:rPr>
          <w:rFonts w:ascii="宋体" w:hAnsi="宋体"/>
          <w:b/>
          <w:sz w:val="20"/>
          <w:szCs w:val="21"/>
          <w:highlight w:val="yellow"/>
        </w:rPr>
      </w:pPr>
      <w:r>
        <w:rPr>
          <w:rFonts w:hint="eastAsia" w:ascii="宋体" w:hAnsi="宋体"/>
          <w:b/>
          <w:sz w:val="20"/>
          <w:szCs w:val="21"/>
          <w:highlight w:val="yellow"/>
          <w:lang w:val="en-US" w:eastAsia="zh-CN"/>
        </w:rPr>
        <w:t>3.</w:t>
      </w:r>
      <w:r>
        <w:rPr>
          <w:rFonts w:hint="eastAsia" w:ascii="宋体" w:hAnsi="宋体"/>
          <w:b/>
          <w:sz w:val="20"/>
          <w:szCs w:val="21"/>
          <w:highlight w:val="yellow"/>
        </w:rPr>
        <w:t>评审结果填写合格或不合格，凡评审结果有一项不合格者，结论为不合格。</w:t>
      </w:r>
    </w:p>
    <w:p w14:paraId="1863E6F7">
      <w:pPr>
        <w:snapToGrid w:val="0"/>
        <w:spacing w:line="360" w:lineRule="exact"/>
        <w:ind w:right="240"/>
        <w:jc w:val="both"/>
        <w:rPr>
          <w:rFonts w:ascii="宋体" w:hAnsi="宋体" w:eastAsia="等线" w:cs="宋体"/>
          <w:b/>
          <w:color w:val="auto"/>
          <w:sz w:val="24"/>
          <w:szCs w:val="24"/>
          <w:highlight w:val="none"/>
        </w:rPr>
      </w:pPr>
      <w:r>
        <w:rPr>
          <w:rFonts w:hint="eastAsia" w:ascii="宋体" w:hAnsi="宋体"/>
          <w:b/>
          <w:sz w:val="20"/>
          <w:szCs w:val="21"/>
          <w:highlight w:val="yellow"/>
          <w:lang w:val="en-US" w:eastAsia="zh-CN"/>
        </w:rPr>
        <w:t>4</w:t>
      </w:r>
      <w:r>
        <w:rPr>
          <w:rFonts w:hint="eastAsia" w:ascii="宋体" w:hAnsi="宋体"/>
          <w:b/>
          <w:sz w:val="20"/>
          <w:szCs w:val="21"/>
          <w:highlight w:val="yellow"/>
        </w:rPr>
        <w:t>.比选申请人如未通过上述资格审查，则作比选申请被否决处理并不得进入下一阶段评审。</w:t>
      </w: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17"/>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27C98C8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3EFC559B">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7D3C9E2E">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37D3C5E8">
            <w:pPr>
              <w:snapToGrid w:val="0"/>
              <w:spacing w:line="360" w:lineRule="exact"/>
              <w:jc w:val="center"/>
              <w:rPr>
                <w:rFonts w:hint="eastAsia" w:ascii="宋体" w:hAnsi="宋体" w:eastAsia="宋体" w:cs="宋体"/>
                <w:b/>
                <w:color w:val="auto"/>
                <w:sz w:val="24"/>
                <w:szCs w:val="24"/>
                <w:highlight w:val="none"/>
              </w:rPr>
            </w:pPr>
            <w:r>
              <w:rPr>
                <w:rFonts w:hint="eastAsia" w:ascii="宋体" w:hAnsi="宋体" w:eastAsia="宋体" w:cs="宋体"/>
                <w:snapToGrid w:val="0"/>
                <w:color w:val="auto"/>
                <w:highlight w:val="none"/>
                <w:lang w:bidi="ar"/>
              </w:rPr>
              <w:t>评审结果（合格</w:t>
            </w:r>
            <w:r>
              <w:rPr>
                <w:rFonts w:hint="eastAsia" w:ascii="宋体" w:hAnsi="宋体" w:eastAsia="宋体" w:cs="宋体"/>
                <w:color w:val="auto"/>
                <w:highlight w:val="none"/>
                <w:lang w:bidi="ar"/>
              </w:rPr>
              <w:t>/</w:t>
            </w:r>
            <w:r>
              <w:rPr>
                <w:rFonts w:hint="eastAsia" w:ascii="宋体" w:hAnsi="宋体" w:eastAsia="宋体" w:cs="宋体"/>
                <w:snapToGrid w:val="0"/>
                <w:color w:val="auto"/>
                <w:highlight w:val="none"/>
                <w:lang w:bidi="ar"/>
              </w:rPr>
              <w:t>不合格）</w:t>
            </w:r>
          </w:p>
        </w:tc>
      </w:tr>
      <w:tr w14:paraId="6C2F5BB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1BD97952">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22ADB44E">
            <w:pPr>
              <w:rPr>
                <w:rFonts w:hint="eastAsia" w:ascii="宋体" w:hAnsi="宋体" w:eastAsia="宋体" w:cs="宋体"/>
                <w:color w:val="auto"/>
                <w:highlight w:val="none"/>
              </w:rPr>
            </w:pPr>
            <w:r>
              <w:rPr>
                <w:rFonts w:hint="eastAsia" w:ascii="宋体" w:hAnsi="宋体" w:eastAsia="宋体" w:cs="宋体"/>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543CE15E">
            <w:pPr>
              <w:snapToGrid w:val="0"/>
              <w:spacing w:line="360" w:lineRule="exact"/>
              <w:ind w:right="240"/>
              <w:jc w:val="center"/>
              <w:rPr>
                <w:rFonts w:hint="eastAsia" w:ascii="宋体" w:hAnsi="宋体" w:eastAsia="宋体" w:cs="宋体"/>
                <w:b/>
                <w:color w:val="auto"/>
                <w:sz w:val="24"/>
                <w:szCs w:val="24"/>
                <w:highlight w:val="none"/>
              </w:rPr>
            </w:pPr>
          </w:p>
        </w:tc>
      </w:tr>
      <w:tr w14:paraId="3C0C7F3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4B1E423">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69738EF8">
            <w:pPr>
              <w:rPr>
                <w:rFonts w:hint="eastAsia" w:ascii="宋体" w:hAnsi="宋体" w:eastAsia="宋体" w:cs="宋体"/>
                <w:color w:val="auto"/>
                <w:highlight w:val="none"/>
              </w:rPr>
            </w:pPr>
            <w:r>
              <w:rPr>
                <w:rFonts w:hint="eastAsia" w:ascii="宋体" w:hAnsi="宋体" w:eastAsia="宋体" w:cs="宋体"/>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5FF2AA39">
            <w:pPr>
              <w:snapToGrid w:val="0"/>
              <w:spacing w:line="360" w:lineRule="exact"/>
              <w:ind w:right="240"/>
              <w:jc w:val="center"/>
              <w:rPr>
                <w:rFonts w:hint="eastAsia" w:ascii="宋体" w:hAnsi="宋体" w:eastAsia="宋体" w:cs="宋体"/>
                <w:b/>
                <w:color w:val="auto"/>
                <w:sz w:val="24"/>
                <w:szCs w:val="24"/>
                <w:highlight w:val="none"/>
              </w:rPr>
            </w:pPr>
          </w:p>
        </w:tc>
      </w:tr>
      <w:tr w14:paraId="50C5171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7FFFC57D">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00F7CD92">
            <w:pPr>
              <w:rPr>
                <w:rFonts w:hint="eastAsia" w:ascii="宋体" w:hAnsi="宋体" w:eastAsia="宋体" w:cs="宋体"/>
                <w:color w:val="auto"/>
                <w:highlight w:val="none"/>
              </w:rPr>
            </w:pPr>
            <w:r>
              <w:rPr>
                <w:rFonts w:hint="eastAsia" w:ascii="宋体" w:hAnsi="宋体" w:eastAsia="宋体" w:cs="宋体"/>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0711DA43">
            <w:pPr>
              <w:snapToGrid w:val="0"/>
              <w:spacing w:line="360" w:lineRule="exact"/>
              <w:ind w:right="240"/>
              <w:jc w:val="center"/>
              <w:rPr>
                <w:rFonts w:hint="eastAsia" w:ascii="宋体" w:hAnsi="宋体" w:eastAsia="宋体" w:cs="宋体"/>
                <w:b/>
                <w:color w:val="auto"/>
                <w:sz w:val="24"/>
                <w:szCs w:val="24"/>
                <w:highlight w:val="none"/>
              </w:rPr>
            </w:pPr>
          </w:p>
        </w:tc>
      </w:tr>
      <w:tr w14:paraId="2C1BD89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75FE82ED">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40D42E1F">
            <w:pPr>
              <w:rPr>
                <w:rFonts w:hint="eastAsia" w:ascii="宋体" w:hAnsi="宋体" w:eastAsia="宋体" w:cs="宋体"/>
                <w:color w:val="auto"/>
                <w:highlight w:val="none"/>
              </w:rPr>
            </w:pPr>
            <w:r>
              <w:rPr>
                <w:rFonts w:hint="eastAsia" w:ascii="宋体" w:hAnsi="宋体" w:eastAsia="宋体" w:cs="宋体"/>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463EA14F">
            <w:pPr>
              <w:snapToGrid w:val="0"/>
              <w:spacing w:line="360" w:lineRule="exact"/>
              <w:ind w:right="240"/>
              <w:jc w:val="center"/>
              <w:rPr>
                <w:rFonts w:hint="eastAsia" w:ascii="宋体" w:hAnsi="宋体" w:eastAsia="宋体" w:cs="宋体"/>
                <w:b/>
                <w:color w:val="auto"/>
                <w:sz w:val="24"/>
                <w:szCs w:val="24"/>
                <w:highlight w:val="none"/>
              </w:rPr>
            </w:pPr>
          </w:p>
        </w:tc>
      </w:tr>
    </w:tbl>
    <w:p w14:paraId="1C1E4919">
      <w:pPr>
        <w:snapToGrid w:val="0"/>
        <w:spacing w:line="360" w:lineRule="exact"/>
        <w:ind w:right="240"/>
        <w:jc w:val="center"/>
        <w:rPr>
          <w:rFonts w:ascii="宋体" w:hAnsi="宋体" w:eastAsia="等线" w:cs="宋体"/>
          <w:b/>
          <w:color w:val="auto"/>
          <w:sz w:val="24"/>
          <w:szCs w:val="24"/>
          <w:highlight w:val="none"/>
        </w:rPr>
      </w:pPr>
    </w:p>
    <w:p w14:paraId="03EACF4D">
      <w:pPr>
        <w:snapToGrid w:val="0"/>
        <w:spacing w:line="360" w:lineRule="exact"/>
        <w:ind w:right="24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17"/>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407"/>
        <w:gridCol w:w="704"/>
        <w:gridCol w:w="6246"/>
        <w:gridCol w:w="1165"/>
      </w:tblGrid>
      <w:tr w14:paraId="6F773CA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dxa"/>
            <w:tcBorders>
              <w:top w:val="single" w:color="000000" w:sz="4" w:space="0"/>
              <w:left w:val="single" w:color="000000" w:sz="4" w:space="0"/>
              <w:bottom w:val="single" w:color="auto" w:sz="4" w:space="0"/>
              <w:right w:val="single" w:color="auto" w:sz="4" w:space="0"/>
            </w:tcBorders>
            <w:shd w:val="clear" w:color="auto" w:fill="auto"/>
            <w:vAlign w:val="center"/>
          </w:tcPr>
          <w:p w14:paraId="1FA57374">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序号</w:t>
            </w:r>
          </w:p>
        </w:tc>
        <w:tc>
          <w:tcPr>
            <w:tcW w:w="704" w:type="dxa"/>
            <w:tcBorders>
              <w:top w:val="single" w:color="000000" w:sz="4" w:space="0"/>
              <w:left w:val="single" w:color="auto" w:sz="4" w:space="0"/>
              <w:bottom w:val="single" w:color="auto" w:sz="4" w:space="0"/>
              <w:right w:val="single" w:color="auto" w:sz="4" w:space="0"/>
            </w:tcBorders>
            <w:shd w:val="clear" w:color="auto" w:fill="auto"/>
            <w:vAlign w:val="center"/>
          </w:tcPr>
          <w:p w14:paraId="73FFE8B2">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评审内容</w:t>
            </w:r>
          </w:p>
        </w:tc>
        <w:tc>
          <w:tcPr>
            <w:tcW w:w="6246" w:type="dxa"/>
            <w:tcBorders>
              <w:top w:val="single" w:color="000000" w:sz="4" w:space="0"/>
              <w:left w:val="single" w:color="auto" w:sz="4" w:space="0"/>
              <w:bottom w:val="single" w:color="auto" w:sz="4" w:space="0"/>
              <w:right w:val="single" w:color="auto" w:sz="4" w:space="0"/>
            </w:tcBorders>
            <w:shd w:val="clear" w:color="auto" w:fill="auto"/>
            <w:vAlign w:val="center"/>
          </w:tcPr>
          <w:p w14:paraId="41AE6796">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合格标准</w:t>
            </w:r>
          </w:p>
        </w:tc>
        <w:tc>
          <w:tcPr>
            <w:tcW w:w="1165" w:type="dxa"/>
            <w:tcBorders>
              <w:top w:val="single" w:color="000000" w:sz="4" w:space="0"/>
              <w:left w:val="single" w:color="auto" w:sz="4" w:space="0"/>
              <w:bottom w:val="single" w:color="auto" w:sz="4" w:space="0"/>
              <w:right w:val="single" w:color="000000" w:sz="4" w:space="0"/>
            </w:tcBorders>
            <w:shd w:val="clear" w:color="auto" w:fill="auto"/>
            <w:vAlign w:val="center"/>
          </w:tcPr>
          <w:p w14:paraId="056B6858">
            <w:pPr>
              <w:snapToGrid w:val="0"/>
              <w:spacing w:line="360" w:lineRule="exact"/>
              <w:jc w:val="center"/>
              <w:rPr>
                <w:rFonts w:hint="eastAsia" w:ascii="宋体" w:hAnsi="宋体" w:eastAsia="宋体" w:cs="宋体"/>
                <w:b/>
                <w:color w:val="auto"/>
                <w:sz w:val="24"/>
                <w:szCs w:val="24"/>
                <w:highlight w:val="none"/>
              </w:rPr>
            </w:pPr>
            <w:r>
              <w:rPr>
                <w:rFonts w:hint="eastAsia" w:ascii="宋体" w:hAnsi="宋体" w:eastAsia="宋体" w:cs="宋体"/>
                <w:snapToGrid w:val="0"/>
                <w:color w:val="auto"/>
                <w:highlight w:val="none"/>
                <w:lang w:bidi="ar"/>
              </w:rPr>
              <w:t>评审结果（合格</w:t>
            </w:r>
            <w:r>
              <w:rPr>
                <w:rFonts w:hint="eastAsia" w:ascii="宋体" w:hAnsi="宋体" w:eastAsia="宋体" w:cs="宋体"/>
                <w:color w:val="auto"/>
                <w:highlight w:val="none"/>
                <w:lang w:bidi="ar"/>
              </w:rPr>
              <w:t>/</w:t>
            </w:r>
            <w:r>
              <w:rPr>
                <w:rFonts w:hint="eastAsia" w:ascii="宋体" w:hAnsi="宋体" w:eastAsia="宋体" w:cs="宋体"/>
                <w:snapToGrid w:val="0"/>
                <w:color w:val="auto"/>
                <w:highlight w:val="none"/>
                <w:lang w:bidi="ar"/>
              </w:rPr>
              <w:t>不合格）</w:t>
            </w:r>
          </w:p>
        </w:tc>
      </w:tr>
      <w:tr w14:paraId="7E3F5D3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dxa"/>
            <w:tcBorders>
              <w:top w:val="single" w:color="auto" w:sz="4" w:space="0"/>
              <w:left w:val="single" w:color="000000" w:sz="4" w:space="0"/>
              <w:bottom w:val="single" w:color="auto" w:sz="4" w:space="0"/>
              <w:right w:val="single" w:color="auto" w:sz="4" w:space="0"/>
            </w:tcBorders>
            <w:shd w:val="clear" w:color="auto" w:fill="auto"/>
            <w:vAlign w:val="center"/>
          </w:tcPr>
          <w:p w14:paraId="530DAA14">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1</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14:paraId="5E34067A">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身份证明材料</w:t>
            </w:r>
          </w:p>
        </w:tc>
        <w:tc>
          <w:tcPr>
            <w:tcW w:w="6246" w:type="dxa"/>
            <w:tcBorders>
              <w:top w:val="single" w:color="auto" w:sz="4" w:space="0"/>
              <w:left w:val="single" w:color="auto" w:sz="4" w:space="0"/>
              <w:bottom w:val="single" w:color="auto" w:sz="4" w:space="0"/>
              <w:right w:val="single" w:color="auto" w:sz="4" w:space="0"/>
            </w:tcBorders>
            <w:shd w:val="clear" w:color="auto" w:fill="auto"/>
            <w:vAlign w:val="center"/>
          </w:tcPr>
          <w:p w14:paraId="4E51C4A6">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165" w:type="dxa"/>
            <w:tcBorders>
              <w:top w:val="single" w:color="auto" w:sz="4" w:space="0"/>
              <w:left w:val="single" w:color="auto" w:sz="4" w:space="0"/>
              <w:bottom w:val="single" w:color="auto" w:sz="4" w:space="0"/>
              <w:right w:val="single" w:color="000000" w:sz="4" w:space="0"/>
            </w:tcBorders>
            <w:shd w:val="clear" w:color="auto" w:fill="auto"/>
            <w:vAlign w:val="center"/>
          </w:tcPr>
          <w:p w14:paraId="5BF0E265">
            <w:pPr>
              <w:snapToGrid w:val="0"/>
              <w:spacing w:line="400" w:lineRule="exact"/>
              <w:ind w:right="240"/>
              <w:jc w:val="center"/>
              <w:rPr>
                <w:rFonts w:hint="eastAsia" w:ascii="宋体" w:hAnsi="宋体" w:eastAsia="宋体" w:cs="宋体"/>
                <w:b/>
                <w:color w:val="auto"/>
                <w:sz w:val="24"/>
                <w:szCs w:val="24"/>
                <w:highlight w:val="none"/>
              </w:rPr>
            </w:pPr>
          </w:p>
        </w:tc>
      </w:tr>
      <w:tr w14:paraId="5FE279F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dxa"/>
            <w:tcBorders>
              <w:top w:val="single" w:color="auto" w:sz="4" w:space="0"/>
              <w:left w:val="single" w:color="000000" w:sz="4" w:space="0"/>
              <w:bottom w:val="single" w:color="auto" w:sz="4" w:space="0"/>
              <w:right w:val="single" w:color="auto" w:sz="4" w:space="0"/>
            </w:tcBorders>
            <w:shd w:val="clear" w:color="auto" w:fill="auto"/>
            <w:vAlign w:val="center"/>
          </w:tcPr>
          <w:p w14:paraId="4AD0A003">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2</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14:paraId="3B8FC663">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比选申请人资格</w:t>
            </w:r>
          </w:p>
        </w:tc>
        <w:tc>
          <w:tcPr>
            <w:tcW w:w="6246" w:type="dxa"/>
            <w:tcBorders>
              <w:top w:val="single" w:color="auto" w:sz="4" w:space="0"/>
              <w:left w:val="single" w:color="auto" w:sz="4" w:space="0"/>
              <w:bottom w:val="single" w:color="auto" w:sz="4" w:space="0"/>
              <w:right w:val="single" w:color="auto" w:sz="4" w:space="0"/>
            </w:tcBorders>
            <w:shd w:val="clear" w:color="auto" w:fill="auto"/>
            <w:vAlign w:val="center"/>
          </w:tcPr>
          <w:p w14:paraId="0FD500E2">
            <w:pPr>
              <w:spacing w:line="240" w:lineRule="auto"/>
              <w:jc w:val="left"/>
              <w:rPr>
                <w:rFonts w:hint="eastAsia" w:ascii="宋体" w:hAnsi="宋体" w:eastAsia="宋体" w:cs="宋体"/>
                <w:color w:val="auto"/>
                <w:sz w:val="21"/>
                <w:szCs w:val="22"/>
                <w:lang w:eastAsia="zh-CN"/>
              </w:rPr>
            </w:pPr>
            <w:r>
              <w:rPr>
                <w:rFonts w:hint="eastAsia" w:ascii="宋体" w:hAnsi="宋体" w:eastAsia="宋体" w:cs="宋体"/>
                <w:color w:val="auto"/>
                <w:sz w:val="21"/>
                <w:szCs w:val="22"/>
                <w:lang w:eastAsia="zh-CN"/>
              </w:rPr>
              <w:t>提供以下证照复印件加盖公章：</w:t>
            </w:r>
          </w:p>
          <w:p w14:paraId="26107323">
            <w:pPr>
              <w:numPr>
                <w:ilvl w:val="0"/>
                <w:numId w:val="0"/>
              </w:numPr>
              <w:spacing w:line="240" w:lineRule="auto"/>
              <w:jc w:val="left"/>
              <w:rPr>
                <w:rFonts w:hint="eastAsia" w:ascii="宋体" w:hAnsi="宋体" w:eastAsia="宋体" w:cs="宋体"/>
                <w:color w:val="auto"/>
                <w:sz w:val="21"/>
                <w:szCs w:val="22"/>
                <w:lang w:eastAsia="zh-CN"/>
              </w:rPr>
            </w:pPr>
            <w:r>
              <w:rPr>
                <w:rFonts w:hint="eastAsia" w:ascii="宋体" w:hAnsi="宋体" w:eastAsia="宋体" w:cs="宋体"/>
                <w:color w:val="auto"/>
                <w:kern w:val="2"/>
                <w:sz w:val="21"/>
                <w:szCs w:val="22"/>
                <w:lang w:val="en-US" w:eastAsia="zh-CN" w:bidi="ar-SA"/>
              </w:rPr>
              <w:t>1、</w:t>
            </w:r>
            <w:r>
              <w:rPr>
                <w:rFonts w:hint="eastAsia" w:ascii="宋体" w:hAnsi="宋体" w:eastAsia="宋体" w:cs="宋体"/>
                <w:color w:val="auto"/>
                <w:sz w:val="21"/>
                <w:szCs w:val="22"/>
                <w:lang w:eastAsia="zh-CN"/>
              </w:rPr>
              <w:t>律师事务所执业许可证。</w:t>
            </w:r>
          </w:p>
          <w:p w14:paraId="792D7E0C">
            <w:pPr>
              <w:numPr>
                <w:ilvl w:val="0"/>
                <w:numId w:val="0"/>
              </w:numPr>
              <w:spacing w:line="240" w:lineRule="auto"/>
              <w:jc w:val="left"/>
              <w:rPr>
                <w:rFonts w:hint="eastAsia" w:ascii="宋体" w:hAnsi="宋体" w:eastAsia="宋体" w:cs="宋体"/>
                <w:color w:val="auto"/>
                <w:sz w:val="21"/>
                <w:szCs w:val="22"/>
                <w:lang w:eastAsia="zh-CN"/>
              </w:rPr>
            </w:pPr>
            <w:r>
              <w:rPr>
                <w:rFonts w:hint="eastAsia" w:ascii="宋体" w:hAnsi="宋体" w:eastAsia="宋体" w:cs="宋体"/>
                <w:color w:val="auto"/>
                <w:kern w:val="2"/>
                <w:sz w:val="21"/>
                <w:szCs w:val="22"/>
                <w:lang w:val="en-US" w:eastAsia="zh-CN" w:bidi="ar-SA"/>
              </w:rPr>
              <w:t>2、</w:t>
            </w:r>
            <w:r>
              <w:rPr>
                <w:rFonts w:hint="eastAsia" w:ascii="宋体" w:hAnsi="宋体" w:eastAsia="宋体" w:cs="宋体"/>
                <w:color w:val="auto"/>
                <w:sz w:val="21"/>
                <w:szCs w:val="22"/>
                <w:lang w:val="en-US" w:eastAsia="zh-CN"/>
              </w:rPr>
              <w:t>职业资格</w:t>
            </w:r>
            <w:r>
              <w:rPr>
                <w:rFonts w:hint="eastAsia" w:ascii="宋体" w:hAnsi="宋体" w:eastAsia="宋体" w:cs="宋体"/>
                <w:color w:val="auto"/>
                <w:sz w:val="21"/>
                <w:szCs w:val="22"/>
                <w:lang w:eastAsia="zh-CN"/>
              </w:rPr>
              <w:t>：</w:t>
            </w:r>
            <w:r>
              <w:rPr>
                <w:rFonts w:hint="eastAsia" w:ascii="宋体" w:hAnsi="宋体" w:eastAsia="宋体" w:cs="宋体"/>
                <w:color w:val="auto"/>
                <w:sz w:val="21"/>
                <w:szCs w:val="22"/>
                <w:lang w:val="en-US" w:eastAsia="zh-CN"/>
              </w:rPr>
              <w:t>提供1名</w:t>
            </w:r>
            <w:r>
              <w:rPr>
                <w:rFonts w:hint="eastAsia" w:ascii="宋体" w:hAnsi="宋体" w:eastAsia="宋体" w:cs="宋体"/>
                <w:color w:val="auto"/>
                <w:sz w:val="21"/>
                <w:szCs w:val="22"/>
                <w:lang w:eastAsia="zh-CN"/>
              </w:rPr>
              <w:t>律师执业资格证书</w:t>
            </w:r>
            <w:r>
              <w:rPr>
                <w:rFonts w:hint="eastAsia" w:ascii="宋体" w:hAnsi="宋体" w:eastAsia="宋体" w:cs="宋体"/>
                <w:color w:val="auto"/>
                <w:sz w:val="21"/>
                <w:szCs w:val="22"/>
                <w:lang w:val="en-US" w:eastAsia="zh-CN"/>
              </w:rPr>
              <w:t>及有效身份证</w:t>
            </w:r>
            <w:r>
              <w:rPr>
                <w:rFonts w:hint="eastAsia" w:ascii="宋体" w:hAnsi="宋体" w:eastAsia="宋体" w:cs="宋体"/>
                <w:color w:val="auto"/>
                <w:sz w:val="21"/>
                <w:szCs w:val="22"/>
                <w:lang w:eastAsia="zh-CN"/>
              </w:rPr>
              <w:t>，</w:t>
            </w:r>
            <w:r>
              <w:rPr>
                <w:rFonts w:hint="eastAsia" w:ascii="宋体" w:hAnsi="宋体" w:eastAsia="宋体" w:cs="宋体"/>
                <w:color w:val="auto"/>
                <w:sz w:val="21"/>
                <w:szCs w:val="22"/>
                <w:lang w:val="en-US" w:eastAsia="zh-CN"/>
              </w:rPr>
              <w:t>要求</w:t>
            </w:r>
            <w:r>
              <w:rPr>
                <w:rFonts w:hint="eastAsia" w:ascii="宋体" w:hAnsi="宋体" w:eastAsia="宋体" w:cs="宋体"/>
                <w:color w:val="auto"/>
                <w:sz w:val="21"/>
                <w:szCs w:val="22"/>
                <w:lang w:eastAsia="zh-CN"/>
              </w:rPr>
              <w:t>具有</w:t>
            </w:r>
            <w:r>
              <w:rPr>
                <w:rFonts w:hint="eastAsia" w:ascii="宋体" w:hAnsi="宋体" w:eastAsia="宋体" w:cs="宋体"/>
                <w:color w:val="auto"/>
                <w:sz w:val="21"/>
                <w:szCs w:val="22"/>
                <w:lang w:val="en-US" w:eastAsia="zh-CN"/>
              </w:rPr>
              <w:t>3</w:t>
            </w:r>
            <w:r>
              <w:rPr>
                <w:rFonts w:hint="eastAsia" w:ascii="宋体" w:hAnsi="宋体" w:eastAsia="宋体" w:cs="宋体"/>
                <w:color w:val="auto"/>
                <w:sz w:val="21"/>
                <w:szCs w:val="22"/>
                <w:lang w:eastAsia="zh-CN"/>
              </w:rPr>
              <w:t>年及以上执业经验。</w:t>
            </w:r>
          </w:p>
          <w:p w14:paraId="1C934BE5">
            <w:pPr>
              <w:numPr>
                <w:ilvl w:val="0"/>
                <w:numId w:val="0"/>
              </w:numPr>
              <w:spacing w:line="240" w:lineRule="auto"/>
              <w:jc w:val="left"/>
              <w:rPr>
                <w:rFonts w:hint="eastAsia" w:ascii="宋体" w:hAnsi="宋体" w:eastAsia="宋体" w:cs="宋体"/>
                <w:color w:val="auto"/>
                <w:sz w:val="21"/>
                <w:szCs w:val="22"/>
                <w:lang w:eastAsia="zh-CN"/>
              </w:rPr>
            </w:pPr>
            <w:r>
              <w:rPr>
                <w:rFonts w:hint="eastAsia" w:ascii="宋体" w:hAnsi="宋体" w:eastAsia="宋体" w:cs="宋体"/>
                <w:color w:val="auto"/>
                <w:kern w:val="2"/>
                <w:sz w:val="21"/>
                <w:szCs w:val="22"/>
                <w:lang w:val="en-US" w:eastAsia="zh-CN" w:bidi="ar-SA"/>
              </w:rPr>
              <w:t>3、</w:t>
            </w:r>
            <w:r>
              <w:rPr>
                <w:rFonts w:hint="eastAsia" w:ascii="宋体" w:hAnsi="宋体" w:eastAsia="宋体" w:cs="宋体"/>
                <w:color w:val="auto"/>
                <w:sz w:val="21"/>
                <w:szCs w:val="22"/>
                <w:lang w:eastAsia="zh-CN"/>
              </w:rPr>
              <w:t>重大税收</w:t>
            </w:r>
            <w:r>
              <w:rPr>
                <w:rFonts w:hint="eastAsia" w:ascii="宋体" w:hAnsi="宋体" w:eastAsia="宋体" w:cs="宋体"/>
                <w:color w:val="auto"/>
                <w:sz w:val="21"/>
                <w:szCs w:val="22"/>
                <w:lang w:val="en-US" w:eastAsia="zh-CN"/>
              </w:rPr>
              <w:t>违法</w:t>
            </w:r>
            <w:r>
              <w:rPr>
                <w:rFonts w:hint="eastAsia" w:ascii="宋体" w:hAnsi="宋体" w:eastAsia="宋体" w:cs="宋体"/>
                <w:color w:val="auto"/>
                <w:sz w:val="21"/>
                <w:szCs w:val="22"/>
                <w:lang w:eastAsia="zh-CN"/>
              </w:rPr>
              <w:t>失信</w:t>
            </w:r>
            <w:r>
              <w:rPr>
                <w:rFonts w:hint="eastAsia" w:ascii="宋体" w:hAnsi="宋体" w:eastAsia="宋体" w:cs="宋体"/>
                <w:color w:val="auto"/>
                <w:sz w:val="21"/>
                <w:szCs w:val="22"/>
                <w:lang w:val="en-US" w:eastAsia="zh-CN"/>
              </w:rPr>
              <w:t>主体</w:t>
            </w:r>
            <w:r>
              <w:rPr>
                <w:rFonts w:hint="eastAsia" w:ascii="宋体" w:hAnsi="宋体" w:eastAsia="宋体" w:cs="宋体"/>
                <w:color w:val="auto"/>
                <w:sz w:val="21"/>
                <w:szCs w:val="22"/>
                <w:lang w:eastAsia="zh-CN"/>
              </w:rPr>
              <w:t>截图（</w:t>
            </w:r>
            <w:r>
              <w:rPr>
                <w:rFonts w:hint="eastAsia" w:ascii="宋体" w:hAnsi="宋体" w:eastAsia="宋体" w:cs="宋体"/>
                <w:color w:val="auto"/>
                <w:sz w:val="21"/>
                <w:szCs w:val="22"/>
                <w:lang w:val="en-US" w:eastAsia="zh-CN"/>
              </w:rPr>
              <w:t>信用中国网址：</w:t>
            </w:r>
            <w:r>
              <w:rPr>
                <w:rFonts w:hint="eastAsia" w:ascii="宋体" w:hAnsi="宋体" w:eastAsia="宋体" w:cs="宋体"/>
                <w:color w:val="auto"/>
                <w:sz w:val="21"/>
                <w:szCs w:val="22"/>
                <w:lang w:val="en-US" w:eastAsia="zh-CN"/>
              </w:rPr>
              <w:fldChar w:fldCharType="begin"/>
            </w:r>
            <w:r>
              <w:rPr>
                <w:rFonts w:hint="eastAsia" w:ascii="宋体" w:hAnsi="宋体" w:eastAsia="宋体" w:cs="宋体"/>
                <w:color w:val="auto"/>
                <w:sz w:val="21"/>
                <w:szCs w:val="22"/>
                <w:lang w:val="en-US" w:eastAsia="zh-CN"/>
              </w:rPr>
              <w:instrText xml:space="preserve"> HYPERLINK "https://www.creditchina.gov.cn/xinyongfuwu/zhongdashuishouweifaanjian/）" </w:instrText>
            </w:r>
            <w:r>
              <w:rPr>
                <w:rFonts w:hint="eastAsia" w:ascii="宋体" w:hAnsi="宋体" w:eastAsia="宋体" w:cs="宋体"/>
                <w:color w:val="auto"/>
                <w:sz w:val="21"/>
                <w:szCs w:val="22"/>
                <w:lang w:val="en-US" w:eastAsia="zh-CN"/>
              </w:rPr>
              <w:fldChar w:fldCharType="separate"/>
            </w:r>
            <w:r>
              <w:rPr>
                <w:rStyle w:val="20"/>
                <w:rFonts w:hint="eastAsia" w:ascii="宋体" w:hAnsi="宋体" w:eastAsia="宋体" w:cs="宋体"/>
                <w:sz w:val="21"/>
                <w:szCs w:val="22"/>
                <w:lang w:val="en-US" w:eastAsia="zh-CN"/>
              </w:rPr>
              <w:t>https://www.creditchina.gov.cn/xinyongfuwu/zhongdashuishouweifaanjian/</w:t>
            </w:r>
            <w:r>
              <w:rPr>
                <w:rStyle w:val="20"/>
                <w:rFonts w:hint="eastAsia" w:ascii="宋体" w:hAnsi="宋体" w:eastAsia="宋体" w:cs="宋体"/>
                <w:sz w:val="21"/>
                <w:szCs w:val="22"/>
                <w:lang w:eastAsia="zh-CN"/>
              </w:rPr>
              <w:t>）</w:t>
            </w:r>
            <w:r>
              <w:rPr>
                <w:rFonts w:hint="eastAsia" w:ascii="宋体" w:hAnsi="宋体" w:eastAsia="宋体" w:cs="宋体"/>
                <w:color w:val="auto"/>
                <w:sz w:val="21"/>
                <w:szCs w:val="22"/>
                <w:lang w:val="en-US" w:eastAsia="zh-CN"/>
              </w:rPr>
              <w:fldChar w:fldCharType="end"/>
            </w:r>
          </w:p>
          <w:p w14:paraId="3D6BDCC9">
            <w:pPr>
              <w:numPr>
                <w:ilvl w:val="0"/>
                <w:numId w:val="0"/>
              </w:numPr>
              <w:spacing w:line="240" w:lineRule="auto"/>
              <w:jc w:val="left"/>
              <w:rPr>
                <w:rFonts w:hint="eastAsia" w:ascii="宋体" w:hAnsi="宋体" w:eastAsia="宋体" w:cs="宋体"/>
                <w:color w:val="auto"/>
                <w:highlight w:val="none"/>
                <w:lang w:bidi="ar"/>
              </w:rPr>
            </w:pPr>
            <w:r>
              <w:rPr>
                <w:rFonts w:hint="eastAsia" w:ascii="宋体" w:hAnsi="宋体" w:eastAsia="宋体" w:cs="宋体"/>
                <w:color w:val="auto"/>
                <w:kern w:val="2"/>
                <w:sz w:val="21"/>
                <w:szCs w:val="22"/>
                <w:lang w:val="en-US" w:eastAsia="zh-CN" w:bidi="ar"/>
              </w:rPr>
              <w:t>4、</w:t>
            </w:r>
            <w:r>
              <w:rPr>
                <w:rFonts w:hint="eastAsia" w:ascii="宋体" w:hAnsi="宋体" w:eastAsia="宋体" w:cs="宋体"/>
                <w:color w:val="auto"/>
                <w:sz w:val="21"/>
                <w:szCs w:val="22"/>
                <w:lang w:eastAsia="zh-CN"/>
              </w:rPr>
              <w:t>严重失信主体名单截图（</w:t>
            </w:r>
            <w:r>
              <w:rPr>
                <w:rFonts w:hint="eastAsia" w:ascii="宋体" w:hAnsi="宋体" w:eastAsia="宋体" w:cs="宋体"/>
                <w:color w:val="auto"/>
                <w:sz w:val="21"/>
                <w:szCs w:val="22"/>
                <w:lang w:val="en-US" w:eastAsia="zh-CN"/>
              </w:rPr>
              <w:t>信用中国网址：</w:t>
            </w:r>
            <w:r>
              <w:rPr>
                <w:rFonts w:hint="eastAsia" w:ascii="宋体" w:hAnsi="宋体" w:eastAsia="宋体" w:cs="宋体"/>
                <w:color w:val="auto"/>
                <w:sz w:val="21"/>
                <w:szCs w:val="22"/>
                <w:lang w:val="en-US" w:eastAsia="zh-CN"/>
              </w:rPr>
              <w:fldChar w:fldCharType="begin"/>
            </w:r>
            <w:r>
              <w:rPr>
                <w:rFonts w:hint="eastAsia" w:ascii="宋体" w:hAnsi="宋体" w:eastAsia="宋体" w:cs="宋体"/>
                <w:color w:val="auto"/>
                <w:sz w:val="21"/>
                <w:szCs w:val="22"/>
                <w:lang w:val="en-US" w:eastAsia="zh-CN"/>
              </w:rPr>
              <w:instrText xml:space="preserve"> HYPERLINK "https://www.creditchina.gov.cn/xinyongfuwu/shixinheimingdan/）" </w:instrText>
            </w:r>
            <w:r>
              <w:rPr>
                <w:rFonts w:hint="eastAsia" w:ascii="宋体" w:hAnsi="宋体" w:eastAsia="宋体" w:cs="宋体"/>
                <w:color w:val="auto"/>
                <w:sz w:val="21"/>
                <w:szCs w:val="22"/>
                <w:lang w:val="en-US" w:eastAsia="zh-CN"/>
              </w:rPr>
              <w:fldChar w:fldCharType="separate"/>
            </w:r>
            <w:r>
              <w:rPr>
                <w:rStyle w:val="20"/>
                <w:rFonts w:hint="eastAsia" w:ascii="宋体" w:hAnsi="宋体" w:eastAsia="宋体" w:cs="宋体"/>
                <w:sz w:val="21"/>
                <w:szCs w:val="22"/>
                <w:lang w:val="en-US" w:eastAsia="zh-CN"/>
              </w:rPr>
              <w:t>https://www.creditchina.gov.cn/xinyongfuwu/shixinheimingdan/</w:t>
            </w:r>
            <w:r>
              <w:rPr>
                <w:rStyle w:val="20"/>
                <w:rFonts w:hint="eastAsia" w:ascii="宋体" w:hAnsi="宋体" w:eastAsia="宋体" w:cs="宋体"/>
                <w:sz w:val="21"/>
                <w:szCs w:val="22"/>
                <w:lang w:eastAsia="zh-CN"/>
              </w:rPr>
              <w:t>）</w:t>
            </w:r>
            <w:r>
              <w:rPr>
                <w:rFonts w:hint="eastAsia" w:ascii="宋体" w:hAnsi="宋体" w:eastAsia="宋体" w:cs="宋体"/>
                <w:color w:val="auto"/>
                <w:sz w:val="21"/>
                <w:szCs w:val="22"/>
                <w:lang w:val="en-US" w:eastAsia="zh-CN"/>
              </w:rPr>
              <w:fldChar w:fldCharType="end"/>
            </w:r>
          </w:p>
          <w:p w14:paraId="59DFC181">
            <w:pPr>
              <w:numPr>
                <w:ilvl w:val="0"/>
                <w:numId w:val="0"/>
              </w:numPr>
              <w:spacing w:line="240" w:lineRule="auto"/>
              <w:jc w:val="left"/>
              <w:rPr>
                <w:rFonts w:hint="eastAsia" w:ascii="宋体" w:hAnsi="宋体" w:eastAsia="宋体" w:cs="宋体"/>
                <w:color w:val="auto"/>
                <w:highlight w:val="none"/>
                <w:lang w:bidi="ar"/>
              </w:rPr>
            </w:pPr>
            <w:r>
              <w:rPr>
                <w:rFonts w:hint="eastAsia" w:ascii="宋体" w:hAnsi="宋体" w:eastAsia="宋体" w:cs="宋体"/>
                <w:color w:val="auto"/>
                <w:sz w:val="21"/>
                <w:szCs w:val="22"/>
                <w:lang w:val="en-US" w:eastAsia="zh-CN"/>
              </w:rPr>
              <w:t>5、财务报表或银行资信证明（响应截止日前三年内任意一年的第三方出具的财务报表净利润为正值，银行资信证明开具机构为基本户开户行、无超期、未标注欠息、诉讼等不良记录、账户未休眠）。</w:t>
            </w:r>
          </w:p>
        </w:tc>
        <w:tc>
          <w:tcPr>
            <w:tcW w:w="1165" w:type="dxa"/>
            <w:tcBorders>
              <w:top w:val="single" w:color="auto" w:sz="4" w:space="0"/>
              <w:left w:val="single" w:color="auto" w:sz="4" w:space="0"/>
              <w:bottom w:val="single" w:color="auto" w:sz="4" w:space="0"/>
              <w:right w:val="single" w:color="000000" w:sz="4" w:space="0"/>
            </w:tcBorders>
            <w:shd w:val="clear" w:color="auto" w:fill="auto"/>
            <w:vAlign w:val="center"/>
          </w:tcPr>
          <w:p w14:paraId="4BC8613F">
            <w:pPr>
              <w:snapToGrid w:val="0"/>
              <w:spacing w:line="400" w:lineRule="exact"/>
              <w:ind w:right="240"/>
              <w:jc w:val="center"/>
              <w:rPr>
                <w:rFonts w:hint="eastAsia" w:ascii="宋体" w:hAnsi="宋体" w:eastAsia="宋体" w:cs="宋体"/>
                <w:b/>
                <w:color w:val="auto"/>
                <w:sz w:val="24"/>
                <w:szCs w:val="24"/>
                <w:highlight w:val="none"/>
              </w:rPr>
            </w:pPr>
          </w:p>
        </w:tc>
      </w:tr>
      <w:tr w14:paraId="7007421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07" w:type="dxa"/>
            <w:tcBorders>
              <w:top w:val="single" w:color="auto" w:sz="4" w:space="0"/>
              <w:left w:val="single" w:color="000000" w:sz="4" w:space="0"/>
              <w:bottom w:val="single" w:color="auto" w:sz="4" w:space="0"/>
              <w:right w:val="single" w:color="auto" w:sz="4" w:space="0"/>
            </w:tcBorders>
            <w:shd w:val="clear" w:color="auto" w:fill="auto"/>
            <w:vAlign w:val="center"/>
          </w:tcPr>
          <w:p w14:paraId="39E4A3A4">
            <w:pPr>
              <w:spacing w:line="400" w:lineRule="exact"/>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bidi="ar"/>
              </w:rPr>
              <w:t>3</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14:paraId="17185648">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承诺书</w:t>
            </w:r>
          </w:p>
        </w:tc>
        <w:tc>
          <w:tcPr>
            <w:tcW w:w="6246" w:type="dxa"/>
            <w:tcBorders>
              <w:top w:val="single" w:color="auto" w:sz="4" w:space="0"/>
              <w:left w:val="single" w:color="auto" w:sz="4" w:space="0"/>
              <w:bottom w:val="single" w:color="auto" w:sz="4" w:space="0"/>
              <w:right w:val="single" w:color="auto" w:sz="4" w:space="0"/>
            </w:tcBorders>
            <w:shd w:val="clear" w:color="auto" w:fill="auto"/>
            <w:vAlign w:val="center"/>
          </w:tcPr>
          <w:p w14:paraId="73B9965E">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lang w:bidi="ar"/>
              </w:rPr>
              <w:t>承诺书原件，按规定格式提供承诺书。</w:t>
            </w:r>
          </w:p>
        </w:tc>
        <w:tc>
          <w:tcPr>
            <w:tcW w:w="1165" w:type="dxa"/>
            <w:tcBorders>
              <w:top w:val="single" w:color="auto" w:sz="4" w:space="0"/>
              <w:left w:val="single" w:color="auto" w:sz="4" w:space="0"/>
              <w:bottom w:val="single" w:color="auto" w:sz="4" w:space="0"/>
              <w:right w:val="single" w:color="000000" w:sz="4" w:space="0"/>
            </w:tcBorders>
            <w:shd w:val="clear" w:color="auto" w:fill="auto"/>
            <w:vAlign w:val="center"/>
          </w:tcPr>
          <w:p w14:paraId="1F87F8AB">
            <w:pPr>
              <w:snapToGrid w:val="0"/>
              <w:spacing w:line="400" w:lineRule="exact"/>
              <w:ind w:right="240"/>
              <w:jc w:val="center"/>
              <w:rPr>
                <w:rFonts w:hint="eastAsia" w:ascii="宋体" w:hAnsi="宋体" w:eastAsia="宋体" w:cs="宋体"/>
                <w:b/>
                <w:color w:val="auto"/>
                <w:sz w:val="24"/>
                <w:szCs w:val="24"/>
                <w:highlight w:val="none"/>
              </w:rPr>
            </w:pPr>
          </w:p>
        </w:tc>
      </w:tr>
    </w:tbl>
    <w:p w14:paraId="5928EFA5">
      <w:pPr>
        <w:rPr>
          <w:b/>
          <w:bCs/>
          <w:color w:val="auto"/>
          <w:highlight w:val="none"/>
        </w:rPr>
      </w:pPr>
      <w:r>
        <w:rPr>
          <w:rFonts w:hint="eastAsia"/>
          <w:b/>
          <w:bCs/>
          <w:color w:val="auto"/>
          <w:highlight w:val="none"/>
        </w:rPr>
        <w:br w:type="page"/>
      </w:r>
    </w:p>
    <w:p w14:paraId="2417D096">
      <w:pPr>
        <w:widowControl/>
        <w:jc w:val="left"/>
        <w:rPr>
          <w:rFonts w:ascii="宋体" w:hAnsi="宋体" w:eastAsia="宋体"/>
          <w:sz w:val="24"/>
          <w:szCs w:val="24"/>
        </w:rPr>
      </w:pPr>
    </w:p>
    <w:p w14:paraId="52461DCA">
      <w:pPr>
        <w:rPr>
          <w:rFonts w:hint="eastAsia" w:ascii="宋体" w:hAnsi="宋体" w:eastAsia="宋体" w:cs="宋体"/>
          <w:b/>
          <w:bCs/>
          <w:szCs w:val="21"/>
        </w:rPr>
      </w:pPr>
      <w:r>
        <w:rPr>
          <w:rFonts w:hint="eastAsia" w:ascii="宋体" w:hAnsi="宋体" w:eastAsia="宋体" w:cs="宋体"/>
          <w:b/>
          <w:bCs/>
          <w:szCs w:val="21"/>
        </w:rPr>
        <w:t>附表二《</w:t>
      </w: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p w14:paraId="6C07FC52">
      <w:pPr>
        <w:pStyle w:val="6"/>
        <w:rPr>
          <w:rFonts w:hint="eastAsia" w:eastAsia="宋体"/>
          <w:lang w:val="en-US" w:eastAsia="zh-CN"/>
        </w:rPr>
      </w:pPr>
      <w:r>
        <w:rPr>
          <w:rFonts w:hint="eastAsia" w:ascii="宋体" w:hAnsi="宋体" w:cs="宋体"/>
          <w:b/>
          <w:bCs/>
          <w:szCs w:val="21"/>
          <w:lang w:val="en-US" w:eastAsia="zh-CN"/>
        </w:rPr>
        <w:t>要求：所有的资料必须提供，资料提供缺任一项的则作废标处理。</w:t>
      </w:r>
    </w:p>
    <w:p w14:paraId="1CBDA932">
      <w:pPr>
        <w:jc w:val="center"/>
        <w:rPr>
          <w:rFonts w:hint="eastAsia" w:ascii="宋体" w:hAnsi="宋体" w:eastAsia="宋体" w:cs="宋体"/>
          <w:b/>
          <w:bCs/>
          <w:szCs w:val="21"/>
        </w:rPr>
      </w:pP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tbl>
      <w:tblPr>
        <w:tblStyle w:val="16"/>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jc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业绩</w:t>
            </w:r>
          </w:p>
          <w:p w14:paraId="484C9FA6">
            <w:pPr>
              <w:rPr>
                <w:rFonts w:hint="eastAsia" w:ascii="宋体" w:hAnsi="宋体" w:eastAsia="宋体" w:cs="宋体"/>
                <w:color w:val="auto"/>
                <w:sz w:val="21"/>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none"/>
                <w:lang w:bidi="ar"/>
              </w:rPr>
              <w:t>提供</w:t>
            </w:r>
            <w:r>
              <w:rPr>
                <w:rFonts w:hint="eastAsia" w:ascii="宋体" w:hAnsi="宋体" w:eastAsia="宋体" w:cs="宋体"/>
                <w:color w:val="auto"/>
                <w:highlight w:val="none"/>
                <w:u w:val="none"/>
                <w:lang w:val="en-US" w:eastAsia="zh-CN" w:bidi="ar"/>
              </w:rPr>
              <w:t>自</w:t>
            </w:r>
            <w:r>
              <w:rPr>
                <w:rFonts w:hint="eastAsia" w:ascii="宋体" w:hAnsi="宋体" w:eastAsia="宋体" w:cs="宋体"/>
                <w:color w:val="auto"/>
                <w:highlight w:val="none"/>
                <w:lang w:val="en-US" w:eastAsia="zh-CN" w:bidi="ar"/>
              </w:rPr>
              <w:t>2022年1月1日</w:t>
            </w:r>
            <w:r>
              <w:rPr>
                <w:rFonts w:hint="eastAsia" w:ascii="宋体" w:hAnsi="宋体" w:eastAsia="宋体" w:cs="宋体"/>
                <w:color w:val="auto"/>
                <w:highlight w:val="none"/>
                <w:lang w:bidi="ar"/>
              </w:rPr>
              <w:t>至比选申请截止日期内单项合同</w:t>
            </w:r>
            <w:r>
              <w:rPr>
                <w:rFonts w:hint="eastAsia" w:ascii="宋体" w:hAnsi="宋体" w:eastAsia="宋体" w:cs="宋体"/>
                <w:color w:val="auto"/>
                <w:highlight w:val="none"/>
                <w:lang w:val="en-US" w:eastAsia="zh-CN" w:bidi="ar"/>
              </w:rPr>
              <w:t>金额2.5万元及以上的企业年度法律顾问服务的项目的业</w:t>
            </w:r>
            <w:r>
              <w:rPr>
                <w:rFonts w:hint="eastAsia" w:ascii="宋体" w:hAnsi="宋体" w:eastAsia="宋体" w:cs="宋体"/>
                <w:color w:val="auto"/>
                <w:highlight w:val="none"/>
                <w:lang w:bidi="ar"/>
              </w:rPr>
              <w:t>绩合同。</w:t>
            </w:r>
          </w:p>
          <w:p w14:paraId="79C43CDD">
            <w:pPr>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jc w:val="left"/>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jc w:val="left"/>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jc w:val="left"/>
              <w:textAlignment w:val="center"/>
              <w:rPr>
                <w:rFonts w:hint="eastAsia"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w:t>
            </w:r>
            <w:r>
              <w:rPr>
                <w:rFonts w:hint="eastAsia" w:ascii="宋体" w:hAnsi="宋体" w:eastAsia="宋体" w:cs="宋体"/>
                <w:color w:val="auto"/>
                <w:szCs w:val="21"/>
                <w:lang w:val="en-US" w:eastAsia="zh-CN" w:bidi="ar"/>
              </w:rPr>
              <w:t>业绩</w:t>
            </w:r>
            <w:r>
              <w:rPr>
                <w:rFonts w:hint="eastAsia" w:ascii="宋体" w:hAnsi="宋体" w:eastAsia="宋体" w:cs="宋体"/>
                <w:color w:val="auto"/>
                <w:szCs w:val="21"/>
                <w:lang w:bidi="ar"/>
              </w:rPr>
              <w:t>一个得</w:t>
            </w:r>
            <w:r>
              <w:rPr>
                <w:rFonts w:hint="eastAsia" w:ascii="宋体" w:hAnsi="宋体" w:eastAsia="宋体" w:cs="宋体"/>
                <w:b/>
                <w:bCs/>
                <w:color w:val="auto"/>
                <w:szCs w:val="21"/>
                <w:lang w:val="en-US" w:eastAsia="zh-CN" w:bidi="ar"/>
              </w:rPr>
              <w:t>5</w:t>
            </w:r>
            <w:r>
              <w:rPr>
                <w:rFonts w:hint="eastAsia" w:ascii="宋体" w:hAnsi="宋体" w:eastAsia="宋体" w:cs="宋体"/>
                <w:color w:val="auto"/>
                <w:szCs w:val="21"/>
                <w:lang w:bidi="ar"/>
              </w:rPr>
              <w:t>分，满分</w:t>
            </w:r>
            <w:r>
              <w:rPr>
                <w:rFonts w:hint="eastAsia" w:ascii="宋体" w:hAnsi="宋体" w:eastAsia="宋体" w:cs="宋体"/>
                <w:b/>
                <w:bCs/>
                <w:color w:val="auto"/>
                <w:szCs w:val="21"/>
                <w:lang w:val="en-US" w:eastAsia="zh-CN" w:bidi="ar"/>
              </w:rPr>
              <w:t>20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jc w:val="center"/>
              <w:textAlignment w:val="center"/>
              <w:rPr>
                <w:rFonts w:hint="eastAsia"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val="en-US" w:eastAsia="zh-CN" w:bidi="ar"/>
              </w:rPr>
              <w:t>资信</w:t>
            </w:r>
            <w:r>
              <w:rPr>
                <w:rFonts w:hint="eastAsia" w:ascii="宋体" w:hAnsi="宋体" w:eastAsia="宋体" w:cs="宋体"/>
                <w:b/>
                <w:bCs/>
                <w:color w:val="auto"/>
                <w:szCs w:val="21"/>
                <w:lang w:bidi="ar"/>
              </w:rPr>
              <w:t>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hint="eastAsia" w:ascii="宋体" w:hAnsi="宋体" w:eastAsia="宋体" w:cs="宋体"/>
                <w:color w:val="auto"/>
                <w:sz w:val="21"/>
                <w:szCs w:val="21"/>
              </w:rPr>
            </w:pPr>
          </w:p>
        </w:tc>
      </w:tr>
    </w:tbl>
    <w:p w14:paraId="67187498">
      <w:pPr>
        <w:rPr>
          <w:b/>
          <w:bCs/>
        </w:rPr>
      </w:pPr>
    </w:p>
    <w:p w14:paraId="6E21D8A7">
      <w:pPr>
        <w:rPr>
          <w:b/>
          <w:bCs/>
        </w:rPr>
      </w:pPr>
    </w:p>
    <w:p w14:paraId="7DE35816">
      <w:pPr>
        <w:rPr>
          <w:b/>
          <w:bCs/>
        </w:rPr>
      </w:pPr>
    </w:p>
    <w:p w14:paraId="5E0AEB83">
      <w:pPr>
        <w:rPr>
          <w:b/>
          <w:bCs/>
        </w:rPr>
      </w:pPr>
    </w:p>
    <w:p w14:paraId="4AF10130">
      <w:pPr>
        <w:rPr>
          <w:b/>
          <w:bCs/>
        </w:rPr>
      </w:pPr>
    </w:p>
    <w:p w14:paraId="4E7F4C1E">
      <w:pPr>
        <w:rPr>
          <w:b/>
          <w:bCs/>
        </w:rPr>
      </w:pPr>
      <w:r>
        <w:rPr>
          <w:b/>
          <w:bCs/>
        </w:rPr>
        <w:br w:type="page"/>
      </w:r>
    </w:p>
    <w:p w14:paraId="0A8D61A5">
      <w:pPr>
        <w:jc w:val="left"/>
        <w:rPr>
          <w:b/>
          <w:bCs/>
        </w:rPr>
      </w:pPr>
    </w:p>
    <w:p w14:paraId="4F8095A1">
      <w:pPr>
        <w:jc w:val="left"/>
        <w:rPr>
          <w:b/>
          <w:bCs/>
        </w:rPr>
      </w:pPr>
      <w:r>
        <w:rPr>
          <w:rFonts w:hint="eastAsia"/>
          <w:b/>
          <w:bCs/>
        </w:rPr>
        <w:t>附表三《价格文件评分表》</w:t>
      </w:r>
    </w:p>
    <w:p w14:paraId="11C58C48">
      <w:pPr>
        <w:jc w:val="center"/>
        <w:rPr>
          <w:b/>
          <w:bCs/>
        </w:rPr>
      </w:pPr>
      <w:r>
        <w:rPr>
          <w:rFonts w:hint="eastAsia"/>
          <w:b/>
          <w:bCs/>
        </w:rPr>
        <w:t>价格文件评分表</w:t>
      </w:r>
    </w:p>
    <w:tbl>
      <w:tblPr>
        <w:tblStyle w:val="16"/>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2E1D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72649B07">
            <w:pPr>
              <w:spacing w:line="440" w:lineRule="exact"/>
              <w:jc w:val="center"/>
              <w:textAlignment w:val="center"/>
              <w:rPr>
                <w:b/>
                <w:color w:val="auto"/>
              </w:rPr>
            </w:pPr>
            <w:r>
              <w:rPr>
                <w:rFonts w:hint="eastAsia"/>
                <w:color w:val="auto"/>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1FD1A337">
            <w:pPr>
              <w:spacing w:line="440" w:lineRule="exact"/>
              <w:jc w:val="center"/>
              <w:textAlignment w:val="center"/>
              <w:rPr>
                <w:b/>
                <w:color w:val="auto"/>
              </w:rPr>
            </w:pPr>
            <w:r>
              <w:rPr>
                <w:rFonts w:hint="eastAsia"/>
                <w:color w:val="auto"/>
              </w:rPr>
              <w:t>评审内容</w:t>
            </w:r>
          </w:p>
        </w:tc>
        <w:tc>
          <w:tcPr>
            <w:tcW w:w="6295" w:type="dxa"/>
            <w:gridSpan w:val="2"/>
            <w:tcBorders>
              <w:top w:val="single" w:color="auto" w:sz="4" w:space="0"/>
              <w:left w:val="single" w:color="auto" w:sz="4" w:space="0"/>
              <w:bottom w:val="single" w:color="auto" w:sz="4" w:space="0"/>
              <w:right w:val="single" w:color="auto" w:sz="4" w:space="0"/>
            </w:tcBorders>
            <w:vAlign w:val="center"/>
          </w:tcPr>
          <w:p w14:paraId="7FB82B48">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4CCFCFF">
            <w:pPr>
              <w:spacing w:line="440" w:lineRule="exact"/>
              <w:jc w:val="center"/>
              <w:textAlignment w:val="center"/>
              <w:rPr>
                <w:color w:val="auto"/>
              </w:rPr>
            </w:pPr>
            <w:r>
              <w:rPr>
                <w:rFonts w:hint="eastAsia"/>
                <w:color w:val="auto"/>
              </w:rPr>
              <w:t>得分</w:t>
            </w:r>
          </w:p>
        </w:tc>
      </w:tr>
      <w:tr w14:paraId="2E55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6AE72A2">
            <w:pPr>
              <w:spacing w:line="440" w:lineRule="exact"/>
              <w:jc w:val="center"/>
              <w:textAlignment w:val="center"/>
              <w:rPr>
                <w:b/>
                <w:color w:val="auto"/>
              </w:rPr>
            </w:pPr>
            <w:r>
              <w:rPr>
                <w:rFonts w:hint="eastAsia"/>
                <w:b/>
                <w:color w:val="auto"/>
              </w:rPr>
              <w:t>1</w:t>
            </w:r>
          </w:p>
        </w:tc>
        <w:tc>
          <w:tcPr>
            <w:tcW w:w="1213" w:type="dxa"/>
            <w:tcBorders>
              <w:top w:val="single" w:color="auto" w:sz="4" w:space="0"/>
              <w:left w:val="single" w:color="auto" w:sz="4" w:space="0"/>
              <w:bottom w:val="single" w:color="auto" w:sz="4" w:space="0"/>
              <w:right w:val="single" w:color="auto" w:sz="4" w:space="0"/>
            </w:tcBorders>
            <w:vAlign w:val="center"/>
          </w:tcPr>
          <w:p w14:paraId="2F9990D8">
            <w:pPr>
              <w:spacing w:line="440" w:lineRule="exact"/>
              <w:jc w:val="center"/>
              <w:textAlignment w:val="center"/>
              <w:rPr>
                <w:b/>
                <w:color w:val="auto"/>
              </w:rPr>
            </w:pPr>
            <w:r>
              <w:rPr>
                <w:rFonts w:hint="eastAsia" w:ascii="宋体" w:hAnsi="宋体"/>
                <w:color w:val="auto"/>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7D211FB2">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39BC5451">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42DFBA12">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22065E14">
            <w:pPr>
              <w:pStyle w:val="6"/>
              <w:spacing w:before="0" w:after="0" w:afterAutospacing="0" w:line="440" w:lineRule="exact"/>
              <w:ind w:left="0" w:right="0" w:firstLine="0"/>
              <w:jc w:val="left"/>
              <w:textAlignment w:val="center"/>
              <w:rPr>
                <w:rFonts w:ascii="宋体" w:hAnsi="宋体"/>
                <w:color w:val="auto"/>
                <w:sz w:val="24"/>
                <w:highlight w:val="none"/>
              </w:rPr>
            </w:pPr>
            <w:r>
              <w:rPr>
                <w:rFonts w:hint="eastAsia"/>
                <w:color w:val="auto"/>
                <w:highlight w:val="none"/>
              </w:rPr>
              <w:t>有效报价的</w:t>
            </w:r>
            <w:r>
              <w:rPr>
                <w:rFonts w:hint="eastAsia"/>
                <w:b/>
                <w:bCs/>
                <w:color w:val="auto"/>
                <w:highlight w:val="none"/>
              </w:rPr>
              <w:t>不含税总报价的最低价</w:t>
            </w:r>
            <w:r>
              <w:rPr>
                <w:rFonts w:hint="eastAsia"/>
                <w:color w:val="auto"/>
                <w:highlight w:val="none"/>
              </w:rPr>
              <w:t>为评审的基准价。</w:t>
            </w:r>
          </w:p>
        </w:tc>
        <w:tc>
          <w:tcPr>
            <w:tcW w:w="2693" w:type="dxa"/>
            <w:tcBorders>
              <w:top w:val="single" w:color="auto" w:sz="4" w:space="0"/>
              <w:left w:val="single" w:color="auto" w:sz="4" w:space="0"/>
              <w:bottom w:val="single" w:color="auto" w:sz="4" w:space="0"/>
              <w:right w:val="single" w:color="auto" w:sz="4" w:space="0"/>
            </w:tcBorders>
            <w:vAlign w:val="center"/>
          </w:tcPr>
          <w:p w14:paraId="17F530CD">
            <w:pPr>
              <w:pStyle w:val="8"/>
              <w:spacing w:before="0" w:after="0" w:afterAutospacing="0" w:line="440" w:lineRule="exact"/>
              <w:ind w:left="0" w:right="0" w:firstLine="0"/>
              <w:jc w:val="left"/>
              <w:textAlignment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rPr>
              <w:t>（1）评审时，比选申请人的不含税总报价每高于评审的基准价1%的扣</w:t>
            </w:r>
            <w:r>
              <w:rPr>
                <w:rFonts w:hint="eastAsia" w:ascii="Times New Roman" w:hAnsi="Times New Roman" w:cs="Times New Roman"/>
                <w:color w:val="auto"/>
                <w:sz w:val="21"/>
                <w:szCs w:val="21"/>
                <w:highlight w:val="none"/>
                <w:lang w:val="en-US" w:eastAsia="zh-CN"/>
              </w:rPr>
              <w:t>2</w:t>
            </w:r>
            <w:r>
              <w:rPr>
                <w:rFonts w:hint="eastAsia" w:ascii="Times New Roman" w:hAnsi="Times New Roman" w:cs="Times New Roman"/>
                <w:color w:val="auto"/>
                <w:sz w:val="21"/>
                <w:szCs w:val="21"/>
                <w:highlight w:val="none"/>
              </w:rPr>
              <w:t>分</w:t>
            </w:r>
            <w:r>
              <w:rPr>
                <w:rFonts w:hint="eastAsia"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lang w:val="en-US" w:eastAsia="zh-CN"/>
              </w:rPr>
              <w:t>满分80分。</w:t>
            </w:r>
          </w:p>
          <w:p w14:paraId="79B3A6E2">
            <w:pPr>
              <w:pStyle w:val="8"/>
              <w:spacing w:before="0" w:after="0" w:afterAutospacing="0" w:line="440" w:lineRule="exact"/>
              <w:ind w:left="0" w:right="0" w:firstLine="0"/>
              <w:jc w:val="left"/>
              <w:textAlignment w:val="center"/>
              <w:rPr>
                <w:color w:val="auto"/>
                <w:highlight w:val="none"/>
              </w:rPr>
            </w:pPr>
            <w:r>
              <w:rPr>
                <w:rFonts w:hint="eastAsia" w:ascii="Times New Roman" w:hAnsi="Times New Roman" w:cs="Times New Roman"/>
                <w:color w:val="auto"/>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783890A1">
            <w:pPr>
              <w:spacing w:line="440" w:lineRule="exact"/>
              <w:jc w:val="center"/>
              <w:textAlignment w:val="center"/>
              <w:rPr>
                <w:rFonts w:ascii="宋体" w:hAnsi="宋体"/>
                <w:color w:val="auto"/>
              </w:rPr>
            </w:pPr>
          </w:p>
        </w:tc>
      </w:tr>
      <w:tr w14:paraId="047A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33C1730F">
            <w:pPr>
              <w:spacing w:line="440" w:lineRule="exact"/>
              <w:jc w:val="center"/>
              <w:textAlignment w:val="center"/>
              <w:rPr>
                <w:b/>
                <w:bCs/>
                <w:color w:val="auto"/>
              </w:rPr>
            </w:pPr>
            <w:r>
              <w:rPr>
                <w:rFonts w:hint="eastAsia"/>
                <w:b/>
                <w:bCs/>
                <w:color w:val="auto"/>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457AB8B9">
            <w:pPr>
              <w:spacing w:line="440" w:lineRule="exact"/>
              <w:jc w:val="center"/>
              <w:textAlignment w:val="center"/>
              <w:rPr>
                <w:rFonts w:ascii="宋体" w:hAnsi="宋体"/>
                <w:b/>
                <w:bCs/>
                <w:color w:val="auto"/>
              </w:rPr>
            </w:pPr>
          </w:p>
        </w:tc>
        <w:tc>
          <w:tcPr>
            <w:tcW w:w="2693" w:type="dxa"/>
            <w:tcBorders>
              <w:top w:val="single" w:color="auto" w:sz="4" w:space="0"/>
              <w:left w:val="single" w:color="000000" w:sz="4" w:space="0"/>
              <w:bottom w:val="single" w:color="auto" w:sz="4" w:space="0"/>
              <w:right w:val="single" w:color="000000" w:sz="4" w:space="0"/>
            </w:tcBorders>
            <w:vAlign w:val="center"/>
          </w:tcPr>
          <w:p w14:paraId="464925A9">
            <w:pPr>
              <w:spacing w:line="440" w:lineRule="exact"/>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7B55FBFE">
            <w:pPr>
              <w:spacing w:line="440" w:lineRule="exact"/>
              <w:jc w:val="center"/>
              <w:textAlignment w:val="center"/>
              <w:rPr>
                <w:rFonts w:ascii="宋体" w:hAnsi="宋体"/>
                <w:b/>
                <w:bCs/>
                <w:color w:val="auto"/>
              </w:rPr>
            </w:pPr>
          </w:p>
        </w:tc>
      </w:tr>
    </w:tbl>
    <w:p w14:paraId="7D3D6469">
      <w:pPr>
        <w:pStyle w:val="8"/>
        <w:ind w:left="707" w:leftChars="207" w:hanging="272" w:hangingChars="136"/>
      </w:pPr>
      <w:r>
        <w:rPr>
          <w:rFonts w:hint="eastAsia"/>
        </w:rPr>
        <w:t>注：比选报价如有修正，需填写附表《比选报价修正表》并由比选人代表签字确认。</w:t>
      </w:r>
    </w:p>
    <w:p w14:paraId="0064F4FC">
      <w:pPr>
        <w:jc w:val="center"/>
        <w:rPr>
          <w:b/>
          <w:bCs/>
        </w:rPr>
      </w:pPr>
      <w:r>
        <w:rPr>
          <w:rFonts w:hint="eastAsia"/>
          <w:b/>
          <w:bCs/>
        </w:rPr>
        <w:t>（如有）比选申请报价修正表</w:t>
      </w:r>
    </w:p>
    <w:tbl>
      <w:tblPr>
        <w:tblStyle w:val="16"/>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szCs w:val="21"/>
              </w:rPr>
            </w:pPr>
            <w:r>
              <w:rPr>
                <w:rFonts w:hint="eastAsia" w:ascii="宋体" w:hAnsi="宋体"/>
                <w:b/>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szCs w:val="21"/>
              </w:rPr>
            </w:pPr>
            <w:r>
              <w:rPr>
                <w:rFonts w:hint="eastAsia" w:ascii="宋体" w:hAnsi="宋体"/>
                <w:b/>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szCs w:val="21"/>
              </w:rPr>
            </w:pPr>
            <w:r>
              <w:rPr>
                <w:rFonts w:hint="eastAsia" w:ascii="宋体" w:hAnsi="宋体"/>
                <w:b/>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szCs w:val="21"/>
              </w:rPr>
            </w:pPr>
            <w:r>
              <w:rPr>
                <w:rFonts w:hint="eastAsia" w:ascii="宋体" w:hAnsi="宋体"/>
                <w:b/>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szCs w:val="21"/>
              </w:rPr>
            </w:pPr>
          </w:p>
        </w:tc>
        <w:tc>
          <w:tcPr>
            <w:tcW w:w="2524" w:type="dxa"/>
            <w:tcBorders>
              <w:left w:val="single" w:color="auto" w:sz="4" w:space="0"/>
              <w:right w:val="single" w:color="auto" w:sz="4" w:space="0"/>
            </w:tcBorders>
            <w:vAlign w:val="center"/>
          </w:tcPr>
          <w:p w14:paraId="0A41B035">
            <w:pPr>
              <w:jc w:val="center"/>
              <w:rPr>
                <w:rFonts w:ascii="宋体" w:hAnsi="宋体"/>
                <w:szCs w:val="21"/>
              </w:rPr>
            </w:pPr>
          </w:p>
        </w:tc>
        <w:tc>
          <w:tcPr>
            <w:tcW w:w="2976" w:type="dxa"/>
            <w:tcBorders>
              <w:left w:val="single" w:color="auto" w:sz="4" w:space="0"/>
              <w:right w:val="single" w:color="auto" w:sz="4" w:space="0"/>
            </w:tcBorders>
            <w:vAlign w:val="center"/>
          </w:tcPr>
          <w:p w14:paraId="6954282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szCs w:val="21"/>
              </w:rPr>
            </w:pPr>
          </w:p>
        </w:tc>
      </w:tr>
      <w:tr w14:paraId="20938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B09C78B">
            <w:pPr>
              <w:jc w:val="center"/>
              <w:rPr>
                <w:rFonts w:ascii="宋体" w:hAnsi="宋体"/>
                <w:szCs w:val="21"/>
              </w:rPr>
            </w:pPr>
          </w:p>
        </w:tc>
        <w:tc>
          <w:tcPr>
            <w:tcW w:w="2524" w:type="dxa"/>
            <w:tcBorders>
              <w:left w:val="single" w:color="auto" w:sz="4" w:space="0"/>
              <w:right w:val="single" w:color="auto" w:sz="4" w:space="0"/>
            </w:tcBorders>
            <w:vAlign w:val="center"/>
          </w:tcPr>
          <w:p w14:paraId="58D8EB76">
            <w:pPr>
              <w:jc w:val="center"/>
              <w:rPr>
                <w:rFonts w:ascii="宋体" w:hAnsi="宋体"/>
                <w:szCs w:val="21"/>
              </w:rPr>
            </w:pPr>
          </w:p>
        </w:tc>
        <w:tc>
          <w:tcPr>
            <w:tcW w:w="2976" w:type="dxa"/>
            <w:tcBorders>
              <w:left w:val="single" w:color="auto" w:sz="4" w:space="0"/>
              <w:right w:val="single" w:color="auto" w:sz="4" w:space="0"/>
            </w:tcBorders>
            <w:vAlign w:val="center"/>
          </w:tcPr>
          <w:p w14:paraId="745DF4A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1D535836">
            <w:pPr>
              <w:jc w:val="center"/>
              <w:rPr>
                <w:rFonts w:ascii="宋体" w:hAnsi="宋体"/>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szCs w:val="21"/>
              </w:rPr>
            </w:pPr>
            <w:r>
              <w:rPr>
                <w:rFonts w:hint="eastAsia" w:ascii="宋体" w:hAnsi="宋体"/>
                <w:b/>
                <w:szCs w:val="21"/>
              </w:rPr>
              <w:t>修正前比选申请报价总价（元）：</w:t>
            </w:r>
          </w:p>
        </w:tc>
        <w:tc>
          <w:tcPr>
            <w:tcW w:w="8194" w:type="dxa"/>
            <w:gridSpan w:val="3"/>
            <w:tcBorders>
              <w:left w:val="single" w:color="auto" w:sz="4" w:space="0"/>
              <w:right w:val="single" w:color="auto" w:sz="4" w:space="0"/>
            </w:tcBorders>
            <w:vAlign w:val="center"/>
          </w:tcPr>
          <w:p w14:paraId="0B9F07BC">
            <w:pPr>
              <w:rPr>
                <w:rFonts w:ascii="宋体" w:hAnsi="宋体" w:cs="宋体"/>
                <w:b/>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szCs w:val="21"/>
              </w:rPr>
            </w:pPr>
            <w:r>
              <w:rPr>
                <w:rFonts w:hint="eastAsia" w:ascii="宋体" w:hAnsi="宋体"/>
                <w:b/>
                <w:szCs w:val="21"/>
              </w:rPr>
              <w:t>修正后比选申请报价总价（元）：</w:t>
            </w:r>
          </w:p>
        </w:tc>
        <w:tc>
          <w:tcPr>
            <w:tcW w:w="8194" w:type="dxa"/>
            <w:gridSpan w:val="3"/>
            <w:tcBorders>
              <w:left w:val="single" w:color="auto" w:sz="4" w:space="0"/>
              <w:right w:val="single" w:color="auto" w:sz="4" w:space="0"/>
            </w:tcBorders>
            <w:vAlign w:val="center"/>
          </w:tcPr>
          <w:p w14:paraId="1C3A8A58">
            <w:pPr>
              <w:rPr>
                <w:rFonts w:ascii="宋体" w:hAnsi="宋体" w:cs="宋体"/>
                <w:b/>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1866" w:type="dxa"/>
            <w:tcBorders>
              <w:left w:val="single" w:color="auto" w:sz="4" w:space="0"/>
              <w:right w:val="single" w:color="auto" w:sz="4" w:space="0"/>
            </w:tcBorders>
            <w:vAlign w:val="center"/>
          </w:tcPr>
          <w:p w14:paraId="4307A85D">
            <w:pPr>
              <w:rPr>
                <w:rFonts w:ascii="宋体" w:hAnsi="宋体"/>
                <w:b/>
                <w:szCs w:val="21"/>
              </w:rPr>
            </w:pPr>
            <w:r>
              <w:rPr>
                <w:rFonts w:hint="eastAsia" w:ascii="宋体" w:hAnsi="宋体"/>
                <w:b/>
                <w:szCs w:val="21"/>
              </w:rPr>
              <w:t>比选申请人名称</w:t>
            </w:r>
          </w:p>
        </w:tc>
        <w:tc>
          <w:tcPr>
            <w:tcW w:w="8194" w:type="dxa"/>
            <w:gridSpan w:val="3"/>
            <w:tcBorders>
              <w:left w:val="single" w:color="auto" w:sz="4" w:space="0"/>
              <w:right w:val="single" w:color="auto" w:sz="4" w:space="0"/>
            </w:tcBorders>
            <w:vAlign w:val="center"/>
          </w:tcPr>
          <w:p w14:paraId="33507FDC">
            <w:pPr>
              <w:rPr>
                <w:rFonts w:ascii="宋体" w:hAnsi="宋体" w:cs="宋体"/>
                <w:b/>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szCs w:val="21"/>
              </w:rPr>
            </w:pPr>
            <w:r>
              <w:rPr>
                <w:rFonts w:hint="eastAsia" w:ascii="宋体" w:hAnsi="宋体"/>
                <w:b/>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szCs w:val="21"/>
              </w:rPr>
            </w:pPr>
            <w:r>
              <w:rPr>
                <w:rFonts w:hint="eastAsia" w:ascii="宋体" w:hAnsi="宋体" w:cs="宋体"/>
                <w:b/>
                <w:szCs w:val="21"/>
              </w:rPr>
              <w:t>我单位（</w:t>
            </w:r>
            <w:r>
              <w:rPr>
                <w:rFonts w:ascii="宋体" w:hAnsi="宋体"/>
                <w:b/>
                <w:szCs w:val="21"/>
              </w:rPr>
              <w:t>□</w:t>
            </w:r>
            <w:r>
              <w:rPr>
                <w:rFonts w:hint="eastAsia" w:ascii="宋体" w:hAnsi="宋体" w:cs="宋体"/>
                <w:b/>
                <w:szCs w:val="21"/>
              </w:rPr>
              <w:t>接受</w:t>
            </w:r>
            <w:r>
              <w:rPr>
                <w:rFonts w:ascii="宋体" w:hAnsi="宋体"/>
                <w:b/>
                <w:szCs w:val="21"/>
              </w:rPr>
              <w:t>□不接受</w:t>
            </w:r>
            <w:r>
              <w:rPr>
                <w:rFonts w:hint="eastAsia" w:ascii="宋体" w:hAnsi="宋体"/>
                <w:b/>
                <w:color w:val="auto"/>
                <w:szCs w:val="21"/>
              </w:rPr>
              <w:t>）本评审办法的详细评审条款的价格评</w:t>
            </w:r>
            <w:r>
              <w:rPr>
                <w:rFonts w:hint="eastAsia" w:ascii="宋体" w:hAnsi="宋体"/>
                <w:b/>
                <w:szCs w:val="21"/>
              </w:rPr>
              <w:t>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30D0BF6E">
            <w:pPr>
              <w:rPr>
                <w:rFonts w:ascii="宋体" w:hAnsi="宋体"/>
                <w:b/>
                <w:szCs w:val="21"/>
              </w:rPr>
            </w:pPr>
            <w:r>
              <w:rPr>
                <w:rFonts w:hint="eastAsia" w:ascii="宋体" w:hAnsi="宋体"/>
                <w:b/>
                <w:szCs w:val="21"/>
              </w:rPr>
              <w:t>比选申请人代表签字</w:t>
            </w:r>
          </w:p>
        </w:tc>
        <w:tc>
          <w:tcPr>
            <w:tcW w:w="8194" w:type="dxa"/>
            <w:gridSpan w:val="3"/>
            <w:tcBorders>
              <w:left w:val="single" w:color="auto" w:sz="4" w:space="0"/>
              <w:right w:val="single" w:color="auto" w:sz="4" w:space="0"/>
            </w:tcBorders>
            <w:vAlign w:val="center"/>
          </w:tcPr>
          <w:p w14:paraId="170010DE">
            <w:pPr>
              <w:rPr>
                <w:rFonts w:ascii="宋体" w:hAnsi="宋体" w:cs="宋体"/>
                <w:b/>
                <w:szCs w:val="21"/>
              </w:rPr>
            </w:pPr>
          </w:p>
          <w:p w14:paraId="280AD868">
            <w:pPr>
              <w:ind w:left="1050" w:hanging="1051" w:hangingChars="500"/>
              <w:rPr>
                <w:rFonts w:ascii="宋体" w:hAnsi="宋体" w:cs="宋体"/>
                <w:b/>
                <w:szCs w:val="21"/>
              </w:rPr>
            </w:pPr>
          </w:p>
          <w:p w14:paraId="5A5819E5">
            <w:pPr>
              <w:ind w:left="1050" w:hanging="1051" w:hangingChars="500"/>
              <w:rPr>
                <w:rFonts w:ascii="宋体" w:hAnsi="宋体" w:cs="宋体"/>
                <w:b/>
                <w:szCs w:val="21"/>
              </w:rPr>
            </w:pPr>
          </w:p>
          <w:p w14:paraId="1D576982">
            <w:pPr>
              <w:ind w:left="1050" w:hanging="1051" w:hangingChars="500"/>
              <w:rPr>
                <w:rFonts w:ascii="宋体" w:hAnsi="宋体" w:cs="宋体"/>
                <w:b/>
                <w:szCs w:val="21"/>
              </w:rPr>
            </w:pPr>
            <w:r>
              <w:rPr>
                <w:rFonts w:hint="eastAsia" w:ascii="宋体" w:hAnsi="宋体" w:cs="宋体"/>
                <w:b/>
                <w:szCs w:val="21"/>
              </w:rPr>
              <w:t xml:space="preserve">日期：   </w:t>
            </w:r>
            <w:r>
              <w:rPr>
                <w:rFonts w:ascii="宋体" w:hAnsi="宋体" w:cs="宋体"/>
                <w:b/>
                <w:szCs w:val="21"/>
              </w:rPr>
              <w:t xml:space="preserve"> </w:t>
            </w:r>
            <w:r>
              <w:rPr>
                <w:rFonts w:hint="eastAsia" w:ascii="宋体" w:hAnsi="宋体" w:cs="宋体"/>
                <w:b/>
                <w:szCs w:val="21"/>
              </w:rPr>
              <w:t xml:space="preserve"> 年 </w:t>
            </w:r>
            <w:r>
              <w:rPr>
                <w:rFonts w:ascii="宋体" w:hAnsi="宋体" w:cs="宋体"/>
                <w:b/>
                <w:szCs w:val="21"/>
              </w:rPr>
              <w:t xml:space="preserve">   </w:t>
            </w:r>
            <w:r>
              <w:rPr>
                <w:rFonts w:hint="eastAsia" w:ascii="宋体" w:hAnsi="宋体" w:cs="宋体"/>
                <w:b/>
                <w:szCs w:val="21"/>
              </w:rPr>
              <w:t xml:space="preserve"> 月 </w:t>
            </w:r>
            <w:r>
              <w:rPr>
                <w:rFonts w:ascii="宋体" w:hAnsi="宋体" w:cs="宋体"/>
                <w:b/>
                <w:szCs w:val="21"/>
              </w:rPr>
              <w:t xml:space="preserve"> </w:t>
            </w:r>
            <w:r>
              <w:rPr>
                <w:rFonts w:hint="eastAsia" w:ascii="宋体" w:hAnsi="宋体" w:cs="宋体"/>
                <w:b/>
                <w:szCs w:val="21"/>
              </w:rPr>
              <w:t xml:space="preserve">  日</w:t>
            </w:r>
          </w:p>
        </w:tc>
      </w:tr>
    </w:tbl>
    <w:p w14:paraId="2D9FE07C">
      <w:pPr>
        <w:ind w:left="420"/>
        <w:jc w:val="left"/>
        <w:rPr>
          <w:rFonts w:ascii="宋体" w:hAnsi="宋体"/>
        </w:rPr>
      </w:pPr>
      <w:r>
        <w:rPr>
          <w:rFonts w:hint="eastAsia" w:ascii="宋体" w:hAnsi="宋体"/>
        </w:rPr>
        <w:t>注：</w:t>
      </w:r>
      <w:r>
        <w:rPr>
          <w:rFonts w:hint="eastAsia"/>
        </w:rPr>
        <w:t>若</w:t>
      </w:r>
      <w:r>
        <w:t>修正后的总价</w:t>
      </w:r>
      <w:r>
        <w:rPr>
          <w:rFonts w:hint="eastAsia"/>
        </w:rPr>
        <w:t>与</w:t>
      </w:r>
      <w:r>
        <w:t>比选申请报价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如比选申请人不接受按以上规则确定的评标总价和中标价，则其比选申请将被拒绝。</w:t>
      </w:r>
    </w:p>
    <w:p w14:paraId="3C9F14A2">
      <w:pPr>
        <w:widowControl/>
        <w:jc w:val="left"/>
        <w:rPr>
          <w:b/>
          <w:bCs/>
        </w:rPr>
      </w:pPr>
      <w:r>
        <w:rPr>
          <w:b/>
          <w:bCs/>
        </w:rPr>
        <w:br w:type="page"/>
      </w:r>
    </w:p>
    <w:p w14:paraId="735724D7">
      <w:pPr>
        <w:jc w:val="left"/>
        <w:rPr>
          <w:b/>
          <w:bCs/>
        </w:rPr>
      </w:pPr>
      <w:r>
        <w:rPr>
          <w:rFonts w:hint="eastAsia"/>
          <w:b/>
          <w:bCs/>
        </w:rPr>
        <w:t>附表四评审得分汇总表</w:t>
      </w:r>
    </w:p>
    <w:p w14:paraId="210E3F1C">
      <w:pPr>
        <w:pStyle w:val="8"/>
        <w:jc w:val="center"/>
        <w:rPr>
          <w:rFonts w:hAnsi="宋体" w:cs="Times New Roman"/>
          <w:b/>
          <w:sz w:val="28"/>
          <w:szCs w:val="28"/>
        </w:rPr>
      </w:pPr>
      <w:r>
        <w:rPr>
          <w:rFonts w:hint="eastAsia" w:hAnsi="宋体" w:cs="Times New Roman"/>
          <w:b/>
          <w:sz w:val="28"/>
          <w:szCs w:val="28"/>
        </w:rPr>
        <w:t>评审得分汇总表</w:t>
      </w:r>
    </w:p>
    <w:tbl>
      <w:tblPr>
        <w:tblStyle w:val="17"/>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sz w:val="24"/>
                <w:szCs w:val="24"/>
              </w:rPr>
            </w:pPr>
            <w:r>
              <w:rPr>
                <w:rFonts w:hint="eastAsia" w:ascii="宋体" w:hAnsi="宋体"/>
                <w:b/>
                <w:sz w:val="24"/>
                <w:szCs w:val="24"/>
              </w:rPr>
              <w:t>序号</w:t>
            </w:r>
          </w:p>
        </w:tc>
        <w:tc>
          <w:tcPr>
            <w:tcW w:w="2694" w:type="dxa"/>
            <w:vAlign w:val="center"/>
          </w:tcPr>
          <w:p w14:paraId="204776C8">
            <w:pPr>
              <w:jc w:val="center"/>
              <w:rPr>
                <w:rFonts w:ascii="宋体" w:hAnsi="宋体"/>
                <w:b/>
                <w:sz w:val="24"/>
                <w:szCs w:val="24"/>
              </w:rPr>
            </w:pPr>
            <w:r>
              <w:rPr>
                <w:rFonts w:hint="eastAsia" w:ascii="宋体" w:hAnsi="宋体"/>
                <w:b/>
                <w:sz w:val="24"/>
                <w:szCs w:val="24"/>
              </w:rPr>
              <w:t>项目</w:t>
            </w:r>
          </w:p>
        </w:tc>
        <w:tc>
          <w:tcPr>
            <w:tcW w:w="2409" w:type="dxa"/>
            <w:vAlign w:val="center"/>
          </w:tcPr>
          <w:p w14:paraId="4E59613B">
            <w:pPr>
              <w:jc w:val="center"/>
              <w:rPr>
                <w:rFonts w:ascii="宋体" w:hAnsi="宋体"/>
                <w:b/>
                <w:sz w:val="24"/>
                <w:szCs w:val="24"/>
              </w:rPr>
            </w:pPr>
            <w:r>
              <w:rPr>
                <w:rFonts w:hint="eastAsia" w:ascii="宋体" w:hAnsi="宋体"/>
                <w:b/>
                <w:sz w:val="24"/>
                <w:szCs w:val="24"/>
              </w:rPr>
              <w:t>满分</w:t>
            </w:r>
          </w:p>
        </w:tc>
        <w:tc>
          <w:tcPr>
            <w:tcW w:w="1985" w:type="dxa"/>
            <w:vAlign w:val="center"/>
          </w:tcPr>
          <w:p w14:paraId="73F1FB78">
            <w:pPr>
              <w:jc w:val="center"/>
              <w:rPr>
                <w:rFonts w:ascii="宋体" w:hAnsi="宋体"/>
                <w:b/>
                <w:sz w:val="24"/>
                <w:szCs w:val="24"/>
              </w:rPr>
            </w:pPr>
            <w:r>
              <w:rPr>
                <w:rFonts w:hint="eastAsia" w:ascii="宋体" w:hAnsi="宋体"/>
                <w:b/>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8"/>
              <w:jc w:val="center"/>
              <w:rPr>
                <w:rFonts w:hAnsi="宋体"/>
                <w:b/>
              </w:rPr>
            </w:pPr>
            <w:r>
              <w:rPr>
                <w:rFonts w:hint="eastAsia" w:hAnsi="宋体"/>
                <w:b/>
              </w:rPr>
              <w:t>1</w:t>
            </w:r>
          </w:p>
        </w:tc>
        <w:tc>
          <w:tcPr>
            <w:tcW w:w="2694" w:type="dxa"/>
            <w:vAlign w:val="center"/>
          </w:tcPr>
          <w:p w14:paraId="1F2ED07F">
            <w:pPr>
              <w:pStyle w:val="8"/>
              <w:jc w:val="center"/>
              <w:rPr>
                <w:rFonts w:hAnsi="宋体"/>
                <w:b/>
              </w:rPr>
            </w:pPr>
            <w:r>
              <w:rPr>
                <w:rFonts w:hint="eastAsia" w:hAnsi="宋体"/>
                <w:b/>
                <w:lang w:val="en-US" w:eastAsia="zh-CN"/>
              </w:rPr>
              <w:t>资信</w:t>
            </w:r>
            <w:r>
              <w:rPr>
                <w:rFonts w:hint="eastAsia" w:hAnsi="宋体"/>
                <w:b/>
              </w:rPr>
              <w:t>文件得分</w:t>
            </w:r>
          </w:p>
        </w:tc>
        <w:tc>
          <w:tcPr>
            <w:tcW w:w="2409" w:type="dxa"/>
            <w:vAlign w:val="center"/>
          </w:tcPr>
          <w:p w14:paraId="20F7D35E">
            <w:pPr>
              <w:pStyle w:val="8"/>
              <w:jc w:val="center"/>
              <w:rPr>
                <w:rFonts w:hint="default" w:hAnsi="宋体" w:eastAsia="宋体"/>
                <w:b/>
                <w:lang w:val="en-US" w:eastAsia="zh-CN"/>
              </w:rPr>
            </w:pPr>
            <w:r>
              <w:rPr>
                <w:rFonts w:hint="eastAsia" w:hAnsi="宋体"/>
                <w:b/>
                <w:lang w:val="en-US" w:eastAsia="zh-CN"/>
              </w:rPr>
              <w:t>20</w:t>
            </w:r>
          </w:p>
        </w:tc>
        <w:tc>
          <w:tcPr>
            <w:tcW w:w="1985" w:type="dxa"/>
            <w:vAlign w:val="center"/>
          </w:tcPr>
          <w:p w14:paraId="3C50CC34">
            <w:pPr>
              <w:pStyle w:val="8"/>
              <w:jc w:val="center"/>
              <w:rPr>
                <w:rFonts w:hAnsi="宋体"/>
                <w:b/>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8"/>
              <w:jc w:val="center"/>
              <w:rPr>
                <w:rFonts w:hAnsi="宋体"/>
                <w:b/>
              </w:rPr>
            </w:pPr>
            <w:r>
              <w:rPr>
                <w:rFonts w:hint="eastAsia" w:hAnsi="宋体"/>
                <w:b/>
              </w:rPr>
              <w:t>2</w:t>
            </w:r>
          </w:p>
        </w:tc>
        <w:tc>
          <w:tcPr>
            <w:tcW w:w="2694" w:type="dxa"/>
            <w:vAlign w:val="center"/>
          </w:tcPr>
          <w:p w14:paraId="61D7343F">
            <w:pPr>
              <w:pStyle w:val="8"/>
              <w:jc w:val="center"/>
              <w:rPr>
                <w:rFonts w:hAnsi="宋体"/>
                <w:b/>
              </w:rPr>
            </w:pPr>
            <w:r>
              <w:rPr>
                <w:rFonts w:hint="eastAsia" w:hAnsi="宋体"/>
                <w:b/>
              </w:rPr>
              <w:t>价格文件得分</w:t>
            </w:r>
          </w:p>
        </w:tc>
        <w:tc>
          <w:tcPr>
            <w:tcW w:w="2409" w:type="dxa"/>
            <w:vAlign w:val="center"/>
          </w:tcPr>
          <w:p w14:paraId="2834DCE4">
            <w:pPr>
              <w:pStyle w:val="8"/>
              <w:jc w:val="center"/>
              <w:rPr>
                <w:rFonts w:hint="default" w:hAnsi="宋体" w:eastAsia="宋体"/>
                <w:b/>
                <w:lang w:val="en-US" w:eastAsia="zh-CN"/>
              </w:rPr>
            </w:pPr>
            <w:r>
              <w:rPr>
                <w:rFonts w:hint="eastAsia" w:hAnsi="宋体"/>
                <w:b/>
                <w:lang w:val="en-US" w:eastAsia="zh-CN"/>
              </w:rPr>
              <w:t>80</w:t>
            </w:r>
          </w:p>
        </w:tc>
        <w:tc>
          <w:tcPr>
            <w:tcW w:w="1985" w:type="dxa"/>
            <w:vAlign w:val="center"/>
          </w:tcPr>
          <w:p w14:paraId="3057FBB2">
            <w:pPr>
              <w:pStyle w:val="8"/>
              <w:ind w:left="0" w:firstLine="0"/>
              <w:jc w:val="center"/>
              <w:rPr>
                <w:rFonts w:hAnsi="宋体"/>
                <w:b/>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8"/>
              <w:jc w:val="center"/>
              <w:rPr>
                <w:rFonts w:hAnsi="宋体"/>
                <w:b/>
              </w:rPr>
            </w:pPr>
            <w:r>
              <w:rPr>
                <w:rFonts w:hint="eastAsia" w:hAnsi="宋体"/>
                <w:b/>
              </w:rPr>
              <w:t>最终得分（合计）</w:t>
            </w:r>
          </w:p>
        </w:tc>
        <w:tc>
          <w:tcPr>
            <w:tcW w:w="1985" w:type="dxa"/>
            <w:vAlign w:val="center"/>
          </w:tcPr>
          <w:p w14:paraId="6244C4FB">
            <w:pPr>
              <w:pStyle w:val="8"/>
              <w:jc w:val="center"/>
              <w:rPr>
                <w:rFonts w:hAnsi="宋体"/>
                <w:b/>
              </w:rPr>
            </w:pPr>
          </w:p>
        </w:tc>
      </w:tr>
    </w:tbl>
    <w:p w14:paraId="378CD967">
      <w:pPr>
        <w:rPr>
          <w:b/>
          <w:bCs/>
        </w:rPr>
      </w:pPr>
    </w:p>
    <w:p w14:paraId="06E938E2">
      <w:pPr>
        <w:jc w:val="center"/>
        <w:rPr>
          <w:rFonts w:ascii="宋体" w:hAnsi="宋体" w:eastAsia="宋体"/>
          <w:b/>
          <w:bCs/>
          <w:sz w:val="36"/>
          <w:szCs w:val="36"/>
        </w:rPr>
      </w:pPr>
    </w:p>
    <w:p w14:paraId="07424ED1">
      <w:pPr>
        <w:jc w:val="center"/>
        <w:rPr>
          <w:rFonts w:ascii="宋体" w:hAnsi="宋体" w:eastAsia="宋体"/>
          <w:b/>
          <w:bCs/>
          <w:sz w:val="36"/>
          <w:szCs w:val="36"/>
        </w:rPr>
      </w:pPr>
    </w:p>
    <w:p w14:paraId="48DC744C">
      <w:pPr>
        <w:jc w:val="center"/>
        <w:rPr>
          <w:rFonts w:ascii="宋体" w:hAnsi="宋体" w:eastAsia="宋体"/>
          <w:b/>
          <w:bCs/>
          <w:sz w:val="36"/>
          <w:szCs w:val="36"/>
        </w:rPr>
      </w:pPr>
    </w:p>
    <w:p w14:paraId="7549F2EE">
      <w:pPr>
        <w:rPr>
          <w:b/>
          <w:bCs/>
          <w:color w:val="auto"/>
          <w:highlight w:val="none"/>
        </w:rPr>
      </w:pPr>
    </w:p>
    <w:p w14:paraId="6301ADE0">
      <w:pPr>
        <w:pStyle w:val="6"/>
        <w:rPr>
          <w:color w:val="auto"/>
          <w:highlight w:val="none"/>
        </w:rPr>
      </w:pPr>
    </w:p>
    <w:p w14:paraId="7C6645B0">
      <w:pPr>
        <w:rPr>
          <w:b/>
          <w:bCs/>
          <w:color w:val="auto"/>
          <w:highlight w:val="none"/>
        </w:rPr>
      </w:pPr>
    </w:p>
    <w:p w14:paraId="582CDE31">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7BCA3FFF">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w:t>
      </w:r>
      <w:r>
        <w:rPr>
          <w:rFonts w:hint="eastAsia" w:ascii="宋体" w:hAnsi="宋体" w:eastAsia="宋体"/>
          <w:b/>
          <w:bCs/>
          <w:color w:val="auto"/>
          <w:sz w:val="36"/>
          <w:szCs w:val="36"/>
          <w:highlight w:val="none"/>
          <w:lang w:val="en-US" w:eastAsia="zh-CN"/>
        </w:rPr>
        <w:t>五</w:t>
      </w:r>
      <w:r>
        <w:rPr>
          <w:rFonts w:hint="eastAsia" w:ascii="宋体" w:hAnsi="宋体" w:eastAsia="宋体"/>
          <w:b/>
          <w:bCs/>
          <w:color w:val="auto"/>
          <w:sz w:val="36"/>
          <w:szCs w:val="36"/>
          <w:highlight w:val="none"/>
        </w:rPr>
        <w:t>章</w:t>
      </w:r>
      <w:r>
        <w:rPr>
          <w:rFonts w:hint="eastAsia" w:ascii="宋体" w:hAnsi="宋体" w:eastAsia="宋体"/>
          <w:b/>
          <w:bCs/>
          <w:color w:val="auto"/>
          <w:sz w:val="36"/>
          <w:szCs w:val="36"/>
          <w:highlight w:val="none"/>
          <w:lang w:val="en-US" w:eastAsia="zh-CN"/>
        </w:rPr>
        <w:t xml:space="preserve"> </w:t>
      </w:r>
      <w:r>
        <w:rPr>
          <w:rFonts w:hint="eastAsia" w:ascii="宋体" w:hAnsi="宋体" w:eastAsia="宋体"/>
          <w:b/>
          <w:bCs/>
          <w:color w:val="auto"/>
          <w:sz w:val="36"/>
          <w:szCs w:val="36"/>
          <w:highlight w:val="none"/>
        </w:rPr>
        <w:t>比选申请文件格式</w:t>
      </w:r>
    </w:p>
    <w:p w14:paraId="217909FF">
      <w:pPr>
        <w:jc w:val="center"/>
        <w:rPr>
          <w:rFonts w:ascii="宋体" w:hAnsi="宋体" w:eastAsia="宋体"/>
          <w:b/>
          <w:bCs/>
          <w:color w:val="auto"/>
          <w:sz w:val="36"/>
          <w:szCs w:val="36"/>
          <w:highlight w:val="none"/>
        </w:rPr>
      </w:pPr>
    </w:p>
    <w:p w14:paraId="79F78E70">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170C82AD">
      <w:pPr>
        <w:jc w:val="center"/>
        <w:rPr>
          <w:rFonts w:ascii="宋体" w:hAnsi="宋体" w:eastAsia="宋体"/>
          <w:b/>
          <w:bCs/>
          <w:color w:val="auto"/>
          <w:sz w:val="36"/>
          <w:szCs w:val="36"/>
          <w:highlight w:val="none"/>
        </w:rPr>
      </w:pPr>
    </w:p>
    <w:p w14:paraId="4F948EE0">
      <w:pPr>
        <w:jc w:val="center"/>
        <w:rPr>
          <w:rFonts w:ascii="宋体" w:hAnsi="宋体" w:eastAsia="宋体"/>
          <w:b/>
          <w:bCs/>
          <w:color w:val="auto"/>
          <w:sz w:val="36"/>
          <w:szCs w:val="36"/>
          <w:highlight w:val="none"/>
        </w:rPr>
      </w:pPr>
    </w:p>
    <w:p w14:paraId="5CAB3D60">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0EA88F22">
      <w:pPr>
        <w:jc w:val="center"/>
        <w:rPr>
          <w:rFonts w:ascii="宋体" w:hAnsi="宋体" w:eastAsia="宋体"/>
          <w:color w:val="auto"/>
          <w:sz w:val="52"/>
          <w:szCs w:val="52"/>
          <w:highlight w:val="none"/>
          <w:u w:val="single"/>
        </w:rPr>
      </w:pPr>
    </w:p>
    <w:p w14:paraId="07A12F9F">
      <w:pPr>
        <w:jc w:val="center"/>
        <w:rPr>
          <w:rFonts w:hint="eastAsia" w:ascii="宋体" w:hAnsi="宋体" w:eastAsia="宋体"/>
          <w:color w:val="auto"/>
          <w:sz w:val="32"/>
          <w:szCs w:val="32"/>
          <w:highlight w:val="none"/>
          <w:lang w:val="en-US" w:eastAsia="zh-CN"/>
        </w:rPr>
      </w:pPr>
      <w:r>
        <w:rPr>
          <w:rFonts w:hint="eastAsia" w:ascii="宋体" w:hAnsi="宋体" w:eastAsia="宋体"/>
          <w:color w:val="auto"/>
          <w:sz w:val="48"/>
          <w:szCs w:val="48"/>
          <w:highlight w:val="none"/>
          <w:u w:val="single"/>
          <w:lang w:eastAsia="zh-CN"/>
        </w:rPr>
        <w:t>南宁轨道地产建筑工程有限责任公司2025年-2026年法律顾问采购</w:t>
      </w:r>
    </w:p>
    <w:p w14:paraId="6E7BE197">
      <w:pPr>
        <w:jc w:val="center"/>
        <w:rPr>
          <w:rFonts w:ascii="宋体" w:hAnsi="宋体" w:eastAsia="宋体"/>
          <w:color w:val="auto"/>
          <w:sz w:val="36"/>
          <w:szCs w:val="36"/>
          <w:highlight w:val="none"/>
        </w:rPr>
      </w:pPr>
    </w:p>
    <w:p w14:paraId="49444DCC">
      <w:pPr>
        <w:jc w:val="center"/>
        <w:rPr>
          <w:rFonts w:ascii="宋体" w:hAnsi="宋体" w:eastAsia="宋体"/>
          <w:color w:val="auto"/>
          <w:sz w:val="36"/>
          <w:szCs w:val="36"/>
          <w:highlight w:val="none"/>
        </w:rPr>
      </w:pPr>
    </w:p>
    <w:p w14:paraId="091F2608">
      <w:pPr>
        <w:jc w:val="center"/>
        <w:rPr>
          <w:rFonts w:ascii="宋体" w:hAnsi="宋体" w:eastAsia="宋体"/>
          <w:color w:val="auto"/>
          <w:sz w:val="36"/>
          <w:szCs w:val="36"/>
          <w:highlight w:val="none"/>
        </w:rPr>
      </w:pPr>
    </w:p>
    <w:p w14:paraId="0DB33111">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55860C75">
      <w:pPr>
        <w:jc w:val="center"/>
        <w:rPr>
          <w:rFonts w:ascii="宋体" w:hAnsi="宋体" w:eastAsia="宋体"/>
          <w:color w:val="auto"/>
          <w:sz w:val="36"/>
          <w:szCs w:val="36"/>
          <w:highlight w:val="none"/>
        </w:rPr>
      </w:pPr>
    </w:p>
    <w:p w14:paraId="53DB94DA">
      <w:pPr>
        <w:jc w:val="center"/>
        <w:rPr>
          <w:rFonts w:ascii="宋体" w:hAnsi="宋体" w:eastAsia="宋体"/>
          <w:color w:val="auto"/>
          <w:sz w:val="36"/>
          <w:szCs w:val="36"/>
          <w:highlight w:val="none"/>
        </w:rPr>
      </w:pPr>
    </w:p>
    <w:p w14:paraId="3AF2D0EA">
      <w:pPr>
        <w:jc w:val="center"/>
        <w:rPr>
          <w:rFonts w:ascii="宋体" w:hAnsi="宋体" w:eastAsia="宋体"/>
          <w:color w:val="auto"/>
          <w:sz w:val="36"/>
          <w:szCs w:val="36"/>
          <w:highlight w:val="none"/>
        </w:rPr>
      </w:pPr>
    </w:p>
    <w:p w14:paraId="7058DF10">
      <w:pPr>
        <w:jc w:val="center"/>
        <w:rPr>
          <w:rFonts w:ascii="宋体" w:hAnsi="宋体" w:eastAsia="宋体"/>
          <w:color w:val="auto"/>
          <w:sz w:val="36"/>
          <w:szCs w:val="36"/>
          <w:highlight w:val="none"/>
        </w:rPr>
      </w:pPr>
    </w:p>
    <w:p w14:paraId="5A1347B1">
      <w:pPr>
        <w:jc w:val="center"/>
        <w:rPr>
          <w:rFonts w:ascii="宋体" w:hAnsi="宋体" w:eastAsia="宋体"/>
          <w:color w:val="auto"/>
          <w:sz w:val="36"/>
          <w:szCs w:val="36"/>
          <w:highlight w:val="none"/>
        </w:rPr>
      </w:pPr>
    </w:p>
    <w:p w14:paraId="7DEBADCD">
      <w:pPr>
        <w:jc w:val="center"/>
        <w:rPr>
          <w:rFonts w:ascii="宋体" w:hAnsi="宋体" w:eastAsia="宋体"/>
          <w:color w:val="auto"/>
          <w:sz w:val="36"/>
          <w:szCs w:val="36"/>
          <w:highlight w:val="none"/>
        </w:rPr>
      </w:pPr>
    </w:p>
    <w:p w14:paraId="08E7433B">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52AEE962">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097D117F">
      <w:pPr>
        <w:rPr>
          <w:rFonts w:ascii="宋体" w:hAnsi="宋体" w:eastAsia="宋体"/>
          <w:b/>
          <w:bCs/>
          <w:color w:val="auto"/>
          <w:sz w:val="36"/>
          <w:szCs w:val="36"/>
          <w:highlight w:val="none"/>
        </w:rPr>
      </w:pPr>
    </w:p>
    <w:p w14:paraId="4FC974C7">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4F3E186A">
      <w:pPr>
        <w:jc w:val="center"/>
        <w:rPr>
          <w:rFonts w:ascii="宋体" w:hAnsi="宋体" w:eastAsia="宋体"/>
          <w:b/>
          <w:bCs/>
          <w:sz w:val="44"/>
          <w:szCs w:val="44"/>
        </w:rPr>
      </w:pPr>
      <w:r>
        <w:rPr>
          <w:rFonts w:hint="eastAsia" w:ascii="宋体" w:hAnsi="宋体" w:eastAsia="宋体"/>
          <w:b/>
          <w:bCs/>
          <w:sz w:val="44"/>
          <w:szCs w:val="44"/>
        </w:rPr>
        <w:t>目  录</w:t>
      </w:r>
    </w:p>
    <w:p w14:paraId="7954EDED">
      <w:pPr>
        <w:rPr>
          <w:rFonts w:ascii="宋体" w:hAnsi="宋体" w:eastAsia="宋体"/>
          <w:b/>
          <w:bCs/>
          <w:sz w:val="36"/>
          <w:szCs w:val="36"/>
        </w:rPr>
      </w:pPr>
    </w:p>
    <w:p w14:paraId="7791818B">
      <w:pPr>
        <w:rPr>
          <w:rFonts w:ascii="宋体" w:hAnsi="宋体" w:eastAsia="宋体"/>
          <w:b/>
          <w:bCs/>
          <w:sz w:val="30"/>
          <w:szCs w:val="30"/>
        </w:rPr>
      </w:pPr>
      <w:r>
        <w:rPr>
          <w:rFonts w:hint="eastAsia" w:ascii="宋体" w:hAnsi="宋体" w:eastAsia="宋体"/>
          <w:b/>
          <w:bCs/>
          <w:sz w:val="30"/>
          <w:szCs w:val="30"/>
        </w:rPr>
        <w:t>第一部分资格审查文件</w:t>
      </w:r>
    </w:p>
    <w:p w14:paraId="2AF99E08">
      <w:pPr>
        <w:rPr>
          <w:rFonts w:ascii="宋体" w:hAnsi="宋体" w:eastAsia="宋体"/>
          <w:b/>
          <w:bCs/>
          <w:sz w:val="30"/>
          <w:szCs w:val="30"/>
        </w:rPr>
      </w:pPr>
      <w:r>
        <w:rPr>
          <w:rFonts w:hint="eastAsia" w:ascii="宋体" w:hAnsi="宋体" w:eastAsia="宋体"/>
          <w:b/>
          <w:bCs/>
          <w:sz w:val="30"/>
          <w:szCs w:val="30"/>
        </w:rPr>
        <w:t>第二部分技术文件</w:t>
      </w:r>
    </w:p>
    <w:p w14:paraId="68A03CD8">
      <w:pPr>
        <w:rPr>
          <w:rFonts w:ascii="宋体" w:hAnsi="宋体" w:eastAsia="宋体"/>
          <w:b/>
          <w:bCs/>
          <w:sz w:val="30"/>
          <w:szCs w:val="30"/>
        </w:rPr>
      </w:pPr>
      <w:r>
        <w:rPr>
          <w:rFonts w:hint="eastAsia" w:ascii="宋体" w:hAnsi="宋体" w:eastAsia="宋体"/>
          <w:b/>
          <w:bCs/>
          <w:sz w:val="30"/>
          <w:szCs w:val="30"/>
        </w:rPr>
        <w:t>第三部分报价文件</w:t>
      </w:r>
    </w:p>
    <w:p w14:paraId="6D51187E">
      <w:pPr>
        <w:rPr>
          <w:rFonts w:ascii="宋体" w:hAnsi="宋体" w:eastAsia="宋体"/>
          <w:b/>
          <w:bCs/>
          <w:sz w:val="36"/>
          <w:szCs w:val="36"/>
        </w:rPr>
      </w:pPr>
    </w:p>
    <w:p w14:paraId="7AF69485">
      <w:pPr>
        <w:rPr>
          <w:rFonts w:ascii="宋体" w:hAnsi="宋体" w:eastAsia="宋体" w:cs="宋体"/>
          <w:b/>
          <w:bCs/>
          <w:sz w:val="32"/>
          <w:szCs w:val="32"/>
          <w:u w:val="single"/>
        </w:rPr>
      </w:pPr>
      <w:r>
        <w:rPr>
          <w:rFonts w:hint="eastAsia" w:ascii="宋体" w:hAnsi="宋体" w:eastAsia="宋体" w:cs="宋体"/>
          <w:b/>
          <w:bCs/>
          <w:sz w:val="32"/>
          <w:szCs w:val="32"/>
          <w:u w:val="single"/>
        </w:rPr>
        <w:t>（文件请按以下提供的文本顺序编排）</w:t>
      </w:r>
    </w:p>
    <w:p w14:paraId="6FC41459">
      <w:pPr>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1CDB8A2A">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第一部分 资格审查</w:t>
      </w:r>
    </w:p>
    <w:p w14:paraId="3E209842">
      <w:pPr>
        <w:pStyle w:val="25"/>
        <w:numPr>
          <w:ilvl w:val="0"/>
          <w:numId w:val="2"/>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084A4C04">
      <w:pPr>
        <w:pStyle w:val="25"/>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03DE3B62">
      <w:pPr>
        <w:spacing w:line="700" w:lineRule="exact"/>
        <w:ind w:firstLine="612"/>
        <w:rPr>
          <w:rFonts w:ascii="宋体" w:hAnsi="宋体" w:eastAsia="宋体" w:cs="宋体"/>
          <w:color w:val="auto"/>
          <w:sz w:val="24"/>
          <w:szCs w:val="24"/>
          <w:highlight w:val="none"/>
        </w:rPr>
      </w:pPr>
      <w:bookmarkStart w:id="817"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南宁轨道地产建筑工程有限责任公司2025年-2026年法律顾问采购</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17"/>
    </w:p>
    <w:p w14:paraId="3CBAA3F4">
      <w:pPr>
        <w:spacing w:line="700" w:lineRule="exact"/>
        <w:ind w:firstLine="480" w:firstLineChars="200"/>
        <w:rPr>
          <w:rFonts w:ascii="宋体" w:hAnsi="宋体" w:eastAsia="宋体" w:cs="宋体"/>
          <w:color w:val="auto"/>
          <w:sz w:val="24"/>
          <w:szCs w:val="24"/>
          <w:highlight w:val="none"/>
        </w:rPr>
      </w:pPr>
      <w:bookmarkStart w:id="818" w:name="_Toc251051978"/>
      <w:r>
        <w:rPr>
          <w:rFonts w:hint="eastAsia" w:ascii="宋体" w:hAnsi="宋体" w:eastAsia="宋体" w:cs="宋体"/>
          <w:color w:val="auto"/>
          <w:sz w:val="24"/>
          <w:szCs w:val="24"/>
          <w:highlight w:val="none"/>
        </w:rPr>
        <w:t>代理人无转委托权，特此委托。</w:t>
      </w:r>
      <w:bookmarkEnd w:id="818"/>
    </w:p>
    <w:p w14:paraId="594868D9">
      <w:pPr>
        <w:spacing w:line="700" w:lineRule="exact"/>
        <w:rPr>
          <w:rFonts w:ascii="宋体" w:hAnsi="宋体" w:eastAsia="宋体" w:cs="宋体"/>
          <w:color w:val="auto"/>
          <w:sz w:val="24"/>
          <w:szCs w:val="24"/>
          <w:highlight w:val="none"/>
        </w:rPr>
      </w:pPr>
      <w:bookmarkStart w:id="819" w:name="_Toc251051981"/>
    </w:p>
    <w:p w14:paraId="1875F914">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19"/>
    </w:p>
    <w:p w14:paraId="0174D0A3">
      <w:pPr>
        <w:spacing w:line="700" w:lineRule="exact"/>
        <w:rPr>
          <w:rFonts w:ascii="宋体" w:hAnsi="宋体" w:eastAsia="宋体" w:cs="宋体"/>
          <w:color w:val="auto"/>
          <w:sz w:val="24"/>
          <w:szCs w:val="24"/>
          <w:highlight w:val="none"/>
        </w:rPr>
      </w:pPr>
      <w:bookmarkStart w:id="820" w:name="_Toc251051979"/>
      <w:bookmarkStart w:id="821"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41FCEFC8">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20"/>
      <w:bookmarkStart w:id="822"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21"/>
    <w:bookmarkEnd w:id="822"/>
    <w:p w14:paraId="5DCD6C29">
      <w:pPr>
        <w:spacing w:line="700" w:lineRule="exact"/>
        <w:rPr>
          <w:rFonts w:ascii="宋体" w:hAnsi="宋体" w:eastAsia="宋体" w:cs="宋体"/>
          <w:color w:val="auto"/>
          <w:sz w:val="24"/>
          <w:szCs w:val="24"/>
          <w:highlight w:val="none"/>
        </w:rPr>
      </w:pPr>
      <w:bookmarkStart w:id="823"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23"/>
    </w:p>
    <w:p w14:paraId="4467FAD1">
      <w:pPr>
        <w:spacing w:line="700" w:lineRule="exact"/>
        <w:rPr>
          <w:rFonts w:ascii="宋体" w:hAnsi="宋体" w:eastAsia="宋体" w:cs="宋体"/>
          <w:color w:val="auto"/>
          <w:sz w:val="24"/>
          <w:szCs w:val="24"/>
          <w:highlight w:val="none"/>
        </w:rPr>
      </w:pPr>
    </w:p>
    <w:p w14:paraId="11F8A765">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09DF92B2">
      <w:pPr>
        <w:jc w:val="center"/>
        <w:rPr>
          <w:rFonts w:ascii="宋体" w:hAnsi="宋体" w:eastAsia="宋体" w:cs="宋体"/>
          <w:b/>
          <w:bCs/>
          <w:color w:val="auto"/>
          <w:sz w:val="36"/>
          <w:szCs w:val="36"/>
          <w:highlight w:val="none"/>
        </w:rPr>
      </w:pPr>
    </w:p>
    <w:p w14:paraId="6E7824C8">
      <w:pPr>
        <w:jc w:val="center"/>
        <w:rPr>
          <w:rFonts w:ascii="宋体" w:hAnsi="宋体" w:eastAsia="宋体" w:cs="宋体"/>
          <w:b/>
          <w:bCs/>
          <w:color w:val="auto"/>
          <w:sz w:val="36"/>
          <w:szCs w:val="36"/>
          <w:highlight w:val="none"/>
        </w:rPr>
      </w:pPr>
    </w:p>
    <w:p w14:paraId="549BA88B">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6376A48">
      <w:pPr>
        <w:pStyle w:val="25"/>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3AA25C82">
      <w:pPr>
        <w:spacing w:line="800" w:lineRule="exact"/>
        <w:rPr>
          <w:rFonts w:ascii="宋体" w:hAnsi="宋体" w:eastAsia="宋体" w:cs="宋体"/>
          <w:color w:val="auto"/>
          <w:kern w:val="0"/>
          <w:sz w:val="28"/>
          <w:szCs w:val="28"/>
          <w:highlight w:val="none"/>
        </w:rPr>
      </w:pPr>
    </w:p>
    <w:p w14:paraId="36D63684">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33F9F21E">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142FA508">
      <w:pPr>
        <w:spacing w:line="800" w:lineRule="exact"/>
        <w:rPr>
          <w:rFonts w:ascii="宋体" w:hAnsi="宋体" w:eastAsia="宋体" w:cs="宋体"/>
          <w:color w:val="auto"/>
          <w:sz w:val="28"/>
          <w:szCs w:val="28"/>
          <w:highlight w:val="none"/>
        </w:rPr>
      </w:pPr>
    </w:p>
    <w:p w14:paraId="746C299D">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02A5B85E">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323CB5BA">
      <w:pPr>
        <w:jc w:val="center"/>
        <w:rPr>
          <w:rFonts w:ascii="宋体" w:hAnsi="宋体" w:eastAsia="宋体" w:cs="宋体"/>
          <w:b/>
          <w:bCs/>
          <w:color w:val="auto"/>
          <w:sz w:val="36"/>
          <w:szCs w:val="36"/>
          <w:highlight w:val="none"/>
        </w:rPr>
      </w:pPr>
    </w:p>
    <w:p w14:paraId="3D4FE41B">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2B59115C">
      <w:pPr>
        <w:pStyle w:val="2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5C7D690">
      <w:pPr>
        <w:jc w:val="left"/>
        <w:rPr>
          <w:rFonts w:ascii="宋体" w:hAnsi="宋体" w:eastAsia="宋体" w:cs="宋体"/>
          <w:b/>
          <w:bCs/>
          <w:sz w:val="28"/>
          <w:szCs w:val="28"/>
        </w:rPr>
      </w:pPr>
      <w:r>
        <w:rPr>
          <w:rFonts w:hint="eastAsia" w:ascii="宋体" w:hAnsi="宋体" w:eastAsia="宋体" w:cs="宋体"/>
          <w:b/>
          <w:bCs/>
          <w:sz w:val="28"/>
          <w:szCs w:val="28"/>
        </w:rPr>
        <w:t>资格文件要求：</w:t>
      </w:r>
      <w:r>
        <w:rPr>
          <w:rFonts w:hint="eastAsia" w:ascii="宋体" w:hAnsi="宋体" w:eastAsia="宋体" w:cs="宋体"/>
          <w:b/>
          <w:bCs/>
          <w:sz w:val="28"/>
          <w:szCs w:val="28"/>
          <w:u w:val="single"/>
        </w:rPr>
        <w:t>请按以下顺序编排，并提供以下有效证照</w:t>
      </w:r>
      <w:r>
        <w:rPr>
          <w:rFonts w:hint="eastAsia" w:ascii="宋体" w:hAnsi="宋体" w:eastAsia="宋体" w:cs="宋体"/>
          <w:b/>
          <w:bCs/>
          <w:sz w:val="28"/>
          <w:szCs w:val="28"/>
        </w:rPr>
        <w:t>。</w:t>
      </w:r>
    </w:p>
    <w:p w14:paraId="1ACA4276">
      <w:pPr>
        <w:spacing w:line="600" w:lineRule="exact"/>
        <w:jc w:val="left"/>
        <w:rPr>
          <w:rFonts w:hint="eastAsia" w:ascii="宋体" w:hAnsi="宋体" w:eastAsia="宋体" w:cs="宋体"/>
          <w:color w:val="auto"/>
          <w:sz w:val="24"/>
          <w:szCs w:val="28"/>
          <w:lang w:eastAsia="zh-CN"/>
        </w:rPr>
      </w:pPr>
      <w:r>
        <w:rPr>
          <w:rFonts w:hint="eastAsia" w:ascii="宋体" w:hAnsi="宋体" w:eastAsia="宋体" w:cs="宋体"/>
          <w:color w:val="auto"/>
          <w:kern w:val="2"/>
          <w:sz w:val="24"/>
          <w:szCs w:val="28"/>
          <w:lang w:val="en-US" w:eastAsia="zh-CN" w:bidi="ar-SA"/>
        </w:rPr>
        <w:t>1</w:t>
      </w:r>
      <w:r>
        <w:rPr>
          <w:rFonts w:hint="eastAsia" w:ascii="宋体" w:hAnsi="宋体" w:eastAsia="宋体" w:cs="宋体"/>
          <w:color w:val="auto"/>
          <w:sz w:val="24"/>
          <w:szCs w:val="28"/>
          <w:lang w:val="en-US" w:eastAsia="zh-CN"/>
        </w:rPr>
        <w:t>、</w:t>
      </w:r>
      <w:r>
        <w:rPr>
          <w:rFonts w:hint="eastAsia" w:ascii="宋体" w:hAnsi="宋体" w:eastAsia="宋体" w:cs="宋体"/>
          <w:color w:val="auto"/>
          <w:sz w:val="24"/>
          <w:szCs w:val="28"/>
          <w:lang w:eastAsia="zh-CN"/>
        </w:rPr>
        <w:t>律师事务所执业许可证。</w:t>
      </w:r>
    </w:p>
    <w:p w14:paraId="144C5EF0">
      <w:pPr>
        <w:spacing w:line="600" w:lineRule="exact"/>
        <w:jc w:val="left"/>
        <w:rPr>
          <w:rFonts w:hint="eastAsia" w:ascii="宋体" w:hAnsi="宋体" w:eastAsia="宋体" w:cs="宋体"/>
          <w:color w:val="auto"/>
          <w:sz w:val="24"/>
          <w:szCs w:val="28"/>
          <w:lang w:eastAsia="zh-CN"/>
        </w:rPr>
      </w:pPr>
      <w:r>
        <w:rPr>
          <w:rFonts w:hint="eastAsia" w:ascii="宋体" w:hAnsi="宋体" w:eastAsia="宋体" w:cs="宋体"/>
          <w:color w:val="auto"/>
          <w:sz w:val="24"/>
          <w:szCs w:val="28"/>
          <w:lang w:val="en-US" w:eastAsia="zh-CN"/>
        </w:rPr>
        <w:t>2、职业资格</w:t>
      </w:r>
      <w:r>
        <w:rPr>
          <w:rFonts w:hint="eastAsia" w:ascii="宋体" w:hAnsi="宋体" w:eastAsia="宋体" w:cs="宋体"/>
          <w:color w:val="auto"/>
          <w:sz w:val="24"/>
          <w:szCs w:val="28"/>
          <w:lang w:eastAsia="zh-CN"/>
        </w:rPr>
        <w:t>：</w:t>
      </w:r>
      <w:r>
        <w:rPr>
          <w:rFonts w:hint="eastAsia" w:ascii="宋体" w:hAnsi="宋体" w:eastAsia="宋体" w:cs="宋体"/>
          <w:color w:val="auto"/>
          <w:sz w:val="24"/>
          <w:szCs w:val="28"/>
          <w:lang w:val="en-US" w:eastAsia="zh-CN"/>
        </w:rPr>
        <w:t>提供1名</w:t>
      </w:r>
      <w:r>
        <w:rPr>
          <w:rFonts w:hint="eastAsia" w:ascii="宋体" w:hAnsi="宋体" w:eastAsia="宋体" w:cs="宋体"/>
          <w:color w:val="auto"/>
          <w:sz w:val="24"/>
          <w:szCs w:val="28"/>
          <w:lang w:eastAsia="zh-CN"/>
        </w:rPr>
        <w:t>律师执业资格证书</w:t>
      </w:r>
      <w:r>
        <w:rPr>
          <w:rFonts w:hint="eastAsia" w:ascii="宋体" w:hAnsi="宋体" w:eastAsia="宋体" w:cs="宋体"/>
          <w:color w:val="auto"/>
          <w:sz w:val="24"/>
          <w:szCs w:val="28"/>
          <w:lang w:val="en-US" w:eastAsia="zh-CN"/>
        </w:rPr>
        <w:t>及有效身份证</w:t>
      </w:r>
      <w:r>
        <w:rPr>
          <w:rFonts w:hint="eastAsia" w:ascii="宋体" w:hAnsi="宋体" w:eastAsia="宋体" w:cs="宋体"/>
          <w:color w:val="auto"/>
          <w:sz w:val="24"/>
          <w:szCs w:val="28"/>
          <w:lang w:eastAsia="zh-CN"/>
        </w:rPr>
        <w:t>，</w:t>
      </w:r>
      <w:r>
        <w:rPr>
          <w:rFonts w:hint="eastAsia" w:ascii="宋体" w:hAnsi="宋体" w:eastAsia="宋体" w:cs="宋体"/>
          <w:color w:val="auto"/>
          <w:sz w:val="24"/>
          <w:szCs w:val="28"/>
          <w:lang w:val="en-US" w:eastAsia="zh-CN"/>
        </w:rPr>
        <w:t>要求</w:t>
      </w:r>
      <w:r>
        <w:rPr>
          <w:rFonts w:hint="eastAsia" w:ascii="宋体" w:hAnsi="宋体" w:eastAsia="宋体" w:cs="宋体"/>
          <w:color w:val="auto"/>
          <w:sz w:val="24"/>
          <w:szCs w:val="28"/>
          <w:lang w:eastAsia="zh-CN"/>
        </w:rPr>
        <w:t>具有</w:t>
      </w:r>
      <w:r>
        <w:rPr>
          <w:rFonts w:hint="eastAsia" w:ascii="宋体" w:hAnsi="宋体" w:eastAsia="宋体" w:cs="宋体"/>
          <w:color w:val="auto"/>
          <w:sz w:val="24"/>
          <w:szCs w:val="28"/>
          <w:lang w:val="en-US" w:eastAsia="zh-CN"/>
        </w:rPr>
        <w:t>3</w:t>
      </w:r>
      <w:r>
        <w:rPr>
          <w:rFonts w:hint="eastAsia" w:ascii="宋体" w:hAnsi="宋体" w:eastAsia="宋体" w:cs="宋体"/>
          <w:color w:val="auto"/>
          <w:sz w:val="24"/>
          <w:szCs w:val="28"/>
          <w:lang w:eastAsia="zh-CN"/>
        </w:rPr>
        <w:t>年及以上执业经验。</w:t>
      </w:r>
    </w:p>
    <w:p w14:paraId="726D9D9A">
      <w:pPr>
        <w:numPr>
          <w:ilvl w:val="0"/>
          <w:numId w:val="0"/>
        </w:numPr>
        <w:spacing w:line="240" w:lineRule="auto"/>
        <w:jc w:val="left"/>
        <w:rPr>
          <w:rFonts w:hint="eastAsia" w:ascii="宋体" w:hAnsi="宋体" w:eastAsia="宋体" w:cs="宋体"/>
          <w:color w:val="auto"/>
          <w:sz w:val="24"/>
          <w:szCs w:val="28"/>
          <w:lang w:eastAsia="zh-CN"/>
        </w:rPr>
      </w:pPr>
      <w:r>
        <w:rPr>
          <w:rFonts w:hint="eastAsia" w:ascii="宋体" w:hAnsi="宋体" w:eastAsia="宋体" w:cs="宋体"/>
          <w:color w:val="auto"/>
          <w:kern w:val="2"/>
          <w:sz w:val="24"/>
          <w:szCs w:val="28"/>
          <w:lang w:val="en-US" w:eastAsia="zh-CN" w:bidi="ar-SA"/>
        </w:rPr>
        <w:t>3、</w:t>
      </w:r>
      <w:r>
        <w:rPr>
          <w:rFonts w:hint="eastAsia" w:ascii="宋体" w:hAnsi="宋体" w:eastAsia="宋体" w:cs="宋体"/>
          <w:color w:val="auto"/>
          <w:sz w:val="24"/>
          <w:szCs w:val="28"/>
          <w:lang w:eastAsia="zh-CN"/>
        </w:rPr>
        <w:t>重大税收</w:t>
      </w:r>
      <w:r>
        <w:rPr>
          <w:rFonts w:hint="eastAsia" w:ascii="宋体" w:hAnsi="宋体" w:eastAsia="宋体" w:cs="宋体"/>
          <w:color w:val="auto"/>
          <w:sz w:val="24"/>
          <w:szCs w:val="28"/>
          <w:lang w:val="en-US" w:eastAsia="zh-CN"/>
        </w:rPr>
        <w:t>违法</w:t>
      </w:r>
      <w:r>
        <w:rPr>
          <w:rFonts w:hint="eastAsia" w:ascii="宋体" w:hAnsi="宋体" w:eastAsia="宋体" w:cs="宋体"/>
          <w:color w:val="auto"/>
          <w:sz w:val="24"/>
          <w:szCs w:val="28"/>
          <w:lang w:eastAsia="zh-CN"/>
        </w:rPr>
        <w:t>失信</w:t>
      </w:r>
      <w:r>
        <w:rPr>
          <w:rFonts w:hint="eastAsia" w:ascii="宋体" w:hAnsi="宋体" w:eastAsia="宋体" w:cs="宋体"/>
          <w:color w:val="auto"/>
          <w:sz w:val="24"/>
          <w:szCs w:val="28"/>
          <w:lang w:val="en-US" w:eastAsia="zh-CN"/>
        </w:rPr>
        <w:t>主体</w:t>
      </w:r>
      <w:r>
        <w:rPr>
          <w:rFonts w:hint="eastAsia" w:ascii="宋体" w:hAnsi="宋体" w:eastAsia="宋体" w:cs="宋体"/>
          <w:color w:val="auto"/>
          <w:sz w:val="24"/>
          <w:szCs w:val="28"/>
          <w:lang w:eastAsia="zh-CN"/>
        </w:rPr>
        <w:t>截图（</w:t>
      </w:r>
      <w:r>
        <w:rPr>
          <w:rFonts w:hint="eastAsia" w:ascii="宋体" w:hAnsi="宋体" w:eastAsia="宋体" w:cs="宋体"/>
          <w:color w:val="auto"/>
          <w:sz w:val="24"/>
          <w:szCs w:val="28"/>
          <w:lang w:val="en-US" w:eastAsia="zh-CN"/>
        </w:rPr>
        <w:t>信用中国网址：</w:t>
      </w:r>
      <w:r>
        <w:rPr>
          <w:rFonts w:hint="eastAsia" w:ascii="宋体" w:hAnsi="宋体" w:eastAsia="宋体" w:cs="宋体"/>
          <w:color w:val="auto"/>
          <w:sz w:val="24"/>
          <w:szCs w:val="28"/>
          <w:lang w:val="en-US" w:eastAsia="zh-CN"/>
        </w:rPr>
        <w:fldChar w:fldCharType="begin"/>
      </w:r>
      <w:r>
        <w:rPr>
          <w:rFonts w:hint="eastAsia" w:ascii="宋体" w:hAnsi="宋体" w:eastAsia="宋体" w:cs="宋体"/>
          <w:color w:val="auto"/>
          <w:sz w:val="24"/>
          <w:szCs w:val="28"/>
          <w:lang w:val="en-US" w:eastAsia="zh-CN"/>
        </w:rPr>
        <w:instrText xml:space="preserve"> HYPERLINK "https://www.creditchina.gov.cn/xinyongfuwu/zhongdashuishouweifaanjian/）" </w:instrText>
      </w:r>
      <w:r>
        <w:rPr>
          <w:rFonts w:hint="eastAsia" w:ascii="宋体" w:hAnsi="宋体" w:eastAsia="宋体" w:cs="宋体"/>
          <w:color w:val="auto"/>
          <w:sz w:val="24"/>
          <w:szCs w:val="28"/>
          <w:lang w:val="en-US" w:eastAsia="zh-CN"/>
        </w:rPr>
        <w:fldChar w:fldCharType="separate"/>
      </w:r>
      <w:r>
        <w:rPr>
          <w:rStyle w:val="20"/>
          <w:rFonts w:hint="eastAsia" w:ascii="宋体" w:hAnsi="宋体" w:eastAsia="宋体" w:cs="宋体"/>
          <w:sz w:val="24"/>
          <w:szCs w:val="28"/>
          <w:lang w:val="en-US" w:eastAsia="zh-CN"/>
        </w:rPr>
        <w:t>https://www.creditchina.gov.cn/xinyongfuwu/zhongdashuishouweifaanjian/</w:t>
      </w:r>
      <w:r>
        <w:rPr>
          <w:rStyle w:val="20"/>
          <w:rFonts w:hint="eastAsia" w:ascii="宋体" w:hAnsi="宋体" w:eastAsia="宋体" w:cs="宋体"/>
          <w:sz w:val="24"/>
          <w:szCs w:val="28"/>
          <w:lang w:eastAsia="zh-CN"/>
        </w:rPr>
        <w:t>）</w:t>
      </w:r>
      <w:r>
        <w:rPr>
          <w:rFonts w:hint="eastAsia" w:ascii="宋体" w:hAnsi="宋体" w:eastAsia="宋体" w:cs="宋体"/>
          <w:color w:val="auto"/>
          <w:sz w:val="24"/>
          <w:szCs w:val="28"/>
          <w:lang w:val="en-US" w:eastAsia="zh-CN"/>
        </w:rPr>
        <w:fldChar w:fldCharType="end"/>
      </w:r>
    </w:p>
    <w:p w14:paraId="312BF93F">
      <w:pPr>
        <w:numPr>
          <w:ilvl w:val="0"/>
          <w:numId w:val="0"/>
        </w:numPr>
        <w:spacing w:line="240" w:lineRule="auto"/>
        <w:jc w:val="left"/>
        <w:rPr>
          <w:rFonts w:hint="eastAsia" w:ascii="宋体" w:hAnsi="宋体" w:eastAsia="宋体" w:cs="宋体"/>
          <w:color w:val="auto"/>
          <w:sz w:val="24"/>
          <w:szCs w:val="28"/>
          <w:highlight w:val="none"/>
          <w:lang w:bidi="ar"/>
        </w:rPr>
      </w:pPr>
      <w:r>
        <w:rPr>
          <w:rFonts w:hint="eastAsia" w:ascii="宋体" w:hAnsi="宋体" w:eastAsia="宋体" w:cs="宋体"/>
          <w:color w:val="auto"/>
          <w:kern w:val="2"/>
          <w:sz w:val="24"/>
          <w:szCs w:val="28"/>
          <w:lang w:val="en-US" w:eastAsia="zh-CN" w:bidi="ar"/>
        </w:rPr>
        <w:t>4、</w:t>
      </w:r>
      <w:r>
        <w:rPr>
          <w:rFonts w:hint="eastAsia" w:ascii="宋体" w:hAnsi="宋体" w:eastAsia="宋体" w:cs="宋体"/>
          <w:color w:val="auto"/>
          <w:sz w:val="24"/>
          <w:szCs w:val="28"/>
          <w:lang w:eastAsia="zh-CN"/>
        </w:rPr>
        <w:t>严重失信主体名单截图（</w:t>
      </w:r>
      <w:r>
        <w:rPr>
          <w:rFonts w:hint="eastAsia" w:ascii="宋体" w:hAnsi="宋体" w:eastAsia="宋体" w:cs="宋体"/>
          <w:color w:val="auto"/>
          <w:sz w:val="24"/>
          <w:szCs w:val="28"/>
          <w:lang w:val="en-US" w:eastAsia="zh-CN"/>
        </w:rPr>
        <w:t>信用中国网址：</w:t>
      </w:r>
      <w:r>
        <w:rPr>
          <w:rFonts w:hint="eastAsia" w:ascii="宋体" w:hAnsi="宋体" w:eastAsia="宋体" w:cs="宋体"/>
          <w:color w:val="auto"/>
          <w:sz w:val="24"/>
          <w:szCs w:val="28"/>
          <w:lang w:val="en-US" w:eastAsia="zh-CN"/>
        </w:rPr>
        <w:fldChar w:fldCharType="begin"/>
      </w:r>
      <w:r>
        <w:rPr>
          <w:rFonts w:hint="eastAsia" w:ascii="宋体" w:hAnsi="宋体" w:eastAsia="宋体" w:cs="宋体"/>
          <w:color w:val="auto"/>
          <w:sz w:val="24"/>
          <w:szCs w:val="28"/>
          <w:lang w:val="en-US" w:eastAsia="zh-CN"/>
        </w:rPr>
        <w:instrText xml:space="preserve"> HYPERLINK "https://www.creditchina.gov.cn/xinyongfuwu/shixinheimingdan/）" </w:instrText>
      </w:r>
      <w:r>
        <w:rPr>
          <w:rFonts w:hint="eastAsia" w:ascii="宋体" w:hAnsi="宋体" w:eastAsia="宋体" w:cs="宋体"/>
          <w:color w:val="auto"/>
          <w:sz w:val="24"/>
          <w:szCs w:val="28"/>
          <w:lang w:val="en-US" w:eastAsia="zh-CN"/>
        </w:rPr>
        <w:fldChar w:fldCharType="separate"/>
      </w:r>
      <w:r>
        <w:rPr>
          <w:rStyle w:val="20"/>
          <w:rFonts w:hint="eastAsia" w:ascii="宋体" w:hAnsi="宋体" w:eastAsia="宋体" w:cs="宋体"/>
          <w:sz w:val="24"/>
          <w:szCs w:val="28"/>
          <w:lang w:val="en-US" w:eastAsia="zh-CN"/>
        </w:rPr>
        <w:t>https://www.creditchina.gov.cn/xinyongfuwu/shixinheimingdan/</w:t>
      </w:r>
      <w:r>
        <w:rPr>
          <w:rStyle w:val="20"/>
          <w:rFonts w:hint="eastAsia" w:ascii="宋体" w:hAnsi="宋体" w:eastAsia="宋体" w:cs="宋体"/>
          <w:sz w:val="24"/>
          <w:szCs w:val="28"/>
          <w:lang w:eastAsia="zh-CN"/>
        </w:rPr>
        <w:t>）</w:t>
      </w:r>
      <w:r>
        <w:rPr>
          <w:rFonts w:hint="eastAsia" w:ascii="宋体" w:hAnsi="宋体" w:eastAsia="宋体" w:cs="宋体"/>
          <w:color w:val="auto"/>
          <w:sz w:val="24"/>
          <w:szCs w:val="28"/>
          <w:lang w:val="en-US" w:eastAsia="zh-CN"/>
        </w:rPr>
        <w:fldChar w:fldCharType="end"/>
      </w:r>
    </w:p>
    <w:p w14:paraId="55926622">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s="宋体"/>
          <w:color w:val="auto"/>
          <w:sz w:val="24"/>
          <w:szCs w:val="28"/>
          <w:lang w:val="en-US" w:eastAsia="zh-CN"/>
        </w:rPr>
        <w:t>5、</w:t>
      </w:r>
      <w:r>
        <w:rPr>
          <w:rFonts w:hint="eastAsia" w:ascii="宋体" w:hAnsi="宋体" w:eastAsia="宋体" w:cs="宋体"/>
          <w:color w:val="auto"/>
          <w:sz w:val="24"/>
          <w:szCs w:val="28"/>
          <w:lang w:eastAsia="zh-CN"/>
        </w:rPr>
        <w:t>财务报表或银行资信证明（</w:t>
      </w:r>
      <w:r>
        <w:rPr>
          <w:rFonts w:hint="eastAsia" w:ascii="宋体" w:hAnsi="宋体" w:eastAsia="宋体" w:cs="宋体"/>
          <w:color w:val="auto"/>
          <w:sz w:val="24"/>
          <w:szCs w:val="28"/>
          <w:lang w:val="en-US" w:eastAsia="zh-CN"/>
        </w:rPr>
        <w:t>响应截止日前三年内任意一年的第三方出具的</w:t>
      </w:r>
      <w:r>
        <w:rPr>
          <w:rFonts w:hint="eastAsia" w:ascii="宋体" w:hAnsi="宋体" w:eastAsia="宋体" w:cs="宋体"/>
          <w:color w:val="auto"/>
          <w:sz w:val="24"/>
          <w:szCs w:val="28"/>
          <w:lang w:eastAsia="zh-CN"/>
        </w:rPr>
        <w:t>财务报表</w:t>
      </w:r>
      <w:r>
        <w:rPr>
          <w:rFonts w:hint="eastAsia" w:ascii="宋体" w:hAnsi="宋体" w:eastAsia="宋体" w:cs="宋体"/>
          <w:color w:val="auto"/>
          <w:sz w:val="24"/>
          <w:szCs w:val="28"/>
          <w:lang w:val="en-US" w:eastAsia="zh-CN"/>
        </w:rPr>
        <w:t>净利润为正值</w:t>
      </w:r>
      <w:r>
        <w:rPr>
          <w:rFonts w:hint="eastAsia" w:ascii="宋体" w:hAnsi="宋体" w:eastAsia="宋体" w:cs="宋体"/>
          <w:color w:val="auto"/>
          <w:sz w:val="24"/>
          <w:szCs w:val="28"/>
          <w:lang w:eastAsia="zh-CN"/>
        </w:rPr>
        <w:t>，银行资信证明</w:t>
      </w:r>
      <w:r>
        <w:rPr>
          <w:rFonts w:hint="eastAsia" w:ascii="宋体" w:hAnsi="宋体" w:eastAsia="宋体" w:cs="宋体"/>
          <w:color w:val="auto"/>
          <w:sz w:val="24"/>
          <w:szCs w:val="28"/>
          <w:lang w:val="en-US" w:eastAsia="zh-CN"/>
        </w:rPr>
        <w:t>开具机构为</w:t>
      </w:r>
      <w:r>
        <w:rPr>
          <w:rFonts w:hint="eastAsia" w:ascii="宋体" w:hAnsi="宋体" w:eastAsia="宋体" w:cs="宋体"/>
          <w:color w:val="auto"/>
          <w:sz w:val="24"/>
          <w:szCs w:val="28"/>
          <w:lang w:eastAsia="zh-CN"/>
        </w:rPr>
        <w:t>基本户开户行、</w:t>
      </w:r>
      <w:r>
        <w:rPr>
          <w:rFonts w:hint="eastAsia" w:ascii="宋体" w:hAnsi="宋体" w:eastAsia="宋体" w:cs="宋体"/>
          <w:color w:val="auto"/>
          <w:sz w:val="24"/>
          <w:szCs w:val="28"/>
          <w:lang w:val="en-US" w:eastAsia="zh-CN"/>
        </w:rPr>
        <w:t>无超期、未标注欠息、诉讼等不良记录、账户未休眠</w:t>
      </w:r>
      <w:r>
        <w:rPr>
          <w:rFonts w:hint="eastAsia" w:ascii="宋体" w:hAnsi="宋体" w:eastAsia="宋体" w:cs="宋体"/>
          <w:color w:val="auto"/>
          <w:sz w:val="24"/>
          <w:szCs w:val="28"/>
          <w:lang w:eastAsia="zh-CN"/>
        </w:rPr>
        <w:t>）。</w:t>
      </w:r>
    </w:p>
    <w:p w14:paraId="2AF08550">
      <w:pPr>
        <w:spacing w:line="600" w:lineRule="exact"/>
        <w:jc w:val="left"/>
        <w:rPr>
          <w:rFonts w:hint="eastAsia" w:ascii="宋体" w:hAnsi="宋体" w:eastAsia="宋体" w:cs="宋体"/>
          <w:color w:val="auto"/>
          <w:sz w:val="24"/>
          <w:szCs w:val="28"/>
          <w:lang w:eastAsia="zh-CN"/>
        </w:rPr>
      </w:pPr>
    </w:p>
    <w:p w14:paraId="749062B3">
      <w:pPr>
        <w:spacing w:line="600" w:lineRule="exact"/>
        <w:jc w:val="left"/>
        <w:rPr>
          <w:rFonts w:hint="eastAsia" w:ascii="宋体" w:hAnsi="宋体" w:eastAsia="宋体" w:cs="宋体"/>
          <w:color w:val="auto"/>
          <w:sz w:val="24"/>
          <w:szCs w:val="28"/>
          <w:lang w:eastAsia="zh-CN"/>
        </w:rPr>
      </w:pPr>
    </w:p>
    <w:p w14:paraId="43CF63DE">
      <w:pPr>
        <w:spacing w:line="60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0C1032A4">
      <w:pPr>
        <w:spacing w:line="480" w:lineRule="exact"/>
        <w:jc w:val="left"/>
        <w:rPr>
          <w:rFonts w:ascii="宋体" w:hAnsi="宋体" w:eastAsia="宋体" w:cs="宋体"/>
          <w:color w:val="auto"/>
          <w:sz w:val="24"/>
          <w:szCs w:val="24"/>
          <w:highlight w:val="none"/>
        </w:rPr>
      </w:pPr>
    </w:p>
    <w:p w14:paraId="2614B1F1">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ED1048F">
      <w:pPr>
        <w:pStyle w:val="2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三</w:t>
      </w:r>
      <w:r>
        <w:rPr>
          <w:rFonts w:hint="eastAsia" w:ascii="宋体" w:hAnsi="宋体" w:eastAsia="宋体" w:cs="宋体"/>
          <w:b/>
          <w:bCs/>
          <w:color w:val="auto"/>
          <w:sz w:val="32"/>
          <w:szCs w:val="32"/>
          <w:highlight w:val="none"/>
        </w:rPr>
        <w:t>、承诺书</w:t>
      </w:r>
    </w:p>
    <w:p w14:paraId="24E8891F">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797CA77C">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31DB78C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南宁轨道地产建筑工程有限责任公司2025年-2026年法律顾问采购</w:t>
      </w:r>
      <w:r>
        <w:rPr>
          <w:rFonts w:hint="eastAsia" w:ascii="宋体" w:hAnsi="宋体" w:eastAsia="宋体" w:cs="宋体"/>
          <w:color w:val="auto"/>
          <w:highlight w:val="none"/>
        </w:rPr>
        <w:t>的比选文件后，我公司经慎重考虑，郑重承诺参加项目的比选申请活动。</w:t>
      </w:r>
    </w:p>
    <w:p w14:paraId="29D8FC2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05CCC64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4F0042">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4A5500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746C40E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567E1B8D">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服务或其任何一部分时，免受第三方提出侵犯其任何专利权、著作权、注册商标专有使用权或计算机软件登记或反不正当竞争的起诉及索赔。</w:t>
      </w:r>
    </w:p>
    <w:p w14:paraId="0377B89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0462F113">
      <w:pPr>
        <w:spacing w:line="440" w:lineRule="exact"/>
        <w:ind w:firstLine="200"/>
        <w:rPr>
          <w:rFonts w:ascii="宋体" w:hAnsi="宋体" w:eastAsia="宋体" w:cs="宋体"/>
          <w:color w:val="auto"/>
          <w:highlight w:val="none"/>
        </w:rPr>
      </w:pPr>
    </w:p>
    <w:p w14:paraId="5CBFA205">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32AA35D2">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7C4458F2">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587D326A">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53E34134">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5E32D554">
      <w:pPr>
        <w:spacing w:line="600" w:lineRule="exact"/>
        <w:ind w:firstLine="560" w:firstLineChars="200"/>
        <w:jc w:val="center"/>
        <w:rPr>
          <w:rFonts w:ascii="宋体" w:hAnsi="宋体" w:eastAsia="宋体" w:cs="宋体"/>
          <w:color w:val="auto"/>
          <w:sz w:val="28"/>
          <w:szCs w:val="28"/>
          <w:highlight w:val="none"/>
        </w:rPr>
      </w:pPr>
    </w:p>
    <w:p w14:paraId="43CDF43F">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4C1432F9">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南宁轨道地产建筑工程有限责任公司2025年-2026年法律顾问采购</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2B3770F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w:t>
      </w:r>
      <w:r>
        <w:rPr>
          <w:rFonts w:hint="eastAsia" w:ascii="宋体" w:hAnsi="宋体" w:eastAsia="宋体" w:cs="宋体"/>
          <w:color w:val="auto"/>
          <w:sz w:val="28"/>
          <w:szCs w:val="28"/>
          <w:highlight w:val="none"/>
          <w:lang w:val="en-US" w:eastAsia="zh-CN"/>
        </w:rPr>
        <w:t>执行工作</w:t>
      </w:r>
      <w:r>
        <w:rPr>
          <w:rFonts w:hint="eastAsia" w:ascii="宋体" w:hAnsi="宋体" w:eastAsia="宋体" w:cs="宋体"/>
          <w:color w:val="auto"/>
          <w:sz w:val="28"/>
          <w:szCs w:val="28"/>
          <w:highlight w:val="none"/>
        </w:rPr>
        <w:t>。</w:t>
      </w:r>
    </w:p>
    <w:p w14:paraId="417DEC74">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1043ED9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0C798B53">
      <w:pPr>
        <w:spacing w:line="600" w:lineRule="exact"/>
        <w:jc w:val="left"/>
        <w:rPr>
          <w:rFonts w:ascii="宋体" w:hAnsi="宋体" w:eastAsia="宋体" w:cs="宋体"/>
          <w:color w:val="auto"/>
          <w:sz w:val="28"/>
          <w:szCs w:val="28"/>
          <w:highlight w:val="none"/>
        </w:rPr>
      </w:pPr>
    </w:p>
    <w:p w14:paraId="45CD5F73">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026FAFC0">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3B3D683D">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1A21726E">
      <w:pPr>
        <w:pStyle w:val="6"/>
        <w:rPr>
          <w:rFonts w:ascii="宋体" w:hAnsi="宋体" w:cs="宋体"/>
          <w:color w:val="auto"/>
          <w:sz w:val="24"/>
          <w:szCs w:val="24"/>
          <w:highlight w:val="none"/>
        </w:rPr>
      </w:pPr>
    </w:p>
    <w:p w14:paraId="25BA0819">
      <w:pPr>
        <w:rPr>
          <w:rFonts w:ascii="宋体" w:hAnsi="宋体" w:eastAsia="宋体" w:cs="宋体"/>
          <w:color w:val="auto"/>
          <w:sz w:val="24"/>
          <w:szCs w:val="24"/>
          <w:highlight w:val="none"/>
        </w:rPr>
      </w:pPr>
    </w:p>
    <w:p w14:paraId="65F56A9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5F2A4DE7">
      <w:pPr>
        <w:spacing w:before="240" w:after="240" w:line="360" w:lineRule="exact"/>
        <w:jc w:val="center"/>
        <w:rPr>
          <w:rFonts w:ascii="宋体" w:hAnsi="宋体" w:eastAsia="宋体" w:cs="Times New Roman"/>
          <w:b/>
          <w:color w:val="auto"/>
          <w:sz w:val="28"/>
          <w:szCs w:val="28"/>
          <w:highlight w:val="none"/>
        </w:rPr>
      </w:pPr>
      <w:r>
        <w:rPr>
          <w:rFonts w:hint="eastAsia" w:ascii="宋体" w:hAnsi="宋体" w:eastAsia="宋体"/>
          <w:b/>
          <w:color w:val="auto"/>
          <w:sz w:val="28"/>
          <w:szCs w:val="28"/>
          <w:highlight w:val="none"/>
        </w:rPr>
        <w:t>3、</w:t>
      </w:r>
      <w:r>
        <w:rPr>
          <w:rFonts w:hint="eastAsia" w:ascii="宋体" w:hAnsi="宋体" w:eastAsia="宋体"/>
          <w:b/>
          <w:color w:val="auto"/>
          <w:sz w:val="28"/>
          <w:szCs w:val="28"/>
          <w:highlight w:val="none"/>
          <w:lang w:val="en-US" w:eastAsia="zh-CN"/>
        </w:rPr>
        <w:t>服务</w:t>
      </w:r>
      <w:r>
        <w:rPr>
          <w:rFonts w:hint="eastAsia" w:ascii="宋体" w:hAnsi="宋体" w:eastAsia="宋体"/>
          <w:b/>
          <w:color w:val="auto"/>
          <w:sz w:val="28"/>
          <w:szCs w:val="28"/>
          <w:highlight w:val="none"/>
        </w:rPr>
        <w:t>承诺书</w:t>
      </w:r>
    </w:p>
    <w:p w14:paraId="288E7ED7">
      <w:pPr>
        <w:autoSpaceDE w:val="0"/>
        <w:spacing w:line="500" w:lineRule="exact"/>
        <w:ind w:firstLine="560" w:firstLineChars="200"/>
        <w:jc w:val="center"/>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 </w:t>
      </w:r>
    </w:p>
    <w:p w14:paraId="506742EE">
      <w:pPr>
        <w:spacing w:line="600" w:lineRule="exact"/>
        <w:jc w:val="left"/>
        <w:rPr>
          <w:rFonts w:hint="eastAsia" w:ascii="宋体" w:hAnsi="宋体" w:eastAsia="宋体"/>
          <w:sz w:val="28"/>
          <w:szCs w:val="28"/>
        </w:rPr>
      </w:pPr>
      <w:r>
        <w:rPr>
          <w:rFonts w:hint="eastAsia" w:ascii="宋体" w:hAnsi="宋体" w:eastAsia="宋体"/>
          <w:sz w:val="28"/>
          <w:szCs w:val="28"/>
        </w:rPr>
        <w:t>致：</w:t>
      </w:r>
      <w:r>
        <w:rPr>
          <w:rFonts w:hint="eastAsia" w:ascii="宋体" w:hAnsi="宋体" w:eastAsia="宋体"/>
          <w:sz w:val="28"/>
          <w:szCs w:val="28"/>
          <w:u w:val="single"/>
        </w:rPr>
        <w:t>南宁轨道地产建筑工程有限责任公司</w:t>
      </w:r>
    </w:p>
    <w:p w14:paraId="459E344C">
      <w:pPr>
        <w:spacing w:line="600" w:lineRule="exact"/>
        <w:ind w:firstLine="560" w:firstLineChars="200"/>
        <w:jc w:val="left"/>
        <w:rPr>
          <w:rFonts w:hint="eastAsia" w:ascii="宋体" w:hAnsi="宋体" w:eastAsia="宋体"/>
          <w:sz w:val="28"/>
          <w:szCs w:val="28"/>
        </w:rPr>
      </w:pPr>
      <w:r>
        <w:rPr>
          <w:rFonts w:hint="eastAsia" w:ascii="宋体" w:hAnsi="宋体" w:eastAsia="宋体"/>
          <w:sz w:val="28"/>
          <w:szCs w:val="28"/>
        </w:rPr>
        <w:t xml:space="preserve">  我公司承诺如因我公司原因发生税务风险，则我公司愿承担税务风险给贵公司带来的一切损失。</w:t>
      </w:r>
    </w:p>
    <w:p w14:paraId="2F1874D5">
      <w:pPr>
        <w:spacing w:line="600" w:lineRule="exact"/>
        <w:ind w:firstLine="560" w:firstLineChars="200"/>
        <w:jc w:val="left"/>
        <w:rPr>
          <w:rFonts w:hint="eastAsia" w:ascii="宋体" w:hAnsi="宋体" w:eastAsia="宋体"/>
          <w:sz w:val="28"/>
          <w:szCs w:val="28"/>
        </w:rPr>
      </w:pPr>
      <w:r>
        <w:rPr>
          <w:rFonts w:hint="eastAsia" w:ascii="宋体" w:hAnsi="宋体" w:eastAsia="宋体"/>
          <w:sz w:val="28"/>
          <w:szCs w:val="28"/>
        </w:rPr>
        <w:t xml:space="preserve">  我公司承诺按贵公司的工期要求，为贵司</w:t>
      </w:r>
      <w:r>
        <w:rPr>
          <w:rFonts w:hint="eastAsia" w:ascii="宋体" w:hAnsi="宋体" w:eastAsia="宋体"/>
          <w:sz w:val="28"/>
          <w:szCs w:val="28"/>
          <w:u w:val="single"/>
        </w:rPr>
        <w:t xml:space="preserve"> </w:t>
      </w:r>
      <w:r>
        <w:rPr>
          <w:rFonts w:hint="eastAsia" w:ascii="宋体" w:hAnsi="宋体" w:eastAsia="宋体" w:cs="宋体"/>
          <w:color w:val="auto"/>
          <w:sz w:val="28"/>
          <w:szCs w:val="28"/>
          <w:highlight w:val="none"/>
          <w:u w:val="single"/>
          <w:lang w:eastAsia="zh-CN"/>
        </w:rPr>
        <w:t>南宁轨道地产建筑工程有限责任公司2025年-2026年法律顾问采购</w:t>
      </w:r>
      <w:r>
        <w:rPr>
          <w:rFonts w:hint="eastAsia" w:ascii="宋体" w:hAnsi="宋体" w:eastAsia="宋体"/>
          <w:sz w:val="28"/>
          <w:szCs w:val="28"/>
          <w:u w:val="single"/>
        </w:rPr>
        <w:t xml:space="preserve"> </w:t>
      </w:r>
      <w:r>
        <w:rPr>
          <w:rFonts w:hint="eastAsia" w:ascii="宋体" w:hAnsi="宋体" w:eastAsia="宋体"/>
          <w:sz w:val="28"/>
          <w:szCs w:val="28"/>
        </w:rPr>
        <w:t>提供符合国家</w:t>
      </w:r>
      <w:r>
        <w:rPr>
          <w:rFonts w:hint="eastAsia" w:ascii="宋体" w:hAnsi="宋体" w:eastAsia="宋体"/>
          <w:sz w:val="28"/>
          <w:szCs w:val="28"/>
          <w:lang w:val="en-US" w:eastAsia="zh-CN"/>
        </w:rPr>
        <w:t>法律法规</w:t>
      </w:r>
      <w:r>
        <w:rPr>
          <w:rFonts w:hint="eastAsia" w:ascii="宋体" w:hAnsi="宋体" w:eastAsia="宋体"/>
          <w:sz w:val="28"/>
          <w:szCs w:val="28"/>
        </w:rPr>
        <w:t>相关服务，确保配置足够有丰富经验的专业服务人员。如出现时间紧迫情况，我公司承诺及时调配所有资源，保证服务的及时性。</w:t>
      </w:r>
    </w:p>
    <w:p w14:paraId="25B81449">
      <w:pPr>
        <w:spacing w:line="600" w:lineRule="exact"/>
        <w:ind w:firstLine="200"/>
        <w:rPr>
          <w:rFonts w:hint="eastAsia" w:ascii="宋体" w:hAnsi="宋体" w:eastAsia="宋体"/>
          <w:sz w:val="28"/>
          <w:szCs w:val="28"/>
        </w:rPr>
      </w:pPr>
      <w:r>
        <w:rPr>
          <w:rFonts w:hint="eastAsia" w:ascii="宋体" w:hAnsi="宋体" w:eastAsia="宋体"/>
          <w:sz w:val="28"/>
          <w:szCs w:val="28"/>
        </w:rPr>
        <w:t xml:space="preserve"> </w:t>
      </w:r>
    </w:p>
    <w:p w14:paraId="53DE7798">
      <w:pPr>
        <w:spacing w:line="600" w:lineRule="exact"/>
        <w:ind w:firstLine="200"/>
        <w:rPr>
          <w:rFonts w:hint="eastAsia" w:ascii="宋体" w:hAnsi="宋体" w:eastAsia="宋体"/>
          <w:sz w:val="28"/>
          <w:szCs w:val="28"/>
        </w:rPr>
      </w:pPr>
      <w:r>
        <w:rPr>
          <w:rFonts w:hint="eastAsia" w:ascii="宋体" w:hAnsi="宋体" w:eastAsia="宋体"/>
          <w:sz w:val="28"/>
          <w:szCs w:val="28"/>
        </w:rPr>
        <w:t>比选申请人</w:t>
      </w:r>
      <w:r>
        <w:rPr>
          <w:rFonts w:hint="eastAsia" w:ascii="宋体" w:hAnsi="宋体" w:eastAsia="宋体"/>
          <w:sz w:val="28"/>
          <w:szCs w:val="28"/>
          <w:u w:val="single"/>
        </w:rPr>
        <w:t>：(盖单位公章)</w:t>
      </w:r>
    </w:p>
    <w:p w14:paraId="746F5C0C">
      <w:pPr>
        <w:spacing w:line="600" w:lineRule="exact"/>
        <w:ind w:firstLine="200"/>
        <w:rPr>
          <w:rFonts w:hint="eastAsia" w:ascii="宋体" w:hAnsi="宋体" w:eastAsia="宋体"/>
          <w:sz w:val="28"/>
          <w:szCs w:val="28"/>
          <w:u w:val="single"/>
        </w:rPr>
      </w:pPr>
      <w:r>
        <w:rPr>
          <w:rFonts w:hint="eastAsia" w:ascii="宋体" w:hAnsi="宋体" w:eastAsia="宋体"/>
          <w:sz w:val="28"/>
          <w:szCs w:val="28"/>
        </w:rPr>
        <w:t>法定代表人（或委托代理人）：</w:t>
      </w:r>
      <w:r>
        <w:rPr>
          <w:rFonts w:hint="eastAsia" w:ascii="宋体" w:hAnsi="宋体" w:eastAsia="宋体"/>
          <w:sz w:val="28"/>
          <w:szCs w:val="28"/>
          <w:u w:val="single"/>
        </w:rPr>
        <w:t xml:space="preserve">                    (签字或盖章)</w:t>
      </w:r>
    </w:p>
    <w:p w14:paraId="631840B2">
      <w:pPr>
        <w:pStyle w:val="5"/>
        <w:rPr>
          <w:rFonts w:hint="default"/>
        </w:rPr>
      </w:pPr>
      <w:r>
        <w:rPr>
          <w:rFonts w:ascii="宋体" w:hAnsi="宋体" w:eastAsia="宋体"/>
          <w:sz w:val="28"/>
          <w:szCs w:val="28"/>
        </w:rPr>
        <w:t>日期：</w:t>
      </w:r>
      <w:r>
        <w:rPr>
          <w:rFonts w:ascii="宋体" w:hAnsi="宋体" w:eastAsia="宋体"/>
          <w:sz w:val="28"/>
          <w:szCs w:val="28"/>
          <w:u w:val="single"/>
        </w:rPr>
        <w:t xml:space="preserve">      </w:t>
      </w:r>
      <w:r>
        <w:rPr>
          <w:rFonts w:ascii="宋体" w:hAnsi="宋体" w:eastAsia="宋体"/>
          <w:sz w:val="28"/>
          <w:szCs w:val="28"/>
        </w:rPr>
        <w:t>年</w:t>
      </w:r>
      <w:r>
        <w:rPr>
          <w:rFonts w:ascii="宋体" w:hAnsi="宋体" w:eastAsia="宋体"/>
          <w:sz w:val="28"/>
          <w:szCs w:val="28"/>
          <w:u w:val="single"/>
        </w:rPr>
        <w:t xml:space="preserve">      </w:t>
      </w:r>
      <w:r>
        <w:rPr>
          <w:rFonts w:ascii="宋体" w:hAnsi="宋体" w:eastAsia="宋体"/>
          <w:sz w:val="28"/>
          <w:szCs w:val="28"/>
        </w:rPr>
        <w:t>月</w:t>
      </w:r>
      <w:r>
        <w:rPr>
          <w:rFonts w:ascii="宋体" w:hAnsi="宋体" w:eastAsia="宋体"/>
          <w:sz w:val="28"/>
          <w:szCs w:val="28"/>
          <w:u w:val="single"/>
        </w:rPr>
        <w:t xml:space="preserve">     </w:t>
      </w:r>
      <w:r>
        <w:rPr>
          <w:rFonts w:ascii="宋体" w:hAnsi="宋体" w:eastAsia="宋体"/>
          <w:sz w:val="28"/>
          <w:szCs w:val="28"/>
        </w:rPr>
        <w:t>日</w:t>
      </w:r>
    </w:p>
    <w:p w14:paraId="188C1221">
      <w:pPr>
        <w:autoSpaceDE w:val="0"/>
        <w:spacing w:line="500" w:lineRule="exact"/>
        <w:ind w:firstLine="200"/>
        <w:rPr>
          <w:rFonts w:hint="eastAsia" w:ascii="宋体" w:hAnsi="宋体" w:eastAsia="宋体"/>
          <w:color w:val="auto"/>
          <w:sz w:val="28"/>
          <w:szCs w:val="28"/>
          <w:highlight w:val="none"/>
        </w:rPr>
      </w:pPr>
    </w:p>
    <w:p w14:paraId="74570531">
      <w:pPr>
        <w:pStyle w:val="5"/>
        <w:rPr>
          <w:color w:val="auto"/>
          <w:highlight w:val="none"/>
        </w:rPr>
      </w:pPr>
    </w:p>
    <w:p w14:paraId="540C6A6A">
      <w:pPr>
        <w:pStyle w:val="5"/>
        <w:rPr>
          <w:color w:val="auto"/>
          <w:highlight w:val="none"/>
        </w:rPr>
      </w:pPr>
    </w:p>
    <w:p w14:paraId="0AE5BA07">
      <w:pPr>
        <w:rPr>
          <w:rFonts w:hint="eastAsia" w:ascii="宋体" w:hAnsi="宋体" w:eastAsia="宋体"/>
          <w:b/>
          <w:color w:val="auto"/>
          <w:sz w:val="28"/>
          <w:szCs w:val="28"/>
          <w:highlight w:val="none"/>
        </w:rPr>
      </w:pPr>
      <w:r>
        <w:rPr>
          <w:rFonts w:hint="eastAsia" w:ascii="宋体" w:hAnsi="宋体" w:eastAsia="宋体"/>
          <w:b/>
          <w:color w:val="auto"/>
          <w:sz w:val="28"/>
          <w:szCs w:val="28"/>
          <w:highlight w:val="none"/>
        </w:rPr>
        <w:br w:type="page"/>
      </w:r>
    </w:p>
    <w:p w14:paraId="2BF2C1D8">
      <w:pPr>
        <w:rPr>
          <w:rFonts w:ascii="宋体" w:hAnsi="宋体" w:eastAsia="宋体" w:cs="宋体"/>
          <w:sz w:val="30"/>
          <w:szCs w:val="30"/>
        </w:rPr>
      </w:pPr>
    </w:p>
    <w:p w14:paraId="0F334C41">
      <w:pPr>
        <w:rPr>
          <w:rFonts w:ascii="宋体" w:hAnsi="宋体" w:eastAsia="宋体" w:cs="宋体"/>
          <w:sz w:val="30"/>
          <w:szCs w:val="30"/>
        </w:rPr>
      </w:pPr>
    </w:p>
    <w:p w14:paraId="3CBA01AA">
      <w:pPr>
        <w:jc w:val="center"/>
        <w:rPr>
          <w:rFonts w:ascii="宋体" w:hAnsi="宋体" w:eastAsia="宋体" w:cs="宋体"/>
          <w:b/>
          <w:bCs/>
          <w:sz w:val="36"/>
          <w:szCs w:val="36"/>
        </w:rPr>
      </w:pPr>
      <w:r>
        <w:rPr>
          <w:rFonts w:hint="eastAsia" w:ascii="宋体" w:hAnsi="宋体" w:eastAsia="宋体" w:cs="宋体"/>
          <w:b/>
          <w:bCs/>
          <w:sz w:val="36"/>
          <w:szCs w:val="36"/>
        </w:rPr>
        <w:t xml:space="preserve">第二部分 </w:t>
      </w:r>
      <w:r>
        <w:rPr>
          <w:rFonts w:hint="eastAsia" w:ascii="宋体" w:hAnsi="宋体" w:eastAsia="宋体" w:cs="宋体"/>
          <w:b/>
          <w:bCs/>
          <w:sz w:val="36"/>
          <w:szCs w:val="36"/>
          <w:lang w:val="en-US" w:eastAsia="zh-CN"/>
        </w:rPr>
        <w:t>资信</w:t>
      </w:r>
      <w:r>
        <w:rPr>
          <w:rFonts w:hint="eastAsia" w:ascii="宋体" w:hAnsi="宋体" w:eastAsia="宋体" w:cs="宋体"/>
          <w:b/>
          <w:bCs/>
          <w:sz w:val="36"/>
          <w:szCs w:val="36"/>
        </w:rPr>
        <w:t>文件</w:t>
      </w:r>
    </w:p>
    <w:p w14:paraId="287D74A5">
      <w:pPr>
        <w:jc w:val="left"/>
        <w:rPr>
          <w:rFonts w:ascii="宋体" w:hAnsi="宋体" w:eastAsia="宋体" w:cs="宋体"/>
          <w:b/>
          <w:bCs/>
          <w:sz w:val="28"/>
          <w:szCs w:val="28"/>
        </w:rPr>
      </w:pPr>
    </w:p>
    <w:p w14:paraId="63EAC7A3">
      <w:pPr>
        <w:jc w:val="left"/>
        <w:rPr>
          <w:rFonts w:ascii="宋体" w:hAnsi="宋体" w:eastAsia="宋体" w:cs="宋体"/>
          <w:b/>
          <w:bCs/>
          <w:sz w:val="32"/>
          <w:szCs w:val="32"/>
        </w:rPr>
      </w:pPr>
      <w:r>
        <w:rPr>
          <w:rFonts w:hint="eastAsia" w:ascii="宋体" w:hAnsi="宋体" w:eastAsia="宋体" w:cs="宋体"/>
          <w:b/>
          <w:bCs/>
          <w:sz w:val="32"/>
          <w:szCs w:val="32"/>
          <w:lang w:val="en-US" w:eastAsia="zh-CN"/>
        </w:rPr>
        <w:t>资信</w:t>
      </w:r>
      <w:r>
        <w:rPr>
          <w:rFonts w:hint="eastAsia" w:ascii="宋体" w:hAnsi="宋体" w:eastAsia="宋体" w:cs="宋体"/>
          <w:b/>
          <w:bCs/>
          <w:sz w:val="32"/>
          <w:szCs w:val="32"/>
        </w:rPr>
        <w:t>文件要求：</w:t>
      </w:r>
      <w:r>
        <w:rPr>
          <w:rFonts w:hint="eastAsia" w:ascii="宋体" w:hAnsi="宋体" w:eastAsia="宋体" w:cs="宋体"/>
          <w:b/>
          <w:bCs/>
          <w:sz w:val="32"/>
          <w:szCs w:val="32"/>
          <w:u w:val="single"/>
        </w:rPr>
        <w:t>请按以下顺序编排</w:t>
      </w:r>
      <w:r>
        <w:rPr>
          <w:rFonts w:hint="eastAsia" w:ascii="宋体" w:hAnsi="宋体" w:eastAsia="宋体" w:cs="宋体"/>
          <w:b/>
          <w:bCs/>
          <w:sz w:val="32"/>
          <w:szCs w:val="32"/>
        </w:rPr>
        <w:t>。</w:t>
      </w:r>
    </w:p>
    <w:p w14:paraId="6837F6CA">
      <w:pPr>
        <w:textAlignment w:val="center"/>
        <w:rPr>
          <w:rFonts w:hint="eastAsia" w:ascii="宋体" w:hAnsi="宋体" w:eastAsia="宋体" w:cs="宋体"/>
          <w:b/>
          <w:bCs/>
          <w:sz w:val="32"/>
          <w:szCs w:val="32"/>
          <w:u w:val="single"/>
        </w:rPr>
      </w:pPr>
      <w:r>
        <w:rPr>
          <w:rFonts w:hint="eastAsia" w:ascii="宋体" w:hAnsi="宋体" w:eastAsia="宋体" w:cs="宋体"/>
          <w:b/>
          <w:bCs/>
          <w:sz w:val="32"/>
          <w:szCs w:val="32"/>
        </w:rPr>
        <w:t>1、业绩：</w:t>
      </w:r>
      <w:r>
        <w:rPr>
          <w:rFonts w:hint="eastAsia" w:ascii="宋体" w:hAnsi="宋体" w:eastAsia="宋体" w:cs="宋体"/>
          <w:b/>
          <w:bCs/>
          <w:sz w:val="32"/>
          <w:szCs w:val="32"/>
          <w:u w:val="single"/>
        </w:rPr>
        <w:t xml:space="preserve">提供自 </w:t>
      </w:r>
      <w:r>
        <w:rPr>
          <w:rFonts w:hint="eastAsia" w:ascii="宋体" w:hAnsi="宋体" w:eastAsia="宋体" w:cs="宋体"/>
          <w:b/>
          <w:bCs/>
          <w:sz w:val="32"/>
          <w:szCs w:val="32"/>
          <w:u w:val="single"/>
          <w:lang w:val="en-US" w:eastAsia="zh-CN"/>
        </w:rPr>
        <w:t>2022年1月1日</w:t>
      </w:r>
      <w:r>
        <w:rPr>
          <w:rFonts w:hint="eastAsia" w:ascii="宋体" w:hAnsi="宋体" w:eastAsia="宋体" w:cs="宋体"/>
          <w:b/>
          <w:bCs/>
          <w:sz w:val="32"/>
          <w:szCs w:val="32"/>
          <w:u w:val="single"/>
        </w:rPr>
        <w:t>至比选申请截止日期内单项合同</w:t>
      </w:r>
      <w:r>
        <w:rPr>
          <w:rFonts w:hint="eastAsia" w:ascii="宋体" w:hAnsi="宋体" w:eastAsia="宋体" w:cs="宋体"/>
          <w:b/>
          <w:bCs/>
          <w:sz w:val="32"/>
          <w:szCs w:val="32"/>
          <w:u w:val="single"/>
          <w:lang w:val="en-US" w:eastAsia="zh-CN"/>
        </w:rPr>
        <w:t>金额2.5万元及以上的企业年度法律顾问服务的项目的业</w:t>
      </w:r>
      <w:r>
        <w:rPr>
          <w:rFonts w:hint="eastAsia" w:ascii="宋体" w:hAnsi="宋体" w:eastAsia="宋体" w:cs="宋体"/>
          <w:b/>
          <w:bCs/>
          <w:sz w:val="32"/>
          <w:szCs w:val="32"/>
          <w:u w:val="single"/>
        </w:rPr>
        <w:t>绩合同。合同内容需体现具体工程内容、合同总价、签约日期。符合条件的</w:t>
      </w:r>
      <w:r>
        <w:rPr>
          <w:rFonts w:hint="eastAsia" w:ascii="宋体" w:hAnsi="宋体" w:eastAsia="宋体" w:cs="宋体"/>
          <w:b/>
          <w:bCs/>
          <w:sz w:val="32"/>
          <w:szCs w:val="32"/>
          <w:u w:val="single"/>
          <w:lang w:val="en-US" w:eastAsia="zh-CN"/>
        </w:rPr>
        <w:t>业绩</w:t>
      </w:r>
      <w:r>
        <w:rPr>
          <w:rFonts w:hint="eastAsia" w:ascii="宋体" w:hAnsi="宋体" w:eastAsia="宋体" w:cs="宋体"/>
          <w:b/>
          <w:bCs/>
          <w:sz w:val="32"/>
          <w:szCs w:val="32"/>
          <w:u w:val="single"/>
        </w:rPr>
        <w:t>一个得</w:t>
      </w:r>
      <w:r>
        <w:rPr>
          <w:rFonts w:hint="eastAsia" w:ascii="宋体" w:hAnsi="宋体" w:eastAsia="宋体" w:cs="宋体"/>
          <w:b/>
          <w:bCs/>
          <w:sz w:val="32"/>
          <w:szCs w:val="32"/>
          <w:u w:val="single"/>
          <w:lang w:val="en-US" w:eastAsia="zh-CN"/>
        </w:rPr>
        <w:t>5</w:t>
      </w:r>
      <w:r>
        <w:rPr>
          <w:rFonts w:hint="eastAsia" w:ascii="宋体" w:hAnsi="宋体" w:eastAsia="宋体" w:cs="宋体"/>
          <w:b/>
          <w:bCs/>
          <w:sz w:val="32"/>
          <w:szCs w:val="32"/>
          <w:u w:val="single"/>
        </w:rPr>
        <w:t>分，满分</w:t>
      </w:r>
      <w:r>
        <w:rPr>
          <w:rFonts w:hint="eastAsia" w:ascii="宋体" w:hAnsi="宋体" w:eastAsia="宋体" w:cs="宋体"/>
          <w:b/>
          <w:bCs/>
          <w:sz w:val="32"/>
          <w:szCs w:val="32"/>
          <w:u w:val="single"/>
          <w:lang w:val="en-US" w:eastAsia="zh-CN"/>
        </w:rPr>
        <w:t>20</w:t>
      </w:r>
      <w:r>
        <w:rPr>
          <w:rFonts w:hint="eastAsia" w:ascii="宋体" w:hAnsi="宋体" w:eastAsia="宋体" w:cs="宋体"/>
          <w:b/>
          <w:bCs/>
          <w:sz w:val="32"/>
          <w:szCs w:val="32"/>
          <w:u w:val="single"/>
        </w:rPr>
        <w:t>分。</w:t>
      </w:r>
    </w:p>
    <w:p w14:paraId="4214507B">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2DE40F6D">
      <w:pP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2B319219">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第三部分 报价文件</w:t>
      </w:r>
    </w:p>
    <w:p w14:paraId="53C49359">
      <w:pPr>
        <w:pStyle w:val="15"/>
        <w:ind w:left="0" w:leftChars="0" w:firstLine="0" w:firstLineChars="0"/>
        <w:rPr>
          <w:rFonts w:ascii="宋体" w:hAnsi="宋体" w:eastAsia="宋体" w:cs="宋体"/>
          <w:b/>
          <w:bCs/>
          <w:color w:val="auto"/>
          <w:sz w:val="28"/>
          <w:szCs w:val="28"/>
          <w:highlight w:val="none"/>
        </w:rPr>
      </w:pPr>
    </w:p>
    <w:p w14:paraId="481D6D87">
      <w:pPr>
        <w:pStyle w:val="15"/>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6A02227F">
      <w:pPr>
        <w:pStyle w:val="15"/>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73498904">
      <w:pPr>
        <w:pStyle w:val="15"/>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6AD92F8D">
      <w:pPr>
        <w:widowControl/>
        <w:jc w:val="left"/>
        <w:rPr>
          <w:rFonts w:ascii="宋体" w:hAnsi="宋体" w:eastAsia="宋体" w:cs="宋体"/>
          <w:b/>
          <w:bCs/>
          <w:color w:val="auto"/>
          <w:sz w:val="36"/>
          <w:szCs w:val="36"/>
          <w:highlight w:val="none"/>
        </w:rPr>
      </w:pPr>
    </w:p>
    <w:p w14:paraId="6E210B53">
      <w:pPr>
        <w:pStyle w:val="6"/>
        <w:rPr>
          <w:rFonts w:ascii="宋体" w:hAnsi="宋体" w:cs="宋体"/>
          <w:b/>
          <w:bCs/>
          <w:color w:val="auto"/>
          <w:sz w:val="36"/>
          <w:szCs w:val="36"/>
          <w:highlight w:val="none"/>
        </w:rPr>
      </w:pPr>
    </w:p>
    <w:p w14:paraId="5EF9B2DA">
      <w:pPr>
        <w:rPr>
          <w:rFonts w:ascii="宋体" w:hAnsi="宋体" w:eastAsia="宋体" w:cs="宋体"/>
          <w:color w:val="auto"/>
          <w:highlight w:val="none"/>
        </w:rPr>
      </w:pPr>
    </w:p>
    <w:p w14:paraId="0C4FFC95">
      <w:pPr>
        <w:jc w:val="center"/>
        <w:rPr>
          <w:rFonts w:ascii="宋体" w:hAnsi="宋体" w:eastAsia="宋体" w:cs="宋体"/>
          <w:b/>
          <w:bCs/>
          <w:color w:val="auto"/>
          <w:sz w:val="36"/>
          <w:szCs w:val="36"/>
          <w:highlight w:val="none"/>
        </w:rPr>
      </w:pPr>
    </w:p>
    <w:p w14:paraId="3E5C5F8E">
      <w:pPr>
        <w:widowControl/>
        <w:jc w:val="left"/>
        <w:rPr>
          <w:rFonts w:ascii="宋体" w:hAnsi="宋体" w:eastAsia="宋体" w:cs="宋体"/>
          <w:b/>
          <w:bCs/>
          <w:color w:val="auto"/>
          <w:sz w:val="36"/>
          <w:szCs w:val="36"/>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长城新魏碑体">
    <w:altName w:val="宋体"/>
    <w:panose1 w:val="02010609000101010101"/>
    <w:charset w:val="86"/>
    <w:family w:val="modern"/>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DF60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A2EB7">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EA2EB7">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165AB">
    <w:pPr>
      <w:pStyle w:val="12"/>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YTc5MjYxZTA2YTJkZWRlNDJkNmMyYWE1ZjQzNT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94421"/>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4996"/>
    <w:rsid w:val="00FD7E1A"/>
    <w:rsid w:val="00FE1163"/>
    <w:rsid w:val="00FF284D"/>
    <w:rsid w:val="00FF3E4F"/>
    <w:rsid w:val="00FF6199"/>
    <w:rsid w:val="01347A59"/>
    <w:rsid w:val="01431A4A"/>
    <w:rsid w:val="01464277"/>
    <w:rsid w:val="016D6AC7"/>
    <w:rsid w:val="01830099"/>
    <w:rsid w:val="01994C0C"/>
    <w:rsid w:val="01A56676"/>
    <w:rsid w:val="01BF37C7"/>
    <w:rsid w:val="022E6EEA"/>
    <w:rsid w:val="024A3CE3"/>
    <w:rsid w:val="028A186A"/>
    <w:rsid w:val="02A604E3"/>
    <w:rsid w:val="02DE573B"/>
    <w:rsid w:val="0308180C"/>
    <w:rsid w:val="031173EF"/>
    <w:rsid w:val="0328776E"/>
    <w:rsid w:val="03304250"/>
    <w:rsid w:val="035B79A0"/>
    <w:rsid w:val="035C0C4A"/>
    <w:rsid w:val="03661F65"/>
    <w:rsid w:val="0370464D"/>
    <w:rsid w:val="038375EC"/>
    <w:rsid w:val="0398035D"/>
    <w:rsid w:val="03BE360A"/>
    <w:rsid w:val="03C2759E"/>
    <w:rsid w:val="03C36E72"/>
    <w:rsid w:val="03D75FFA"/>
    <w:rsid w:val="03EC4652"/>
    <w:rsid w:val="044F0706"/>
    <w:rsid w:val="04545D1C"/>
    <w:rsid w:val="047012F0"/>
    <w:rsid w:val="048E122E"/>
    <w:rsid w:val="04A10F62"/>
    <w:rsid w:val="04A44EF6"/>
    <w:rsid w:val="04A67D1B"/>
    <w:rsid w:val="04D806FC"/>
    <w:rsid w:val="05257385"/>
    <w:rsid w:val="054C5EE4"/>
    <w:rsid w:val="054F4E62"/>
    <w:rsid w:val="056C5190"/>
    <w:rsid w:val="05700168"/>
    <w:rsid w:val="05997E8B"/>
    <w:rsid w:val="059B1E55"/>
    <w:rsid w:val="05A827C4"/>
    <w:rsid w:val="05C173E2"/>
    <w:rsid w:val="061027E2"/>
    <w:rsid w:val="063C4113"/>
    <w:rsid w:val="06400C4E"/>
    <w:rsid w:val="06640499"/>
    <w:rsid w:val="06A25465"/>
    <w:rsid w:val="06A92350"/>
    <w:rsid w:val="06BD04FC"/>
    <w:rsid w:val="06D550B2"/>
    <w:rsid w:val="070677A2"/>
    <w:rsid w:val="072C1EE7"/>
    <w:rsid w:val="073D0CEA"/>
    <w:rsid w:val="07996868"/>
    <w:rsid w:val="07AA1C9F"/>
    <w:rsid w:val="0802440D"/>
    <w:rsid w:val="08055CAB"/>
    <w:rsid w:val="081A4B31"/>
    <w:rsid w:val="081C058D"/>
    <w:rsid w:val="08274BDD"/>
    <w:rsid w:val="082D603F"/>
    <w:rsid w:val="086C395F"/>
    <w:rsid w:val="087370B9"/>
    <w:rsid w:val="087C020B"/>
    <w:rsid w:val="091D7F9E"/>
    <w:rsid w:val="09317B12"/>
    <w:rsid w:val="093525C0"/>
    <w:rsid w:val="093E7609"/>
    <w:rsid w:val="09603C0E"/>
    <w:rsid w:val="09630EDC"/>
    <w:rsid w:val="09741A2E"/>
    <w:rsid w:val="098D483B"/>
    <w:rsid w:val="099037DC"/>
    <w:rsid w:val="09B3373D"/>
    <w:rsid w:val="09B62700"/>
    <w:rsid w:val="09C83435"/>
    <w:rsid w:val="09CA0F5B"/>
    <w:rsid w:val="0A1C108A"/>
    <w:rsid w:val="0A1E388E"/>
    <w:rsid w:val="0A620AA0"/>
    <w:rsid w:val="0A866038"/>
    <w:rsid w:val="0AB063A2"/>
    <w:rsid w:val="0AB1211B"/>
    <w:rsid w:val="0AD16319"/>
    <w:rsid w:val="0AE71698"/>
    <w:rsid w:val="0AF52007"/>
    <w:rsid w:val="0B102DEA"/>
    <w:rsid w:val="0B114967"/>
    <w:rsid w:val="0B1D5A8F"/>
    <w:rsid w:val="0B4C599F"/>
    <w:rsid w:val="0B510CC2"/>
    <w:rsid w:val="0B68030A"/>
    <w:rsid w:val="0B684935"/>
    <w:rsid w:val="0C085820"/>
    <w:rsid w:val="0C142961"/>
    <w:rsid w:val="0C230DF6"/>
    <w:rsid w:val="0C2D757F"/>
    <w:rsid w:val="0CD402F9"/>
    <w:rsid w:val="0CEA7622"/>
    <w:rsid w:val="0D04104B"/>
    <w:rsid w:val="0D1D5845"/>
    <w:rsid w:val="0D295F98"/>
    <w:rsid w:val="0D5F2E7C"/>
    <w:rsid w:val="0D975F08"/>
    <w:rsid w:val="0DC2517F"/>
    <w:rsid w:val="0DCB52A1"/>
    <w:rsid w:val="0DCD71FF"/>
    <w:rsid w:val="0DF96448"/>
    <w:rsid w:val="0E275B53"/>
    <w:rsid w:val="0E386917"/>
    <w:rsid w:val="0E464B27"/>
    <w:rsid w:val="0E852540"/>
    <w:rsid w:val="0EA115D7"/>
    <w:rsid w:val="0EB13A8C"/>
    <w:rsid w:val="0EDB32C2"/>
    <w:rsid w:val="0EDD528C"/>
    <w:rsid w:val="0EE851DC"/>
    <w:rsid w:val="0EFA7D76"/>
    <w:rsid w:val="0F2412A4"/>
    <w:rsid w:val="0F3479B4"/>
    <w:rsid w:val="0F620861"/>
    <w:rsid w:val="0F7A0D2D"/>
    <w:rsid w:val="0F7E574B"/>
    <w:rsid w:val="0F8D1B79"/>
    <w:rsid w:val="0FD51400"/>
    <w:rsid w:val="10016553"/>
    <w:rsid w:val="10067489"/>
    <w:rsid w:val="10685029"/>
    <w:rsid w:val="107668AE"/>
    <w:rsid w:val="107F236E"/>
    <w:rsid w:val="10A047C3"/>
    <w:rsid w:val="10AC3C68"/>
    <w:rsid w:val="112533CF"/>
    <w:rsid w:val="114E421F"/>
    <w:rsid w:val="11660951"/>
    <w:rsid w:val="117C46D6"/>
    <w:rsid w:val="118539B9"/>
    <w:rsid w:val="11962DA9"/>
    <w:rsid w:val="11B73BE0"/>
    <w:rsid w:val="11BA701A"/>
    <w:rsid w:val="11D54941"/>
    <w:rsid w:val="121A67F7"/>
    <w:rsid w:val="12416638"/>
    <w:rsid w:val="12655CC4"/>
    <w:rsid w:val="12843C71"/>
    <w:rsid w:val="128C26B2"/>
    <w:rsid w:val="12AF0CEE"/>
    <w:rsid w:val="12B72298"/>
    <w:rsid w:val="12B74C45"/>
    <w:rsid w:val="12B85E9B"/>
    <w:rsid w:val="12EF558E"/>
    <w:rsid w:val="12FA6367"/>
    <w:rsid w:val="131119A8"/>
    <w:rsid w:val="131E40C5"/>
    <w:rsid w:val="13434F53"/>
    <w:rsid w:val="13531FC1"/>
    <w:rsid w:val="136F6921"/>
    <w:rsid w:val="139E0753"/>
    <w:rsid w:val="13B86493"/>
    <w:rsid w:val="13EB01C3"/>
    <w:rsid w:val="140D10BC"/>
    <w:rsid w:val="14250B1D"/>
    <w:rsid w:val="143E2110"/>
    <w:rsid w:val="146D732C"/>
    <w:rsid w:val="147A17CF"/>
    <w:rsid w:val="147E12BF"/>
    <w:rsid w:val="148D32B1"/>
    <w:rsid w:val="14922675"/>
    <w:rsid w:val="14D0319D"/>
    <w:rsid w:val="153B3244"/>
    <w:rsid w:val="15A22D8C"/>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601F9C"/>
    <w:rsid w:val="1A8538FA"/>
    <w:rsid w:val="1AC75042"/>
    <w:rsid w:val="1AD13776"/>
    <w:rsid w:val="1AE31E7C"/>
    <w:rsid w:val="1AEA0E54"/>
    <w:rsid w:val="1B122762"/>
    <w:rsid w:val="1B440441"/>
    <w:rsid w:val="1B516EFF"/>
    <w:rsid w:val="1B721452"/>
    <w:rsid w:val="1B7828A4"/>
    <w:rsid w:val="1B801CC8"/>
    <w:rsid w:val="1B88172B"/>
    <w:rsid w:val="1B97689A"/>
    <w:rsid w:val="1B9A62B3"/>
    <w:rsid w:val="1B9B3A86"/>
    <w:rsid w:val="1BAB226E"/>
    <w:rsid w:val="1C20736E"/>
    <w:rsid w:val="1C3D736A"/>
    <w:rsid w:val="1C3F5943"/>
    <w:rsid w:val="1C4C59FD"/>
    <w:rsid w:val="1C642CF5"/>
    <w:rsid w:val="1C8C0407"/>
    <w:rsid w:val="1C8D752E"/>
    <w:rsid w:val="1CC46C32"/>
    <w:rsid w:val="1D0D1432"/>
    <w:rsid w:val="1D0E1A25"/>
    <w:rsid w:val="1D3C1D18"/>
    <w:rsid w:val="1D3D2FA4"/>
    <w:rsid w:val="1D6D7F6D"/>
    <w:rsid w:val="1D807E56"/>
    <w:rsid w:val="1D8E6A35"/>
    <w:rsid w:val="1DA37E94"/>
    <w:rsid w:val="1DB206FF"/>
    <w:rsid w:val="1DDA4574"/>
    <w:rsid w:val="1DE9461A"/>
    <w:rsid w:val="1DED4108"/>
    <w:rsid w:val="1E2A22F5"/>
    <w:rsid w:val="1E4C1AE7"/>
    <w:rsid w:val="1E5D77F2"/>
    <w:rsid w:val="1E7C18CE"/>
    <w:rsid w:val="1E7D0965"/>
    <w:rsid w:val="1EA0669C"/>
    <w:rsid w:val="1EAC07D7"/>
    <w:rsid w:val="1EB63E6E"/>
    <w:rsid w:val="1EE066D3"/>
    <w:rsid w:val="1F0F20B8"/>
    <w:rsid w:val="1F703EFB"/>
    <w:rsid w:val="1F9E2816"/>
    <w:rsid w:val="1FA579ED"/>
    <w:rsid w:val="1FA80B45"/>
    <w:rsid w:val="1FA83694"/>
    <w:rsid w:val="1FC44391"/>
    <w:rsid w:val="1FF031A1"/>
    <w:rsid w:val="203D0806"/>
    <w:rsid w:val="20506E01"/>
    <w:rsid w:val="20517888"/>
    <w:rsid w:val="207B66B3"/>
    <w:rsid w:val="20895C0A"/>
    <w:rsid w:val="208C361B"/>
    <w:rsid w:val="209A437D"/>
    <w:rsid w:val="20B83463"/>
    <w:rsid w:val="20CE0ED9"/>
    <w:rsid w:val="20D81FA4"/>
    <w:rsid w:val="2143792E"/>
    <w:rsid w:val="218A0AEA"/>
    <w:rsid w:val="21960CEA"/>
    <w:rsid w:val="2196425A"/>
    <w:rsid w:val="21CC2F31"/>
    <w:rsid w:val="21E20569"/>
    <w:rsid w:val="220B214E"/>
    <w:rsid w:val="228C128A"/>
    <w:rsid w:val="22972076"/>
    <w:rsid w:val="22A07A2E"/>
    <w:rsid w:val="22BD1205"/>
    <w:rsid w:val="22D7082A"/>
    <w:rsid w:val="23337719"/>
    <w:rsid w:val="237C3DA7"/>
    <w:rsid w:val="23AB2B2B"/>
    <w:rsid w:val="23AD6B8C"/>
    <w:rsid w:val="23DC309A"/>
    <w:rsid w:val="23DE341D"/>
    <w:rsid w:val="23ED1676"/>
    <w:rsid w:val="2415163D"/>
    <w:rsid w:val="24183F9D"/>
    <w:rsid w:val="244D0366"/>
    <w:rsid w:val="244F40DF"/>
    <w:rsid w:val="24925E82"/>
    <w:rsid w:val="24BA35E1"/>
    <w:rsid w:val="24D34D10"/>
    <w:rsid w:val="251834B6"/>
    <w:rsid w:val="25316E3B"/>
    <w:rsid w:val="25685C13"/>
    <w:rsid w:val="256B25A7"/>
    <w:rsid w:val="25AC7BD0"/>
    <w:rsid w:val="25E66CC5"/>
    <w:rsid w:val="25EB7E37"/>
    <w:rsid w:val="25F80F5A"/>
    <w:rsid w:val="2629095F"/>
    <w:rsid w:val="266879AE"/>
    <w:rsid w:val="267D783B"/>
    <w:rsid w:val="2685028B"/>
    <w:rsid w:val="26AB640C"/>
    <w:rsid w:val="26BD19CD"/>
    <w:rsid w:val="26E2748C"/>
    <w:rsid w:val="27085757"/>
    <w:rsid w:val="270E526E"/>
    <w:rsid w:val="277D0F63"/>
    <w:rsid w:val="27C46B92"/>
    <w:rsid w:val="27C60B5C"/>
    <w:rsid w:val="27D52B4D"/>
    <w:rsid w:val="27E234BC"/>
    <w:rsid w:val="27FE6547"/>
    <w:rsid w:val="280F6FAD"/>
    <w:rsid w:val="281431DC"/>
    <w:rsid w:val="281F2449"/>
    <w:rsid w:val="28215D92"/>
    <w:rsid w:val="284877C3"/>
    <w:rsid w:val="28610884"/>
    <w:rsid w:val="288602EB"/>
    <w:rsid w:val="288B2282"/>
    <w:rsid w:val="28AB49E9"/>
    <w:rsid w:val="28B9421C"/>
    <w:rsid w:val="28F113D4"/>
    <w:rsid w:val="29087CEA"/>
    <w:rsid w:val="291B0A33"/>
    <w:rsid w:val="293935AF"/>
    <w:rsid w:val="294D0D1A"/>
    <w:rsid w:val="29513542"/>
    <w:rsid w:val="29600B3C"/>
    <w:rsid w:val="299B6018"/>
    <w:rsid w:val="29BB2501"/>
    <w:rsid w:val="2A0A4121"/>
    <w:rsid w:val="2A0B5361"/>
    <w:rsid w:val="2A0E42FC"/>
    <w:rsid w:val="2A13795C"/>
    <w:rsid w:val="2A3646FC"/>
    <w:rsid w:val="2A467D32"/>
    <w:rsid w:val="2A7A3E7F"/>
    <w:rsid w:val="2A842608"/>
    <w:rsid w:val="2A884BC7"/>
    <w:rsid w:val="2A8B37C2"/>
    <w:rsid w:val="2AAE1670"/>
    <w:rsid w:val="2AB0404C"/>
    <w:rsid w:val="2B1E480B"/>
    <w:rsid w:val="2B2137C0"/>
    <w:rsid w:val="2B362C46"/>
    <w:rsid w:val="2B400F64"/>
    <w:rsid w:val="2B4C75CA"/>
    <w:rsid w:val="2B795EE5"/>
    <w:rsid w:val="2B92733D"/>
    <w:rsid w:val="2BE315B0"/>
    <w:rsid w:val="2C02455B"/>
    <w:rsid w:val="2C1950D5"/>
    <w:rsid w:val="2C245E51"/>
    <w:rsid w:val="2C2A6DBE"/>
    <w:rsid w:val="2C332DE9"/>
    <w:rsid w:val="2C4364D9"/>
    <w:rsid w:val="2C4F5114"/>
    <w:rsid w:val="2C583D4C"/>
    <w:rsid w:val="2C762A51"/>
    <w:rsid w:val="2C9E674E"/>
    <w:rsid w:val="2CAE6E8C"/>
    <w:rsid w:val="2CB43665"/>
    <w:rsid w:val="2CE675AA"/>
    <w:rsid w:val="2CEA5317"/>
    <w:rsid w:val="2D641088"/>
    <w:rsid w:val="2D854FBB"/>
    <w:rsid w:val="2DD375EA"/>
    <w:rsid w:val="2DEE2BBA"/>
    <w:rsid w:val="2DF31DEB"/>
    <w:rsid w:val="2E073308"/>
    <w:rsid w:val="2E110657"/>
    <w:rsid w:val="2E457608"/>
    <w:rsid w:val="2E532A1D"/>
    <w:rsid w:val="2E536EC1"/>
    <w:rsid w:val="2E861113"/>
    <w:rsid w:val="2E9230E5"/>
    <w:rsid w:val="2EA66FF1"/>
    <w:rsid w:val="2EAB4607"/>
    <w:rsid w:val="2ECB3794"/>
    <w:rsid w:val="2EEE0998"/>
    <w:rsid w:val="2F070443"/>
    <w:rsid w:val="2F210D6D"/>
    <w:rsid w:val="2F462582"/>
    <w:rsid w:val="2F6B035B"/>
    <w:rsid w:val="2F7376F8"/>
    <w:rsid w:val="2F782E8B"/>
    <w:rsid w:val="2FB74FDA"/>
    <w:rsid w:val="2FF764FF"/>
    <w:rsid w:val="30073A5F"/>
    <w:rsid w:val="30134B5A"/>
    <w:rsid w:val="304A4FB6"/>
    <w:rsid w:val="305A4537"/>
    <w:rsid w:val="305F48F9"/>
    <w:rsid w:val="306D3514"/>
    <w:rsid w:val="30790154"/>
    <w:rsid w:val="30AE4883"/>
    <w:rsid w:val="30D20571"/>
    <w:rsid w:val="31295CB7"/>
    <w:rsid w:val="31304C09"/>
    <w:rsid w:val="3204466B"/>
    <w:rsid w:val="323112C7"/>
    <w:rsid w:val="3244724D"/>
    <w:rsid w:val="32805DAB"/>
    <w:rsid w:val="328C7E14"/>
    <w:rsid w:val="32E4458C"/>
    <w:rsid w:val="32F3657D"/>
    <w:rsid w:val="33072928"/>
    <w:rsid w:val="332E1CAB"/>
    <w:rsid w:val="33491B2B"/>
    <w:rsid w:val="334A26CA"/>
    <w:rsid w:val="336D45D4"/>
    <w:rsid w:val="33775400"/>
    <w:rsid w:val="3396714B"/>
    <w:rsid w:val="33BC72B7"/>
    <w:rsid w:val="33EC194A"/>
    <w:rsid w:val="33EE2CBB"/>
    <w:rsid w:val="33F97153"/>
    <w:rsid w:val="3418634F"/>
    <w:rsid w:val="3437693D"/>
    <w:rsid w:val="346D04EA"/>
    <w:rsid w:val="34AE06E2"/>
    <w:rsid w:val="34B01D27"/>
    <w:rsid w:val="34D01715"/>
    <w:rsid w:val="34D85FC1"/>
    <w:rsid w:val="34E07AAC"/>
    <w:rsid w:val="34F5426F"/>
    <w:rsid w:val="3500097B"/>
    <w:rsid w:val="351F1D09"/>
    <w:rsid w:val="35216B3A"/>
    <w:rsid w:val="354237EC"/>
    <w:rsid w:val="355D23D3"/>
    <w:rsid w:val="358D4A67"/>
    <w:rsid w:val="35B73253"/>
    <w:rsid w:val="35C75553"/>
    <w:rsid w:val="35EF127D"/>
    <w:rsid w:val="36080591"/>
    <w:rsid w:val="364770C9"/>
    <w:rsid w:val="3653078B"/>
    <w:rsid w:val="3667175C"/>
    <w:rsid w:val="36FB1EA4"/>
    <w:rsid w:val="371B42F4"/>
    <w:rsid w:val="37305FF2"/>
    <w:rsid w:val="373B4A03"/>
    <w:rsid w:val="375C6DE7"/>
    <w:rsid w:val="379C139A"/>
    <w:rsid w:val="37C036A0"/>
    <w:rsid w:val="37DC7F27"/>
    <w:rsid w:val="37FB2842"/>
    <w:rsid w:val="387E0FDF"/>
    <w:rsid w:val="388303A3"/>
    <w:rsid w:val="38B13162"/>
    <w:rsid w:val="38B22A36"/>
    <w:rsid w:val="38BA730A"/>
    <w:rsid w:val="38D037D9"/>
    <w:rsid w:val="38D61D34"/>
    <w:rsid w:val="39534219"/>
    <w:rsid w:val="39691347"/>
    <w:rsid w:val="396E7247"/>
    <w:rsid w:val="397C3770"/>
    <w:rsid w:val="399F5BC4"/>
    <w:rsid w:val="39A24859"/>
    <w:rsid w:val="39B32F0A"/>
    <w:rsid w:val="39C3314D"/>
    <w:rsid w:val="39CA6F6B"/>
    <w:rsid w:val="39FC7BE4"/>
    <w:rsid w:val="3A060195"/>
    <w:rsid w:val="3A0D4329"/>
    <w:rsid w:val="3A30175F"/>
    <w:rsid w:val="3A3D7EDC"/>
    <w:rsid w:val="3A41222E"/>
    <w:rsid w:val="3A4F7B0F"/>
    <w:rsid w:val="3AB5593E"/>
    <w:rsid w:val="3AB962FE"/>
    <w:rsid w:val="3AF630AE"/>
    <w:rsid w:val="3B183024"/>
    <w:rsid w:val="3B2220F5"/>
    <w:rsid w:val="3B3E2CBB"/>
    <w:rsid w:val="3B4007CD"/>
    <w:rsid w:val="3B5F6EA5"/>
    <w:rsid w:val="3BEA0701"/>
    <w:rsid w:val="3C36556B"/>
    <w:rsid w:val="3C4B742A"/>
    <w:rsid w:val="3C53008C"/>
    <w:rsid w:val="3C554F79"/>
    <w:rsid w:val="3C733E98"/>
    <w:rsid w:val="3CC86CCC"/>
    <w:rsid w:val="3D2A34E3"/>
    <w:rsid w:val="3D566086"/>
    <w:rsid w:val="3D621EB8"/>
    <w:rsid w:val="3D6B3C0C"/>
    <w:rsid w:val="3E2D53F7"/>
    <w:rsid w:val="3E320C4C"/>
    <w:rsid w:val="3E5668B2"/>
    <w:rsid w:val="3E6246F2"/>
    <w:rsid w:val="3E721CCA"/>
    <w:rsid w:val="3E774506"/>
    <w:rsid w:val="3E7B6F01"/>
    <w:rsid w:val="3E8135D7"/>
    <w:rsid w:val="3EAF1EF2"/>
    <w:rsid w:val="3EE200BE"/>
    <w:rsid w:val="3F100628"/>
    <w:rsid w:val="3F1104B7"/>
    <w:rsid w:val="3F177A97"/>
    <w:rsid w:val="3F41064F"/>
    <w:rsid w:val="3F4351A4"/>
    <w:rsid w:val="3F536D21"/>
    <w:rsid w:val="3F6B74EC"/>
    <w:rsid w:val="3F9D7D00"/>
    <w:rsid w:val="3FB157F6"/>
    <w:rsid w:val="3FBB2D45"/>
    <w:rsid w:val="40047AC2"/>
    <w:rsid w:val="404F5E77"/>
    <w:rsid w:val="40556AC9"/>
    <w:rsid w:val="405E6418"/>
    <w:rsid w:val="406B3358"/>
    <w:rsid w:val="406E4439"/>
    <w:rsid w:val="4090365D"/>
    <w:rsid w:val="411F78B8"/>
    <w:rsid w:val="41596145"/>
    <w:rsid w:val="415E04EE"/>
    <w:rsid w:val="41CF18BC"/>
    <w:rsid w:val="41F3318B"/>
    <w:rsid w:val="424879A4"/>
    <w:rsid w:val="427E2307"/>
    <w:rsid w:val="428E5E9A"/>
    <w:rsid w:val="43064811"/>
    <w:rsid w:val="430D7208"/>
    <w:rsid w:val="431247FD"/>
    <w:rsid w:val="434D7F2B"/>
    <w:rsid w:val="43525542"/>
    <w:rsid w:val="4354515E"/>
    <w:rsid w:val="43A044FF"/>
    <w:rsid w:val="43C65643"/>
    <w:rsid w:val="43D67301"/>
    <w:rsid w:val="43E048FB"/>
    <w:rsid w:val="43EC14F2"/>
    <w:rsid w:val="440F6F8F"/>
    <w:rsid w:val="442567B2"/>
    <w:rsid w:val="4430585A"/>
    <w:rsid w:val="4460407D"/>
    <w:rsid w:val="44641B49"/>
    <w:rsid w:val="447A08AC"/>
    <w:rsid w:val="4496544D"/>
    <w:rsid w:val="44B244EA"/>
    <w:rsid w:val="450A63DC"/>
    <w:rsid w:val="45352A25"/>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7046870"/>
    <w:rsid w:val="4709385D"/>
    <w:rsid w:val="4736312B"/>
    <w:rsid w:val="474358CD"/>
    <w:rsid w:val="4773090D"/>
    <w:rsid w:val="4799729B"/>
    <w:rsid w:val="47AB4DBB"/>
    <w:rsid w:val="47C167F2"/>
    <w:rsid w:val="47C21E9F"/>
    <w:rsid w:val="47DE34E9"/>
    <w:rsid w:val="48177E83"/>
    <w:rsid w:val="482D0BDA"/>
    <w:rsid w:val="485252BC"/>
    <w:rsid w:val="485611FE"/>
    <w:rsid w:val="48864AE2"/>
    <w:rsid w:val="48873598"/>
    <w:rsid w:val="488F4011"/>
    <w:rsid w:val="48AE39F0"/>
    <w:rsid w:val="48B40105"/>
    <w:rsid w:val="48BF71D5"/>
    <w:rsid w:val="48C4659A"/>
    <w:rsid w:val="48DF5E57"/>
    <w:rsid w:val="49172B6D"/>
    <w:rsid w:val="492E50F9"/>
    <w:rsid w:val="49390EFD"/>
    <w:rsid w:val="498F61B8"/>
    <w:rsid w:val="49A90533"/>
    <w:rsid w:val="49C93F70"/>
    <w:rsid w:val="49E36EF3"/>
    <w:rsid w:val="4A345076"/>
    <w:rsid w:val="4A4E2219"/>
    <w:rsid w:val="4AA77F21"/>
    <w:rsid w:val="4AEA268E"/>
    <w:rsid w:val="4AF34927"/>
    <w:rsid w:val="4B0B6702"/>
    <w:rsid w:val="4B3519D1"/>
    <w:rsid w:val="4BB02E05"/>
    <w:rsid w:val="4BB17561"/>
    <w:rsid w:val="4BBB72B9"/>
    <w:rsid w:val="4BD20FCE"/>
    <w:rsid w:val="4C0C793F"/>
    <w:rsid w:val="4C0D46FC"/>
    <w:rsid w:val="4C2D08FA"/>
    <w:rsid w:val="4C4C234B"/>
    <w:rsid w:val="4C8D5D8B"/>
    <w:rsid w:val="4CF6364B"/>
    <w:rsid w:val="4D08431F"/>
    <w:rsid w:val="4D29404E"/>
    <w:rsid w:val="4D410CA2"/>
    <w:rsid w:val="4D467EC5"/>
    <w:rsid w:val="4D7660EF"/>
    <w:rsid w:val="4DAE7818"/>
    <w:rsid w:val="4DB964A1"/>
    <w:rsid w:val="4DFB23D2"/>
    <w:rsid w:val="4E00310E"/>
    <w:rsid w:val="4E3221F7"/>
    <w:rsid w:val="4E50267E"/>
    <w:rsid w:val="4ED432AF"/>
    <w:rsid w:val="4F1279A4"/>
    <w:rsid w:val="4F1F4003"/>
    <w:rsid w:val="4F294B19"/>
    <w:rsid w:val="4F35568B"/>
    <w:rsid w:val="4F6665FD"/>
    <w:rsid w:val="4F791B0A"/>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E90E1F"/>
    <w:rsid w:val="52065E75"/>
    <w:rsid w:val="520C2D5F"/>
    <w:rsid w:val="521F2A93"/>
    <w:rsid w:val="523A5B1F"/>
    <w:rsid w:val="523B6EAF"/>
    <w:rsid w:val="52670DFD"/>
    <w:rsid w:val="52762A77"/>
    <w:rsid w:val="528D5C4E"/>
    <w:rsid w:val="52972F71"/>
    <w:rsid w:val="52E53CDC"/>
    <w:rsid w:val="53245577"/>
    <w:rsid w:val="53996FC4"/>
    <w:rsid w:val="539B25ED"/>
    <w:rsid w:val="53C14B7F"/>
    <w:rsid w:val="543C5B7E"/>
    <w:rsid w:val="548D7640"/>
    <w:rsid w:val="54D77655"/>
    <w:rsid w:val="55061B79"/>
    <w:rsid w:val="55366A71"/>
    <w:rsid w:val="55782BE6"/>
    <w:rsid w:val="557F199D"/>
    <w:rsid w:val="558A19EA"/>
    <w:rsid w:val="55C13D92"/>
    <w:rsid w:val="55CF743F"/>
    <w:rsid w:val="55FA1516"/>
    <w:rsid w:val="563F1955"/>
    <w:rsid w:val="56545C38"/>
    <w:rsid w:val="56552F27"/>
    <w:rsid w:val="565952BB"/>
    <w:rsid w:val="566F7200"/>
    <w:rsid w:val="56C500AD"/>
    <w:rsid w:val="56E85B49"/>
    <w:rsid w:val="5748483A"/>
    <w:rsid w:val="574B00F6"/>
    <w:rsid w:val="574D1E50"/>
    <w:rsid w:val="575D4053"/>
    <w:rsid w:val="578D41FE"/>
    <w:rsid w:val="57B073B0"/>
    <w:rsid w:val="57D670A6"/>
    <w:rsid w:val="57D8796C"/>
    <w:rsid w:val="57D91936"/>
    <w:rsid w:val="57EA1DD9"/>
    <w:rsid w:val="58037222"/>
    <w:rsid w:val="583F79EB"/>
    <w:rsid w:val="586B07E0"/>
    <w:rsid w:val="58704048"/>
    <w:rsid w:val="587B73CC"/>
    <w:rsid w:val="58B50BB8"/>
    <w:rsid w:val="58B55EFF"/>
    <w:rsid w:val="58D77C23"/>
    <w:rsid w:val="58E74DA8"/>
    <w:rsid w:val="591C7D2C"/>
    <w:rsid w:val="59215342"/>
    <w:rsid w:val="59254E33"/>
    <w:rsid w:val="593A6B8B"/>
    <w:rsid w:val="59667064"/>
    <w:rsid w:val="597520D2"/>
    <w:rsid w:val="59A85A64"/>
    <w:rsid w:val="59AA5A7D"/>
    <w:rsid w:val="59B92F1F"/>
    <w:rsid w:val="59DE4FE1"/>
    <w:rsid w:val="59EB7590"/>
    <w:rsid w:val="59F4049B"/>
    <w:rsid w:val="5A4E660B"/>
    <w:rsid w:val="5A6D7B83"/>
    <w:rsid w:val="5A8042EB"/>
    <w:rsid w:val="5AA9781D"/>
    <w:rsid w:val="5ABC17C7"/>
    <w:rsid w:val="5B0D5B7E"/>
    <w:rsid w:val="5B1433B1"/>
    <w:rsid w:val="5B1F1D55"/>
    <w:rsid w:val="5B5C6B06"/>
    <w:rsid w:val="5B667984"/>
    <w:rsid w:val="5B7622C4"/>
    <w:rsid w:val="5B793214"/>
    <w:rsid w:val="5B8874CC"/>
    <w:rsid w:val="5BAF789E"/>
    <w:rsid w:val="5BC4220D"/>
    <w:rsid w:val="5C272C70"/>
    <w:rsid w:val="5C3A5B1E"/>
    <w:rsid w:val="5C4A4BB0"/>
    <w:rsid w:val="5C990449"/>
    <w:rsid w:val="5CAC13C7"/>
    <w:rsid w:val="5CCE30DB"/>
    <w:rsid w:val="5D1256CE"/>
    <w:rsid w:val="5D153410"/>
    <w:rsid w:val="5D5201C0"/>
    <w:rsid w:val="5D881EC7"/>
    <w:rsid w:val="5DA463E6"/>
    <w:rsid w:val="5DB02962"/>
    <w:rsid w:val="5DB56C1C"/>
    <w:rsid w:val="5DF179D9"/>
    <w:rsid w:val="5DF539C2"/>
    <w:rsid w:val="5E465A3C"/>
    <w:rsid w:val="5E5802C6"/>
    <w:rsid w:val="5E6511F0"/>
    <w:rsid w:val="5E7128C8"/>
    <w:rsid w:val="5E850121"/>
    <w:rsid w:val="5F225970"/>
    <w:rsid w:val="5F24793A"/>
    <w:rsid w:val="5F30625B"/>
    <w:rsid w:val="5F3C4B19"/>
    <w:rsid w:val="5F7563E8"/>
    <w:rsid w:val="5F7741D1"/>
    <w:rsid w:val="5F883D16"/>
    <w:rsid w:val="5F9A19AB"/>
    <w:rsid w:val="5F9C5723"/>
    <w:rsid w:val="5FA41E1F"/>
    <w:rsid w:val="5FBA204D"/>
    <w:rsid w:val="5FE570CA"/>
    <w:rsid w:val="5FFF65AF"/>
    <w:rsid w:val="600644BF"/>
    <w:rsid w:val="60151C26"/>
    <w:rsid w:val="60464805"/>
    <w:rsid w:val="606721D5"/>
    <w:rsid w:val="60714E01"/>
    <w:rsid w:val="608605A7"/>
    <w:rsid w:val="60894B58"/>
    <w:rsid w:val="609603C4"/>
    <w:rsid w:val="60EA0710"/>
    <w:rsid w:val="610F59A8"/>
    <w:rsid w:val="612105D5"/>
    <w:rsid w:val="61330A79"/>
    <w:rsid w:val="615803EB"/>
    <w:rsid w:val="61644D94"/>
    <w:rsid w:val="617C580C"/>
    <w:rsid w:val="619169E7"/>
    <w:rsid w:val="619A1CC6"/>
    <w:rsid w:val="61A84853"/>
    <w:rsid w:val="61BF2475"/>
    <w:rsid w:val="61C55405"/>
    <w:rsid w:val="622A34BA"/>
    <w:rsid w:val="622B7232"/>
    <w:rsid w:val="624D4D66"/>
    <w:rsid w:val="62521D73"/>
    <w:rsid w:val="62547CD1"/>
    <w:rsid w:val="626E0589"/>
    <w:rsid w:val="627C183B"/>
    <w:rsid w:val="6280757E"/>
    <w:rsid w:val="62966DA1"/>
    <w:rsid w:val="6308241E"/>
    <w:rsid w:val="637D1D0F"/>
    <w:rsid w:val="638F24AF"/>
    <w:rsid w:val="63F27EFF"/>
    <w:rsid w:val="646C6050"/>
    <w:rsid w:val="64744EC0"/>
    <w:rsid w:val="647924D6"/>
    <w:rsid w:val="647A7108"/>
    <w:rsid w:val="64E8621E"/>
    <w:rsid w:val="650A75D2"/>
    <w:rsid w:val="65586590"/>
    <w:rsid w:val="65755781"/>
    <w:rsid w:val="65CD2602"/>
    <w:rsid w:val="65D34FAF"/>
    <w:rsid w:val="65E676F8"/>
    <w:rsid w:val="66061B48"/>
    <w:rsid w:val="661A3845"/>
    <w:rsid w:val="66216982"/>
    <w:rsid w:val="66482160"/>
    <w:rsid w:val="66B141AA"/>
    <w:rsid w:val="66BC06A7"/>
    <w:rsid w:val="66F127F8"/>
    <w:rsid w:val="673F17B5"/>
    <w:rsid w:val="674F751F"/>
    <w:rsid w:val="67801DCE"/>
    <w:rsid w:val="67994DEA"/>
    <w:rsid w:val="67A1334E"/>
    <w:rsid w:val="67AB5867"/>
    <w:rsid w:val="67AB6349"/>
    <w:rsid w:val="67B45A9E"/>
    <w:rsid w:val="68050BAD"/>
    <w:rsid w:val="681D55B2"/>
    <w:rsid w:val="684051B6"/>
    <w:rsid w:val="68413F22"/>
    <w:rsid w:val="6865279D"/>
    <w:rsid w:val="68D347A9"/>
    <w:rsid w:val="68E81A16"/>
    <w:rsid w:val="68EF4B15"/>
    <w:rsid w:val="68FA16E8"/>
    <w:rsid w:val="690A194F"/>
    <w:rsid w:val="69196036"/>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A03993"/>
    <w:rsid w:val="6AC83870"/>
    <w:rsid w:val="6ADA35A3"/>
    <w:rsid w:val="6AEF2D91"/>
    <w:rsid w:val="6B420181"/>
    <w:rsid w:val="6B485F70"/>
    <w:rsid w:val="6B5276F7"/>
    <w:rsid w:val="6B625A72"/>
    <w:rsid w:val="6B7307FB"/>
    <w:rsid w:val="6B7834E8"/>
    <w:rsid w:val="6BCA6694"/>
    <w:rsid w:val="6BE203D1"/>
    <w:rsid w:val="6C0D76BF"/>
    <w:rsid w:val="6C0D792D"/>
    <w:rsid w:val="6C0E5B8E"/>
    <w:rsid w:val="6C3867D3"/>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E22773B"/>
    <w:rsid w:val="6E380D0C"/>
    <w:rsid w:val="6E51210E"/>
    <w:rsid w:val="6E68124A"/>
    <w:rsid w:val="6E95247C"/>
    <w:rsid w:val="6EB96428"/>
    <w:rsid w:val="6EB973F2"/>
    <w:rsid w:val="6EFE3D04"/>
    <w:rsid w:val="6F00046B"/>
    <w:rsid w:val="6F1A3F1F"/>
    <w:rsid w:val="6F6B5749"/>
    <w:rsid w:val="6F716099"/>
    <w:rsid w:val="6F9F4523"/>
    <w:rsid w:val="6FAD572A"/>
    <w:rsid w:val="6FDB225A"/>
    <w:rsid w:val="70161521"/>
    <w:rsid w:val="70D651E1"/>
    <w:rsid w:val="710F728C"/>
    <w:rsid w:val="71233EF6"/>
    <w:rsid w:val="7149701B"/>
    <w:rsid w:val="71793B16"/>
    <w:rsid w:val="71A05546"/>
    <w:rsid w:val="71A97BF2"/>
    <w:rsid w:val="71BA4938"/>
    <w:rsid w:val="71D8462F"/>
    <w:rsid w:val="71E84E2D"/>
    <w:rsid w:val="72223437"/>
    <w:rsid w:val="72640322"/>
    <w:rsid w:val="72AE5A41"/>
    <w:rsid w:val="72CD0967"/>
    <w:rsid w:val="72D827E1"/>
    <w:rsid w:val="72DF209E"/>
    <w:rsid w:val="72E10A70"/>
    <w:rsid w:val="72E826C1"/>
    <w:rsid w:val="72F06E48"/>
    <w:rsid w:val="72F5541E"/>
    <w:rsid w:val="73233E20"/>
    <w:rsid w:val="73667C95"/>
    <w:rsid w:val="737946E3"/>
    <w:rsid w:val="73924331"/>
    <w:rsid w:val="73AC4413"/>
    <w:rsid w:val="73AF270B"/>
    <w:rsid w:val="73C13552"/>
    <w:rsid w:val="73C96FD0"/>
    <w:rsid w:val="73D70FC8"/>
    <w:rsid w:val="741B2C62"/>
    <w:rsid w:val="74254390"/>
    <w:rsid w:val="742C30C1"/>
    <w:rsid w:val="743C0E2B"/>
    <w:rsid w:val="745633B4"/>
    <w:rsid w:val="748922C2"/>
    <w:rsid w:val="74A0760B"/>
    <w:rsid w:val="74B27425"/>
    <w:rsid w:val="74E67714"/>
    <w:rsid w:val="75063B4C"/>
    <w:rsid w:val="752370C9"/>
    <w:rsid w:val="75336FD3"/>
    <w:rsid w:val="753F3CA4"/>
    <w:rsid w:val="7548217D"/>
    <w:rsid w:val="75720FA8"/>
    <w:rsid w:val="759119C2"/>
    <w:rsid w:val="75A26D62"/>
    <w:rsid w:val="75B64972"/>
    <w:rsid w:val="75BE0ADD"/>
    <w:rsid w:val="75C06DDC"/>
    <w:rsid w:val="75CD2F00"/>
    <w:rsid w:val="75F65056"/>
    <w:rsid w:val="760761F4"/>
    <w:rsid w:val="762D1373"/>
    <w:rsid w:val="7647594D"/>
    <w:rsid w:val="769759B7"/>
    <w:rsid w:val="76982C90"/>
    <w:rsid w:val="76C55B25"/>
    <w:rsid w:val="76F6723F"/>
    <w:rsid w:val="773B361B"/>
    <w:rsid w:val="773C15B8"/>
    <w:rsid w:val="774B7D02"/>
    <w:rsid w:val="776E1C43"/>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490272"/>
    <w:rsid w:val="795E2E8A"/>
    <w:rsid w:val="79645F30"/>
    <w:rsid w:val="79A47B9E"/>
    <w:rsid w:val="79DF0BD6"/>
    <w:rsid w:val="79F71A7C"/>
    <w:rsid w:val="7A456C8B"/>
    <w:rsid w:val="7A6147CA"/>
    <w:rsid w:val="7A7255A6"/>
    <w:rsid w:val="7ADA324A"/>
    <w:rsid w:val="7AEA5A84"/>
    <w:rsid w:val="7B03673F"/>
    <w:rsid w:val="7B111E03"/>
    <w:rsid w:val="7B136D89"/>
    <w:rsid w:val="7B242D44"/>
    <w:rsid w:val="7B27424C"/>
    <w:rsid w:val="7B3D5BB4"/>
    <w:rsid w:val="7BB87930"/>
    <w:rsid w:val="7BB957EC"/>
    <w:rsid w:val="7BE129E3"/>
    <w:rsid w:val="7BF22E42"/>
    <w:rsid w:val="7C26489A"/>
    <w:rsid w:val="7C5533D1"/>
    <w:rsid w:val="7C890B90"/>
    <w:rsid w:val="7C8D4919"/>
    <w:rsid w:val="7CCF4F32"/>
    <w:rsid w:val="7CD95DB0"/>
    <w:rsid w:val="7D136216"/>
    <w:rsid w:val="7D3467E3"/>
    <w:rsid w:val="7D491FE6"/>
    <w:rsid w:val="7DBA34EC"/>
    <w:rsid w:val="7DDA1DE0"/>
    <w:rsid w:val="7DF06F0E"/>
    <w:rsid w:val="7E0E1A8A"/>
    <w:rsid w:val="7E2117BD"/>
    <w:rsid w:val="7E3C6D77"/>
    <w:rsid w:val="7E70757F"/>
    <w:rsid w:val="7E977CD1"/>
    <w:rsid w:val="7EC93128"/>
    <w:rsid w:val="7ECD476F"/>
    <w:rsid w:val="7ED00AED"/>
    <w:rsid w:val="7ED72E9F"/>
    <w:rsid w:val="7EDC56E4"/>
    <w:rsid w:val="7EE01327"/>
    <w:rsid w:val="7F12400D"/>
    <w:rsid w:val="7F401355"/>
    <w:rsid w:val="7F413799"/>
    <w:rsid w:val="7F547A24"/>
    <w:rsid w:val="7F5E259D"/>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1"/>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8">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6"/>
    <w:autoRedefine/>
    <w:semiHidden/>
    <w:unhideWhenUsed/>
    <w:qFormat/>
    <w:uiPriority w:val="99"/>
    <w:pPr>
      <w:jc w:val="left"/>
    </w:pPr>
    <w:rPr>
      <w:rFonts w:hint="eastAsia" w:ascii="等线" w:hAnsi="等线" w:eastAsia="等线" w:cs="Times New Roman"/>
    </w:rPr>
  </w:style>
  <w:style w:type="paragraph" w:styleId="6">
    <w:name w:val="Body Text"/>
    <w:basedOn w:val="1"/>
    <w:next w:val="1"/>
    <w:link w:val="32"/>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Indent"/>
    <w:basedOn w:val="1"/>
    <w:autoRedefine/>
    <w:qFormat/>
    <w:uiPriority w:val="99"/>
    <w:pPr>
      <w:spacing w:line="480" w:lineRule="exact"/>
      <w:ind w:firstLine="560" w:firstLineChars="200"/>
    </w:pPr>
    <w:rPr>
      <w:sz w:val="24"/>
    </w:rPr>
  </w:style>
  <w:style w:type="paragraph" w:styleId="8">
    <w:name w:val="Plain Text"/>
    <w:basedOn w:val="1"/>
    <w:link w:val="30"/>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9">
    <w:name w:val="Body Text Indent 2"/>
    <w:basedOn w:val="1"/>
    <w:qFormat/>
    <w:uiPriority w:val="0"/>
    <w:pPr>
      <w:ind w:firstLine="567"/>
    </w:pPr>
    <w:rPr>
      <w:rFonts w:ascii="宋体"/>
      <w:sz w:val="28"/>
    </w:rPr>
  </w:style>
  <w:style w:type="paragraph" w:styleId="10">
    <w:name w:val="Balloon Text"/>
    <w:basedOn w:val="1"/>
    <w:link w:val="24"/>
    <w:autoRedefine/>
    <w:semiHidden/>
    <w:unhideWhenUsed/>
    <w:qFormat/>
    <w:uiPriority w:val="99"/>
    <w:rPr>
      <w:sz w:val="18"/>
      <w:szCs w:val="18"/>
    </w:rPr>
  </w:style>
  <w:style w:type="paragraph" w:styleId="11">
    <w:name w:val="footer"/>
    <w:basedOn w:val="1"/>
    <w:link w:val="23"/>
    <w:autoRedefine/>
    <w:unhideWhenUsed/>
    <w:qFormat/>
    <w:uiPriority w:val="99"/>
    <w:pPr>
      <w:tabs>
        <w:tab w:val="center" w:pos="4153"/>
        <w:tab w:val="right" w:pos="8306"/>
      </w:tabs>
      <w:snapToGrid w:val="0"/>
      <w:jc w:val="left"/>
    </w:pPr>
    <w:rPr>
      <w:sz w:val="18"/>
      <w:szCs w:val="18"/>
    </w:rPr>
  </w:style>
  <w:style w:type="paragraph" w:styleId="12">
    <w:name w:val="header"/>
    <w:basedOn w:val="1"/>
    <w:link w:val="2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autoRedefine/>
    <w:semiHidden/>
    <w:unhideWhenUsed/>
    <w:qFormat/>
    <w:uiPriority w:val="99"/>
    <w:rPr>
      <w:sz w:val="24"/>
    </w:rPr>
  </w:style>
  <w:style w:type="paragraph" w:styleId="14">
    <w:name w:val="annotation subject"/>
    <w:basedOn w:val="5"/>
    <w:next w:val="5"/>
    <w:link w:val="27"/>
    <w:autoRedefine/>
    <w:semiHidden/>
    <w:unhideWhenUsed/>
    <w:qFormat/>
    <w:uiPriority w:val="99"/>
    <w:rPr>
      <w:b/>
      <w:bCs/>
    </w:rPr>
  </w:style>
  <w:style w:type="paragraph" w:styleId="15">
    <w:name w:val="Body Text First Indent 2"/>
    <w:basedOn w:val="7"/>
    <w:autoRedefine/>
    <w:unhideWhenUsed/>
    <w:qFormat/>
    <w:uiPriority w:val="0"/>
    <w:pPr>
      <w:spacing w:after="120" w:line="240" w:lineRule="auto"/>
      <w:ind w:left="420" w:leftChars="200" w:firstLine="420"/>
    </w:pPr>
    <w:rPr>
      <w:rFonts w:ascii="Calibri" w:hAnsi="Calibri" w:eastAsia="Times New Roman"/>
    </w:rPr>
  </w:style>
  <w:style w:type="table" w:styleId="17">
    <w:name w:val="Table Grid"/>
    <w:basedOn w:val="1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basedOn w:val="18"/>
    <w:semiHidden/>
    <w:unhideWhenUsed/>
    <w:qFormat/>
    <w:uiPriority w:val="99"/>
    <w:rPr>
      <w:color w:val="0000FF"/>
      <w:u w:val="single"/>
    </w:rPr>
  </w:style>
  <w:style w:type="character" w:styleId="21">
    <w:name w:val="annotation reference"/>
    <w:basedOn w:val="18"/>
    <w:autoRedefine/>
    <w:semiHidden/>
    <w:unhideWhenUsed/>
    <w:qFormat/>
    <w:uiPriority w:val="99"/>
    <w:rPr>
      <w:sz w:val="21"/>
      <w:szCs w:val="21"/>
    </w:rPr>
  </w:style>
  <w:style w:type="character" w:customStyle="1" w:styleId="22">
    <w:name w:val="页眉 字符"/>
    <w:basedOn w:val="18"/>
    <w:link w:val="12"/>
    <w:autoRedefine/>
    <w:qFormat/>
    <w:uiPriority w:val="99"/>
    <w:rPr>
      <w:sz w:val="18"/>
      <w:szCs w:val="18"/>
    </w:rPr>
  </w:style>
  <w:style w:type="character" w:customStyle="1" w:styleId="23">
    <w:name w:val="页脚 字符"/>
    <w:basedOn w:val="18"/>
    <w:link w:val="11"/>
    <w:autoRedefine/>
    <w:qFormat/>
    <w:uiPriority w:val="99"/>
    <w:rPr>
      <w:sz w:val="18"/>
      <w:szCs w:val="18"/>
    </w:rPr>
  </w:style>
  <w:style w:type="character" w:customStyle="1" w:styleId="24">
    <w:name w:val="批注框文本 字符"/>
    <w:basedOn w:val="18"/>
    <w:link w:val="10"/>
    <w:autoRedefine/>
    <w:semiHidden/>
    <w:qFormat/>
    <w:uiPriority w:val="99"/>
    <w:rPr>
      <w:sz w:val="18"/>
      <w:szCs w:val="18"/>
    </w:rPr>
  </w:style>
  <w:style w:type="paragraph" w:styleId="25">
    <w:name w:val="List Paragraph"/>
    <w:basedOn w:val="1"/>
    <w:autoRedefine/>
    <w:qFormat/>
    <w:uiPriority w:val="34"/>
    <w:pPr>
      <w:ind w:firstLine="420" w:firstLineChars="200"/>
    </w:pPr>
  </w:style>
  <w:style w:type="character" w:customStyle="1" w:styleId="26">
    <w:name w:val="批注文字 字符"/>
    <w:basedOn w:val="18"/>
    <w:link w:val="5"/>
    <w:autoRedefine/>
    <w:semiHidden/>
    <w:qFormat/>
    <w:uiPriority w:val="99"/>
  </w:style>
  <w:style w:type="character" w:customStyle="1" w:styleId="27">
    <w:name w:val="批注主题 字符"/>
    <w:basedOn w:val="26"/>
    <w:link w:val="14"/>
    <w:autoRedefine/>
    <w:semiHidden/>
    <w:qFormat/>
    <w:uiPriority w:val="99"/>
    <w:rPr>
      <w:b/>
      <w:bCs/>
    </w:rPr>
  </w:style>
  <w:style w:type="character" w:customStyle="1" w:styleId="28">
    <w:name w:val="标题 3 字符"/>
    <w:basedOn w:val="18"/>
    <w:link w:val="4"/>
    <w:autoRedefine/>
    <w:qFormat/>
    <w:uiPriority w:val="9"/>
    <w:rPr>
      <w:rFonts w:ascii="Times New Roman" w:hAnsi="Times New Roman" w:eastAsia="宋体" w:cs="Times New Roman"/>
      <w:b/>
      <w:kern w:val="0"/>
      <w:sz w:val="24"/>
      <w:szCs w:val="24"/>
    </w:rPr>
  </w:style>
  <w:style w:type="character" w:customStyle="1" w:styleId="29">
    <w:name w:val="标题 2 字符"/>
    <w:basedOn w:val="18"/>
    <w:link w:val="3"/>
    <w:autoRedefine/>
    <w:semiHidden/>
    <w:qFormat/>
    <w:uiPriority w:val="9"/>
    <w:rPr>
      <w:rFonts w:asciiTheme="majorHAnsi" w:hAnsiTheme="majorHAnsi" w:eastAsiaTheme="majorEastAsia" w:cstheme="majorBidi"/>
      <w:b/>
      <w:bCs/>
      <w:sz w:val="32"/>
      <w:szCs w:val="32"/>
    </w:rPr>
  </w:style>
  <w:style w:type="character" w:customStyle="1" w:styleId="30">
    <w:name w:val="纯文本 字符"/>
    <w:basedOn w:val="18"/>
    <w:link w:val="8"/>
    <w:autoRedefine/>
    <w:qFormat/>
    <w:uiPriority w:val="99"/>
    <w:rPr>
      <w:rFonts w:ascii="宋体" w:hAnsi="Courier New" w:eastAsia="宋体" w:cs="宋体"/>
      <w:kern w:val="0"/>
      <w:sz w:val="20"/>
      <w:szCs w:val="20"/>
    </w:rPr>
  </w:style>
  <w:style w:type="character" w:customStyle="1" w:styleId="31">
    <w:name w:val="标题 1 字符"/>
    <w:basedOn w:val="18"/>
    <w:link w:val="2"/>
    <w:autoRedefine/>
    <w:qFormat/>
    <w:uiPriority w:val="9"/>
    <w:rPr>
      <w:b/>
      <w:bCs/>
      <w:kern w:val="44"/>
      <w:sz w:val="44"/>
      <w:szCs w:val="44"/>
    </w:rPr>
  </w:style>
  <w:style w:type="character" w:customStyle="1" w:styleId="32">
    <w:name w:val="正文文本 字符"/>
    <w:basedOn w:val="18"/>
    <w:link w:val="6"/>
    <w:autoRedefine/>
    <w:qFormat/>
    <w:uiPriority w:val="99"/>
    <w:rPr>
      <w:rFonts w:ascii="Times New Roman" w:hAnsi="Times New Roman" w:eastAsia="宋体" w:cs="Times New Roman"/>
      <w:kern w:val="0"/>
      <w:szCs w:val="21"/>
    </w:rPr>
  </w:style>
  <w:style w:type="paragraph" w:customStyle="1" w:styleId="33">
    <w:name w:val="List Paragraph1"/>
    <w:basedOn w:val="1"/>
    <w:autoRedefine/>
    <w:qFormat/>
    <w:uiPriority w:val="0"/>
    <w:pPr>
      <w:ind w:firstLine="420" w:firstLineChars="200"/>
    </w:pPr>
    <w:rPr>
      <w:rFonts w:ascii="等线" w:hAnsi="等线" w:eastAsia="等线" w:cs="Times New Roman"/>
      <w:szCs w:val="21"/>
    </w:rPr>
  </w:style>
  <w:style w:type="paragraph" w:customStyle="1" w:styleId="34">
    <w:name w:val="正文_2"/>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20187</Words>
  <Characters>21205</Characters>
  <Lines>90</Lines>
  <Paragraphs>25</Paragraphs>
  <TotalTime>5</TotalTime>
  <ScaleCrop>false</ScaleCrop>
  <LinksUpToDate>false</LinksUpToDate>
  <CharactersWithSpaces>21513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cp:lastPrinted>2024-05-31T07:48:00Z</cp:lastPrinted>
  <dcterms:modified xsi:type="dcterms:W3CDTF">2025-03-24T01:40:08Z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DE1B5EC6293C4EE8AC13C828818853A7_13</vt:lpwstr>
  </property>
  <property fmtid="{D5CDD505-2E9C-101B-9397-08002B2CF9AE}" pid="4" name="KSOTemplateDocerSaveRecord">
    <vt:lpwstr>eyJoZGlkIjoiY2UzOGVjYTkyYTRhZGNhZWE3ODEwZDk3MzE3NWQwYzciLCJ1c2VySWQiOiI2NzMzMzUyNzQifQ==</vt:lpwstr>
  </property>
</Properties>
</file>