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073E2">
      <w:pPr>
        <w:ind w:right="-57" w:firstLine="0"/>
        <w:rPr>
          <w:rFonts w:hint="eastAsia" w:ascii="宋体" w:hAnsi="宋体"/>
          <w:color w:val="auto"/>
          <w:highlight w:val="none"/>
          <w:lang w:val="en-US" w:eastAsia="zh-CN"/>
        </w:rPr>
      </w:pPr>
      <w:r>
        <w:rPr>
          <w:rFonts w:hint="eastAsia" w:ascii="宋体" w:hAnsi="宋体"/>
          <w:color w:val="auto"/>
          <w:highlight w:val="none"/>
          <w:lang w:val="en-US" w:eastAsia="zh-CN"/>
        </w:rPr>
        <w:t xml:space="preserve"> </w:t>
      </w:r>
    </w:p>
    <w:p w14:paraId="32FE08A1">
      <w:pPr>
        <w:pStyle w:val="19"/>
        <w:rPr>
          <w:rFonts w:hint="eastAsia"/>
          <w:color w:val="auto"/>
          <w:highlight w:val="none"/>
          <w:lang w:val="en-US" w:eastAsia="zh-CN"/>
        </w:rPr>
      </w:pPr>
    </w:p>
    <w:p w14:paraId="3FA44388">
      <w:pPr>
        <w:ind w:right="-57" w:firstLine="0"/>
        <w:rPr>
          <w:rFonts w:ascii="宋体" w:hAnsi="宋体"/>
          <w:color w:val="auto"/>
          <w:highlight w:val="none"/>
        </w:rPr>
      </w:pPr>
    </w:p>
    <w:p w14:paraId="4A78A53A">
      <w:pPr>
        <w:spacing w:before="0"/>
        <w:ind w:right="-57" w:firstLine="0"/>
        <w:jc w:val="center"/>
        <w:rPr>
          <w:rFonts w:ascii="宋体" w:hAnsi="宋体"/>
          <w:color w:val="auto"/>
          <w:sz w:val="72"/>
          <w:szCs w:val="72"/>
          <w:highlight w:val="none"/>
          <w:lang w:val="zh-CN"/>
        </w:rPr>
      </w:pPr>
      <w:bookmarkStart w:id="0" w:name="OLE_LINK22"/>
      <w:r>
        <w:rPr>
          <w:rFonts w:hint="eastAsia"/>
          <w:b/>
          <w:color w:val="auto"/>
          <w:spacing w:val="-4"/>
          <w:sz w:val="44"/>
          <w:szCs w:val="44"/>
          <w:highlight w:val="none"/>
          <w:lang w:val="zh-CN"/>
        </w:rPr>
        <w:t>南宁市白沙半岛片区城中村改造项目安置住房小区（地块1）</w:t>
      </w:r>
      <w:bookmarkEnd w:id="0"/>
      <w:r>
        <w:rPr>
          <w:rFonts w:hint="eastAsia"/>
          <w:b/>
          <w:color w:val="auto"/>
          <w:spacing w:val="-4"/>
          <w:sz w:val="44"/>
          <w:szCs w:val="44"/>
          <w:highlight w:val="none"/>
          <w:lang w:val="zh-CN"/>
        </w:rPr>
        <w:t>地质勘察</w:t>
      </w:r>
    </w:p>
    <w:p w14:paraId="17A81E17">
      <w:pPr>
        <w:spacing w:before="0"/>
        <w:ind w:right="-57" w:firstLine="0"/>
        <w:jc w:val="center"/>
        <w:rPr>
          <w:rFonts w:ascii="宋体" w:hAnsi="宋体"/>
          <w:color w:val="auto"/>
          <w:sz w:val="72"/>
          <w:szCs w:val="72"/>
          <w:highlight w:val="none"/>
        </w:rPr>
      </w:pPr>
    </w:p>
    <w:p w14:paraId="0F76AC10">
      <w:pPr>
        <w:spacing w:before="0"/>
        <w:ind w:right="-57" w:firstLine="0"/>
        <w:jc w:val="center"/>
        <w:rPr>
          <w:rFonts w:ascii="宋体" w:hAnsi="宋体"/>
          <w:color w:val="auto"/>
          <w:sz w:val="72"/>
          <w:szCs w:val="72"/>
          <w:highlight w:val="none"/>
        </w:rPr>
      </w:pPr>
      <w:r>
        <w:rPr>
          <w:rFonts w:hint="eastAsia" w:ascii="宋体" w:hAnsi="宋体"/>
          <w:color w:val="auto"/>
          <w:sz w:val="72"/>
          <w:szCs w:val="72"/>
          <w:highlight w:val="none"/>
        </w:rPr>
        <w:t>比选</w:t>
      </w:r>
      <w:r>
        <w:rPr>
          <w:rFonts w:ascii="宋体" w:hAnsi="宋体"/>
          <w:color w:val="auto"/>
          <w:sz w:val="72"/>
          <w:szCs w:val="72"/>
          <w:highlight w:val="none"/>
        </w:rPr>
        <w:t>文件</w:t>
      </w:r>
    </w:p>
    <w:p w14:paraId="55AD71E8">
      <w:pPr>
        <w:pStyle w:val="5"/>
      </w:pPr>
    </w:p>
    <w:p w14:paraId="0FD676E7">
      <w:pPr>
        <w:pStyle w:val="4"/>
        <w:rPr>
          <w:color w:val="auto"/>
          <w:highlight w:val="none"/>
        </w:rPr>
      </w:pPr>
    </w:p>
    <w:p w14:paraId="4077651C">
      <w:pPr>
        <w:spacing w:before="0"/>
        <w:ind w:right="-57" w:firstLine="435"/>
        <w:jc w:val="center"/>
        <w:rPr>
          <w:rFonts w:ascii="宋体" w:hAnsi="宋体"/>
          <w:color w:val="auto"/>
          <w:sz w:val="30"/>
          <w:szCs w:val="30"/>
          <w:highlight w:val="none"/>
        </w:rPr>
      </w:pPr>
      <w:r>
        <w:rPr>
          <w:rFonts w:ascii="宋体" w:hAnsi="宋体"/>
          <w:b/>
          <w:color w:val="auto"/>
          <w:sz w:val="32"/>
          <w:szCs w:val="32"/>
          <w:highlight w:val="none"/>
        </w:rPr>
        <w:t>比选人：</w:t>
      </w:r>
      <w:r>
        <w:rPr>
          <w:rFonts w:hint="eastAsia" w:ascii="宋体" w:hAnsi="宋体"/>
          <w:b/>
          <w:color w:val="auto"/>
          <w:sz w:val="32"/>
          <w:szCs w:val="32"/>
          <w:highlight w:val="none"/>
          <w:u w:val="single"/>
          <w:lang w:eastAsia="zh-CN"/>
        </w:rPr>
        <w:t>南宁兴邕城市更新有限责任公司</w:t>
      </w:r>
    </w:p>
    <w:p w14:paraId="6B2817D6">
      <w:pPr>
        <w:spacing w:before="0"/>
        <w:ind w:right="-57" w:firstLine="0"/>
        <w:jc w:val="center"/>
        <w:rPr>
          <w:rFonts w:ascii="宋体" w:hAnsi="宋体"/>
          <w:color w:val="auto"/>
          <w:highlight w:val="none"/>
        </w:rPr>
      </w:pPr>
      <w:r>
        <w:rPr>
          <w:rFonts w:hint="eastAsia" w:ascii="宋体" w:hAnsi="宋体"/>
          <w:b/>
          <w:color w:val="auto"/>
          <w:sz w:val="36"/>
          <w:szCs w:val="36"/>
          <w:highlight w:val="none"/>
        </w:rPr>
        <w:t>202</w:t>
      </w:r>
      <w:r>
        <w:rPr>
          <w:rFonts w:hint="eastAsia" w:ascii="宋体" w:hAnsi="宋体"/>
          <w:b/>
          <w:color w:val="auto"/>
          <w:sz w:val="36"/>
          <w:szCs w:val="36"/>
          <w:highlight w:val="none"/>
          <w:lang w:val="en-US" w:eastAsia="zh-CN"/>
        </w:rPr>
        <w:t>4</w:t>
      </w:r>
      <w:r>
        <w:rPr>
          <w:rFonts w:ascii="宋体" w:hAnsi="宋体"/>
          <w:b/>
          <w:color w:val="auto"/>
          <w:sz w:val="36"/>
          <w:szCs w:val="36"/>
          <w:highlight w:val="none"/>
        </w:rPr>
        <w:t>年</w:t>
      </w:r>
      <w:r>
        <w:rPr>
          <w:rFonts w:hint="eastAsia" w:ascii="宋体" w:hAnsi="宋体"/>
          <w:b/>
          <w:color w:val="auto"/>
          <w:sz w:val="36"/>
          <w:szCs w:val="36"/>
          <w:highlight w:val="none"/>
        </w:rPr>
        <w:t xml:space="preserve"> </w:t>
      </w:r>
      <w:r>
        <w:rPr>
          <w:rFonts w:hint="eastAsia" w:ascii="宋体" w:hAnsi="宋体"/>
          <w:b/>
          <w:color w:val="auto"/>
          <w:sz w:val="36"/>
          <w:szCs w:val="36"/>
          <w:highlight w:val="none"/>
          <w:lang w:val="en-US" w:eastAsia="zh-CN"/>
        </w:rPr>
        <w:t>9</w:t>
      </w:r>
      <w:r>
        <w:rPr>
          <w:rFonts w:ascii="宋体" w:hAnsi="宋体"/>
          <w:b/>
          <w:color w:val="auto"/>
          <w:sz w:val="36"/>
          <w:szCs w:val="36"/>
          <w:highlight w:val="none"/>
        </w:rPr>
        <w:t>月</w:t>
      </w:r>
    </w:p>
    <w:p w14:paraId="6F29FB80">
      <w:pPr>
        <w:spacing w:before="0"/>
        <w:ind w:right="-57" w:firstLine="0"/>
        <w:jc w:val="center"/>
        <w:rPr>
          <w:rFonts w:ascii="宋体" w:hAnsi="宋体" w:cs="宋体"/>
          <w:b/>
          <w:color w:val="auto"/>
          <w:sz w:val="36"/>
          <w:szCs w:val="36"/>
          <w:highlight w:val="none"/>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p>
    <w:sdt>
      <w:sdtPr>
        <w:rPr>
          <w:rFonts w:ascii="宋体" w:hAnsi="宋体"/>
          <w:b/>
          <w:bCs/>
          <w:color w:val="auto"/>
          <w:sz w:val="24"/>
          <w:szCs w:val="24"/>
          <w:highlight w:val="none"/>
        </w:rPr>
        <w:id w:val="147467472"/>
        <w:docPartObj>
          <w:docPartGallery w:val="Table of Contents"/>
          <w:docPartUnique/>
        </w:docPartObj>
      </w:sdtPr>
      <w:sdtEndPr>
        <w:rPr>
          <w:rFonts w:ascii="宋体" w:hAnsi="宋体"/>
          <w:b/>
          <w:bCs/>
          <w:color w:val="auto"/>
          <w:sz w:val="24"/>
          <w:szCs w:val="24"/>
          <w:highlight w:val="none"/>
        </w:rPr>
      </w:sdtEndPr>
      <w:sdtContent>
        <w:p w14:paraId="557D3F43">
          <w:pPr>
            <w:spacing w:before="0" w:after="0" w:line="240" w:lineRule="auto"/>
            <w:ind w:left="0" w:right="0" w:firstLine="0"/>
            <w:jc w:val="center"/>
            <w:rPr>
              <w:b/>
              <w:bCs/>
              <w:color w:val="auto"/>
              <w:sz w:val="24"/>
              <w:szCs w:val="24"/>
              <w:highlight w:val="none"/>
            </w:rPr>
          </w:pPr>
          <w:bookmarkStart w:id="1" w:name="_Toc375039061"/>
          <w:bookmarkStart w:id="2" w:name="_Toc25355"/>
          <w:bookmarkStart w:id="3" w:name="_Toc481"/>
          <w:bookmarkStart w:id="4" w:name="_Toc5910"/>
          <w:bookmarkStart w:id="5" w:name="_Toc14762"/>
          <w:bookmarkStart w:id="6" w:name="_Toc15211"/>
          <w:bookmarkStart w:id="7" w:name="_Toc23367"/>
          <w:bookmarkStart w:id="8" w:name="_Toc26620"/>
          <w:bookmarkStart w:id="9" w:name="_Toc30647"/>
          <w:bookmarkStart w:id="10" w:name="_Toc237"/>
          <w:bookmarkStart w:id="11" w:name="_Toc23476"/>
          <w:bookmarkStart w:id="12" w:name="_Toc17906"/>
          <w:bookmarkStart w:id="13" w:name="_Toc1227"/>
          <w:bookmarkStart w:id="14" w:name="_Toc26939"/>
          <w:bookmarkStart w:id="15" w:name="_Toc1363"/>
          <w:bookmarkStart w:id="16" w:name="_Toc492478714"/>
          <w:bookmarkStart w:id="17" w:name="_Toc3400"/>
          <w:bookmarkStart w:id="18" w:name="_Toc26192"/>
          <w:bookmarkStart w:id="19" w:name="_Toc3658"/>
          <w:r>
            <w:rPr>
              <w:rFonts w:ascii="宋体" w:hAnsi="宋体"/>
              <w:b/>
              <w:bCs/>
              <w:color w:val="auto"/>
              <w:sz w:val="24"/>
              <w:szCs w:val="24"/>
              <w:highlight w:val="none"/>
            </w:rPr>
            <w:t>目录</w:t>
          </w:r>
        </w:p>
        <w:p w14:paraId="1C7F1FDF">
          <w:pPr>
            <w:pStyle w:val="80"/>
            <w:tabs>
              <w:tab w:val="right" w:leader="dot" w:pos="9071"/>
            </w:tabs>
            <w:spacing w:line="360" w:lineRule="auto"/>
            <w:rPr>
              <w:b/>
              <w:bCs/>
              <w:color w:val="auto"/>
              <w:sz w:val="24"/>
              <w:szCs w:val="24"/>
              <w:highlight w:val="none"/>
            </w:rPr>
          </w:pPr>
          <w:r>
            <w:rPr>
              <w:color w:val="auto"/>
              <w:sz w:val="24"/>
              <w:szCs w:val="24"/>
              <w:highlight w:val="none"/>
            </w:rPr>
            <w:fldChar w:fldCharType="begin"/>
          </w:r>
          <w:r>
            <w:rPr>
              <w:color w:val="auto"/>
              <w:sz w:val="24"/>
              <w:szCs w:val="24"/>
              <w:highlight w:val="none"/>
            </w:rPr>
            <w:instrText xml:space="preserve">TOC \o "1-1" \h \u </w:instrText>
          </w:r>
          <w:r>
            <w:rPr>
              <w:color w:val="auto"/>
              <w:sz w:val="24"/>
              <w:szCs w:val="24"/>
              <w:highlight w:val="none"/>
            </w:rPr>
            <w:fldChar w:fldCharType="separate"/>
          </w:r>
          <w:r>
            <w:rPr>
              <w:color w:val="auto"/>
              <w:highlight w:val="none"/>
            </w:rPr>
            <w:fldChar w:fldCharType="begin"/>
          </w:r>
          <w:r>
            <w:rPr>
              <w:color w:val="auto"/>
              <w:highlight w:val="none"/>
            </w:rPr>
            <w:instrText xml:space="preserve"> HYPERLINK \l "_Toc27178" </w:instrText>
          </w:r>
          <w:r>
            <w:rPr>
              <w:color w:val="auto"/>
              <w:highlight w:val="none"/>
            </w:rPr>
            <w:fldChar w:fldCharType="separate"/>
          </w:r>
          <w:r>
            <w:rPr>
              <w:rFonts w:hint="eastAsia" w:ascii="宋体" w:hAnsi="宋体"/>
              <w:b/>
              <w:bCs/>
              <w:color w:val="auto"/>
              <w:sz w:val="24"/>
              <w:szCs w:val="24"/>
              <w:highlight w:val="none"/>
            </w:rPr>
            <w:t>第一章比选公告</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_Toc27178 \h </w:instrText>
          </w:r>
          <w:r>
            <w:rPr>
              <w:b/>
              <w:bCs/>
              <w:color w:val="auto"/>
              <w:sz w:val="24"/>
              <w:szCs w:val="24"/>
              <w:highlight w:val="none"/>
            </w:rPr>
            <w:fldChar w:fldCharType="separate"/>
          </w:r>
          <w:r>
            <w:rPr>
              <w:b/>
              <w:bCs/>
              <w:color w:val="auto"/>
              <w:sz w:val="24"/>
              <w:szCs w:val="24"/>
              <w:highlight w:val="none"/>
            </w:rPr>
            <w:t>4</w:t>
          </w:r>
          <w:r>
            <w:rPr>
              <w:b/>
              <w:bCs/>
              <w:color w:val="auto"/>
              <w:sz w:val="24"/>
              <w:szCs w:val="24"/>
              <w:highlight w:val="none"/>
            </w:rPr>
            <w:fldChar w:fldCharType="end"/>
          </w:r>
          <w:r>
            <w:rPr>
              <w:b/>
              <w:bCs/>
              <w:color w:val="auto"/>
              <w:sz w:val="24"/>
              <w:szCs w:val="24"/>
              <w:highlight w:val="none"/>
            </w:rPr>
            <w:fldChar w:fldCharType="end"/>
          </w:r>
        </w:p>
        <w:p w14:paraId="40A949FA">
          <w:pPr>
            <w:pStyle w:val="80"/>
            <w:tabs>
              <w:tab w:val="right" w:leader="dot" w:pos="9071"/>
            </w:tabs>
            <w:spacing w:line="360" w:lineRule="auto"/>
            <w:rPr>
              <w:b/>
              <w:bCs/>
              <w:color w:val="auto"/>
              <w:sz w:val="24"/>
              <w:szCs w:val="24"/>
              <w:highlight w:val="none"/>
            </w:rPr>
          </w:pPr>
          <w:r>
            <w:rPr>
              <w:color w:val="auto"/>
              <w:highlight w:val="none"/>
            </w:rPr>
            <w:fldChar w:fldCharType="begin"/>
          </w:r>
          <w:r>
            <w:rPr>
              <w:color w:val="auto"/>
              <w:highlight w:val="none"/>
            </w:rPr>
            <w:instrText xml:space="preserve"> HYPERLINK \l "_Toc25633" </w:instrText>
          </w:r>
          <w:r>
            <w:rPr>
              <w:color w:val="auto"/>
              <w:highlight w:val="none"/>
            </w:rPr>
            <w:fldChar w:fldCharType="separate"/>
          </w:r>
          <w:r>
            <w:rPr>
              <w:rFonts w:hint="eastAsia" w:ascii="宋体" w:hAnsi="宋体"/>
              <w:b/>
              <w:bCs/>
              <w:color w:val="auto"/>
              <w:sz w:val="24"/>
              <w:szCs w:val="24"/>
              <w:highlight w:val="none"/>
            </w:rPr>
            <w:t>第二章比选申请须知</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_Toc25633 \h </w:instrText>
          </w:r>
          <w:r>
            <w:rPr>
              <w:b/>
              <w:bCs/>
              <w:color w:val="auto"/>
              <w:sz w:val="24"/>
              <w:szCs w:val="24"/>
              <w:highlight w:val="none"/>
            </w:rPr>
            <w:fldChar w:fldCharType="separate"/>
          </w:r>
          <w:r>
            <w:rPr>
              <w:b/>
              <w:bCs/>
              <w:color w:val="auto"/>
              <w:sz w:val="24"/>
              <w:szCs w:val="24"/>
              <w:highlight w:val="none"/>
            </w:rPr>
            <w:t>7</w:t>
          </w:r>
          <w:r>
            <w:rPr>
              <w:b/>
              <w:bCs/>
              <w:color w:val="auto"/>
              <w:sz w:val="24"/>
              <w:szCs w:val="24"/>
              <w:highlight w:val="none"/>
            </w:rPr>
            <w:fldChar w:fldCharType="end"/>
          </w:r>
          <w:r>
            <w:rPr>
              <w:b/>
              <w:bCs/>
              <w:color w:val="auto"/>
              <w:sz w:val="24"/>
              <w:szCs w:val="24"/>
              <w:highlight w:val="none"/>
            </w:rPr>
            <w:fldChar w:fldCharType="end"/>
          </w:r>
        </w:p>
        <w:p w14:paraId="1E466B41">
          <w:pPr>
            <w:pStyle w:val="80"/>
            <w:tabs>
              <w:tab w:val="right" w:leader="dot" w:pos="9071"/>
            </w:tabs>
            <w:spacing w:line="360" w:lineRule="auto"/>
            <w:rPr>
              <w:b/>
              <w:bCs/>
              <w:color w:val="auto"/>
              <w:sz w:val="24"/>
              <w:szCs w:val="24"/>
              <w:highlight w:val="none"/>
            </w:rPr>
          </w:pPr>
          <w:r>
            <w:rPr>
              <w:color w:val="auto"/>
              <w:highlight w:val="none"/>
            </w:rPr>
            <w:fldChar w:fldCharType="begin"/>
          </w:r>
          <w:r>
            <w:rPr>
              <w:color w:val="auto"/>
              <w:highlight w:val="none"/>
            </w:rPr>
            <w:instrText xml:space="preserve"> HYPERLINK \l "_Toc11336" </w:instrText>
          </w:r>
          <w:r>
            <w:rPr>
              <w:color w:val="auto"/>
              <w:highlight w:val="none"/>
            </w:rPr>
            <w:fldChar w:fldCharType="separate"/>
          </w:r>
          <w:r>
            <w:rPr>
              <w:rFonts w:hint="eastAsia" w:ascii="宋体" w:hAnsi="宋体"/>
              <w:b/>
              <w:bCs/>
              <w:color w:val="auto"/>
              <w:sz w:val="24"/>
              <w:szCs w:val="24"/>
              <w:highlight w:val="none"/>
            </w:rPr>
            <w:t>第三章合同条款及格式</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_Toc11336 \h </w:instrText>
          </w:r>
          <w:r>
            <w:rPr>
              <w:b/>
              <w:bCs/>
              <w:color w:val="auto"/>
              <w:sz w:val="24"/>
              <w:szCs w:val="24"/>
              <w:highlight w:val="none"/>
            </w:rPr>
            <w:fldChar w:fldCharType="separate"/>
          </w:r>
          <w:r>
            <w:rPr>
              <w:b/>
              <w:bCs/>
              <w:color w:val="auto"/>
              <w:sz w:val="24"/>
              <w:szCs w:val="24"/>
              <w:highlight w:val="none"/>
            </w:rPr>
            <w:t>24</w:t>
          </w:r>
          <w:r>
            <w:rPr>
              <w:b/>
              <w:bCs/>
              <w:color w:val="auto"/>
              <w:sz w:val="24"/>
              <w:szCs w:val="24"/>
              <w:highlight w:val="none"/>
            </w:rPr>
            <w:fldChar w:fldCharType="end"/>
          </w:r>
          <w:r>
            <w:rPr>
              <w:b/>
              <w:bCs/>
              <w:color w:val="auto"/>
              <w:sz w:val="24"/>
              <w:szCs w:val="24"/>
              <w:highlight w:val="none"/>
            </w:rPr>
            <w:fldChar w:fldCharType="end"/>
          </w:r>
        </w:p>
        <w:p w14:paraId="45BF072D">
          <w:pPr>
            <w:pStyle w:val="80"/>
            <w:tabs>
              <w:tab w:val="right" w:leader="dot" w:pos="9071"/>
            </w:tabs>
            <w:spacing w:line="360" w:lineRule="auto"/>
            <w:rPr>
              <w:b/>
              <w:bCs/>
              <w:color w:val="auto"/>
              <w:sz w:val="24"/>
              <w:szCs w:val="24"/>
              <w:highlight w:val="none"/>
            </w:rPr>
          </w:pPr>
          <w:r>
            <w:rPr>
              <w:color w:val="auto"/>
              <w:highlight w:val="none"/>
            </w:rPr>
            <w:fldChar w:fldCharType="begin"/>
          </w:r>
          <w:r>
            <w:rPr>
              <w:color w:val="auto"/>
              <w:highlight w:val="none"/>
            </w:rPr>
            <w:instrText xml:space="preserve"> HYPERLINK \l "_Toc5600" </w:instrText>
          </w:r>
          <w:r>
            <w:rPr>
              <w:color w:val="auto"/>
              <w:highlight w:val="none"/>
            </w:rPr>
            <w:fldChar w:fldCharType="separate"/>
          </w:r>
          <w:r>
            <w:rPr>
              <w:rFonts w:hint="eastAsia" w:ascii="宋体" w:hAnsi="宋体"/>
              <w:b/>
              <w:bCs/>
              <w:color w:val="auto"/>
              <w:sz w:val="24"/>
              <w:szCs w:val="24"/>
              <w:highlight w:val="none"/>
            </w:rPr>
            <w:t>第四章比选申请文件格式</w:t>
          </w:r>
          <w:r>
            <w:rPr>
              <w:b/>
              <w:bCs/>
              <w:color w:val="auto"/>
              <w:sz w:val="24"/>
              <w:szCs w:val="24"/>
              <w:highlight w:val="none"/>
            </w:rPr>
            <w:tab/>
          </w:r>
          <w:r>
            <w:rPr>
              <w:rFonts w:hint="eastAsia"/>
              <w:b/>
              <w:bCs/>
              <w:color w:val="auto"/>
              <w:sz w:val="24"/>
              <w:szCs w:val="24"/>
              <w:highlight w:val="none"/>
            </w:rPr>
            <w:t>3</w:t>
          </w:r>
          <w:r>
            <w:rPr>
              <w:rFonts w:hint="eastAsia"/>
              <w:b/>
              <w:bCs/>
              <w:color w:val="auto"/>
              <w:sz w:val="24"/>
              <w:szCs w:val="24"/>
              <w:highlight w:val="none"/>
            </w:rPr>
            <w:fldChar w:fldCharType="end"/>
          </w:r>
          <w:r>
            <w:rPr>
              <w:rFonts w:hint="eastAsia"/>
              <w:b/>
              <w:bCs/>
              <w:color w:val="auto"/>
              <w:sz w:val="24"/>
              <w:szCs w:val="24"/>
              <w:highlight w:val="none"/>
            </w:rPr>
            <w:t>7</w:t>
          </w:r>
        </w:p>
        <w:p w14:paraId="079A3D33">
          <w:pPr>
            <w:pStyle w:val="80"/>
            <w:tabs>
              <w:tab w:val="right" w:leader="dot" w:pos="9071"/>
            </w:tabs>
            <w:spacing w:line="360" w:lineRule="auto"/>
            <w:rPr>
              <w:color w:val="auto"/>
              <w:sz w:val="24"/>
              <w:szCs w:val="24"/>
              <w:highlight w:val="none"/>
            </w:rPr>
          </w:pPr>
          <w:r>
            <w:rPr>
              <w:color w:val="auto"/>
              <w:highlight w:val="none"/>
            </w:rPr>
            <w:fldChar w:fldCharType="begin"/>
          </w:r>
          <w:r>
            <w:rPr>
              <w:color w:val="auto"/>
              <w:highlight w:val="none"/>
            </w:rPr>
            <w:instrText xml:space="preserve"> HYPERLINK \l "_Toc16905" </w:instrText>
          </w:r>
          <w:r>
            <w:rPr>
              <w:color w:val="auto"/>
              <w:highlight w:val="none"/>
            </w:rPr>
            <w:fldChar w:fldCharType="separate"/>
          </w:r>
          <w:r>
            <w:rPr>
              <w:rFonts w:hint="eastAsia" w:ascii="宋体" w:hAnsi="宋体"/>
              <w:b/>
              <w:bCs/>
              <w:color w:val="auto"/>
              <w:sz w:val="24"/>
              <w:szCs w:val="24"/>
              <w:highlight w:val="none"/>
            </w:rPr>
            <w:t>第</w:t>
          </w:r>
          <w:r>
            <w:rPr>
              <w:rFonts w:hint="eastAsia" w:hAnsi="宋体"/>
              <w:b/>
              <w:bCs/>
              <w:color w:val="auto"/>
              <w:sz w:val="24"/>
              <w:szCs w:val="24"/>
              <w:highlight w:val="none"/>
            </w:rPr>
            <w:t>五</w:t>
          </w:r>
          <w:r>
            <w:rPr>
              <w:rFonts w:hint="eastAsia" w:ascii="宋体" w:hAnsi="宋体"/>
              <w:b/>
              <w:bCs/>
              <w:color w:val="auto"/>
              <w:sz w:val="24"/>
              <w:szCs w:val="24"/>
              <w:highlight w:val="none"/>
            </w:rPr>
            <w:t>章评分办法</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_Toc16905 \h </w:instrText>
          </w:r>
          <w:r>
            <w:rPr>
              <w:b/>
              <w:bCs/>
              <w:color w:val="auto"/>
              <w:sz w:val="24"/>
              <w:szCs w:val="24"/>
              <w:highlight w:val="none"/>
            </w:rPr>
            <w:fldChar w:fldCharType="separate"/>
          </w:r>
          <w:r>
            <w:rPr>
              <w:b/>
              <w:bCs/>
              <w:color w:val="auto"/>
              <w:sz w:val="24"/>
              <w:szCs w:val="24"/>
              <w:highlight w:val="none"/>
            </w:rPr>
            <w:t>51</w:t>
          </w:r>
          <w:r>
            <w:rPr>
              <w:b/>
              <w:bCs/>
              <w:color w:val="auto"/>
              <w:sz w:val="24"/>
              <w:szCs w:val="24"/>
              <w:highlight w:val="none"/>
            </w:rPr>
            <w:fldChar w:fldCharType="end"/>
          </w:r>
          <w:r>
            <w:rPr>
              <w:b/>
              <w:bCs/>
              <w:color w:val="auto"/>
              <w:sz w:val="24"/>
              <w:szCs w:val="24"/>
              <w:highlight w:val="none"/>
            </w:rPr>
            <w:fldChar w:fldCharType="end"/>
          </w:r>
        </w:p>
        <w:p w14:paraId="5DE1F4EF">
          <w:pPr>
            <w:rPr>
              <w:color w:val="auto"/>
              <w:sz w:val="24"/>
              <w:szCs w:val="24"/>
              <w:highlight w:val="none"/>
            </w:rPr>
          </w:pPr>
          <w:r>
            <w:rPr>
              <w:color w:val="auto"/>
              <w:sz w:val="24"/>
              <w:szCs w:val="24"/>
              <w:highlight w:val="none"/>
            </w:rPr>
            <w:fldChar w:fldCharType="end"/>
          </w:r>
        </w:p>
      </w:sdtContent>
    </w:sdt>
    <w:p w14:paraId="333908E3">
      <w:pPr>
        <w:rPr>
          <w:rStyle w:val="58"/>
          <w:rFonts w:ascii="宋体" w:hAnsi="宋体" w:eastAsia="宋体"/>
          <w:color w:val="auto"/>
          <w:highlight w:val="none"/>
        </w:rPr>
      </w:pPr>
      <w:r>
        <w:rPr>
          <w:rStyle w:val="58"/>
          <w:rFonts w:hint="eastAsia" w:ascii="宋体" w:hAnsi="宋体" w:eastAsia="宋体"/>
          <w:color w:val="auto"/>
          <w:highlight w:val="none"/>
        </w:rPr>
        <w:br w:type="page"/>
      </w:r>
    </w:p>
    <w:p w14:paraId="3EC9AED2">
      <w:pPr>
        <w:pStyle w:val="19"/>
        <w:pageBreakBefore/>
        <w:ind w:right="-57"/>
        <w:rPr>
          <w:rStyle w:val="58"/>
          <w:rFonts w:ascii="宋体" w:hAnsi="宋体" w:eastAsia="宋体"/>
          <w:color w:val="auto"/>
          <w:highlight w:val="none"/>
        </w:rPr>
        <w:sectPr>
          <w:headerReference r:id="rId7" w:type="default"/>
          <w:footerReference r:id="rId8" w:type="default"/>
          <w:pgSz w:w="11905" w:h="16838"/>
          <w:pgMar w:top="1417" w:right="1417" w:bottom="1417" w:left="1417" w:header="454" w:footer="567" w:gutter="0"/>
          <w:cols w:space="720" w:num="1"/>
          <w:docGrid w:linePitch="312" w:charSpace="0"/>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72A1AB8">
      <w:pPr>
        <w:pStyle w:val="19"/>
        <w:pageBreakBefore/>
        <w:ind w:right="-57"/>
        <w:jc w:val="center"/>
        <w:outlineLvl w:val="0"/>
        <w:rPr>
          <w:rStyle w:val="58"/>
          <w:rFonts w:ascii="宋体" w:hAnsi="宋体" w:eastAsia="宋体"/>
          <w:color w:val="auto"/>
          <w:highlight w:val="none"/>
        </w:rPr>
      </w:pPr>
      <w:bookmarkStart w:id="20" w:name="_Toc27178"/>
      <w:r>
        <w:rPr>
          <w:rStyle w:val="58"/>
          <w:rFonts w:hint="eastAsia" w:ascii="宋体" w:hAnsi="宋体" w:eastAsia="宋体"/>
          <w:color w:val="auto"/>
          <w:highlight w:val="none"/>
        </w:rPr>
        <w:t>第一章比选公告</w:t>
      </w:r>
      <w:bookmarkEnd w:id="20"/>
    </w:p>
    <w:p w14:paraId="4437B917">
      <w:pPr>
        <w:spacing w:before="0" w:after="0" w:afterAutospacing="0"/>
        <w:ind w:right="-57" w:firstLine="0"/>
        <w:jc w:val="center"/>
        <w:rPr>
          <w:rFonts w:ascii="宋体" w:hAnsi="宋体"/>
          <w:b/>
          <w:color w:val="auto"/>
          <w:sz w:val="28"/>
          <w:szCs w:val="28"/>
          <w:highlight w:val="none"/>
        </w:rPr>
      </w:pPr>
      <w:bookmarkStart w:id="1562" w:name="_GoBack"/>
      <w:bookmarkStart w:id="21" w:name="OLE_LINK56"/>
      <w:r>
        <w:rPr>
          <w:rFonts w:hint="eastAsia" w:ascii="宋体" w:hAnsi="宋体"/>
          <w:b/>
          <w:color w:val="auto"/>
          <w:sz w:val="28"/>
          <w:szCs w:val="28"/>
          <w:highlight w:val="none"/>
          <w:lang w:val="zh-CN"/>
        </w:rPr>
        <w:t>南宁市白沙半岛片区城中村改造项目安置住房小区（地块1）地质勘察</w:t>
      </w:r>
      <w:r>
        <w:rPr>
          <w:rFonts w:hint="eastAsia" w:ascii="宋体" w:hAnsi="宋体"/>
          <w:b/>
          <w:color w:val="auto"/>
          <w:sz w:val="28"/>
          <w:szCs w:val="28"/>
          <w:highlight w:val="none"/>
        </w:rPr>
        <w:t>比选公告</w:t>
      </w:r>
    </w:p>
    <w:p w14:paraId="3334B22D">
      <w:pPr>
        <w:spacing w:before="0" w:after="0" w:afterAutospacing="0"/>
        <w:ind w:left="0" w:right="0" w:firstLine="422" w:firstLineChars="200"/>
        <w:rPr>
          <w:rFonts w:ascii="宋体" w:hAnsi="宋体"/>
          <w:b/>
          <w:color w:val="auto"/>
          <w:highlight w:val="none"/>
        </w:rPr>
      </w:pPr>
      <w:bookmarkStart w:id="22" w:name="OLE_LINK4"/>
      <w:bookmarkEnd w:id="22"/>
      <w:r>
        <w:rPr>
          <w:rFonts w:hint="eastAsia" w:ascii="宋体" w:hAnsi="宋体"/>
          <w:b/>
          <w:color w:val="auto"/>
          <w:highlight w:val="none"/>
        </w:rPr>
        <w:t>1.比选条件</w:t>
      </w:r>
    </w:p>
    <w:p w14:paraId="1C28904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本比选项目</w:t>
      </w:r>
      <w:r>
        <w:rPr>
          <w:rFonts w:hint="eastAsia" w:ascii="宋体" w:hAnsi="宋体"/>
          <w:color w:val="auto"/>
          <w:highlight w:val="none"/>
          <w:u w:val="single"/>
          <w:lang w:val="zh-CN"/>
        </w:rPr>
        <w:t>南宁市白沙半岛片区城中村改造项目安置住房小区（地块1）地质勘察</w:t>
      </w:r>
      <w:r>
        <w:rPr>
          <w:rFonts w:hint="eastAsia" w:ascii="宋体" w:hAnsi="宋体"/>
          <w:color w:val="auto"/>
          <w:highlight w:val="none"/>
        </w:rPr>
        <w:t>比选人为</w:t>
      </w:r>
      <w:r>
        <w:rPr>
          <w:rFonts w:hint="eastAsia" w:ascii="宋体" w:hAnsi="宋体"/>
          <w:color w:val="auto"/>
          <w:highlight w:val="none"/>
          <w:u w:val="single"/>
          <w:lang w:eastAsia="zh-CN"/>
        </w:rPr>
        <w:t>南宁兴邕城市更新有限责任公司</w:t>
      </w:r>
      <w:r>
        <w:rPr>
          <w:rFonts w:hint="eastAsia" w:ascii="宋体" w:hAnsi="宋体"/>
          <w:color w:val="auto"/>
          <w:highlight w:val="none"/>
        </w:rPr>
        <w:t>，比选项目资金来源为</w:t>
      </w:r>
      <w:r>
        <w:rPr>
          <w:rFonts w:hint="eastAsia" w:ascii="宋体" w:hAnsi="宋体"/>
          <w:color w:val="auto"/>
          <w:highlight w:val="none"/>
          <w:lang w:val="en-US" w:eastAsia="zh-CN"/>
        </w:rPr>
        <w:t>财政资金</w:t>
      </w:r>
      <w:r>
        <w:rPr>
          <w:rFonts w:hint="eastAsia" w:ascii="宋体" w:hAnsi="宋体"/>
          <w:color w:val="auto"/>
          <w:highlight w:val="none"/>
        </w:rPr>
        <w:t>。</w:t>
      </w:r>
    </w:p>
    <w:p w14:paraId="6621490A">
      <w:pPr>
        <w:numPr>
          <w:ilvl w:val="0"/>
          <w:numId w:val="1"/>
        </w:num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项目概况与比选范围</w:t>
      </w:r>
    </w:p>
    <w:p w14:paraId="05A3DFCA">
      <w:pPr>
        <w:spacing w:before="0" w:after="0" w:afterAutospacing="0"/>
        <w:ind w:left="0" w:right="0" w:firstLine="420" w:firstLineChars="200"/>
        <w:rPr>
          <w:rFonts w:hint="eastAsia" w:ascii="宋体" w:hAnsi="宋体"/>
          <w:color w:val="auto"/>
          <w:highlight w:val="none"/>
          <w:u w:val="single"/>
          <w:lang w:val="zh-CN"/>
        </w:rPr>
      </w:pPr>
      <w:r>
        <w:rPr>
          <w:rFonts w:hint="eastAsia" w:ascii="宋体" w:hAnsi="宋体"/>
          <w:color w:val="auto"/>
          <w:highlight w:val="none"/>
        </w:rPr>
        <w:t>项目名称：</w:t>
      </w:r>
      <w:bookmarkStart w:id="23" w:name="OLE_LINK1"/>
      <w:r>
        <w:rPr>
          <w:rFonts w:hint="eastAsia" w:ascii="宋体" w:hAnsi="宋体"/>
          <w:color w:val="auto"/>
          <w:highlight w:val="none"/>
          <w:u w:val="single"/>
          <w:lang w:val="zh-CN"/>
        </w:rPr>
        <w:t>南宁市白沙半岛片区城中村改造项目安置住房小区（地块1）</w:t>
      </w:r>
      <w:bookmarkEnd w:id="23"/>
      <w:r>
        <w:rPr>
          <w:rFonts w:hint="eastAsia" w:ascii="宋体" w:hAnsi="宋体"/>
          <w:color w:val="auto"/>
          <w:highlight w:val="none"/>
          <w:u w:val="single"/>
          <w:lang w:val="zh-CN"/>
        </w:rPr>
        <w:t>地质勘察</w:t>
      </w:r>
    </w:p>
    <w:p w14:paraId="06AA179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建设地点：</w:t>
      </w:r>
      <w:r>
        <w:rPr>
          <w:rFonts w:hint="eastAsia" w:ascii="宋体" w:hAnsi="宋体"/>
          <w:color w:val="auto"/>
          <w:highlight w:val="none"/>
          <w:lang w:eastAsia="zh-CN"/>
        </w:rPr>
        <w:t>南宁市</w:t>
      </w:r>
      <w:r>
        <w:rPr>
          <w:rFonts w:hint="eastAsia" w:ascii="宋体" w:hAnsi="宋体"/>
          <w:color w:val="auto"/>
          <w:highlight w:val="none"/>
          <w:lang w:val="en-US" w:eastAsia="zh-CN"/>
        </w:rPr>
        <w:t>江南区</w:t>
      </w:r>
      <w:r>
        <w:rPr>
          <w:rFonts w:hint="eastAsia" w:ascii="宋体" w:hAnsi="宋体"/>
          <w:color w:val="auto"/>
          <w:highlight w:val="none"/>
        </w:rPr>
        <w:t>。</w:t>
      </w:r>
    </w:p>
    <w:p w14:paraId="07BE844B">
      <w:pPr>
        <w:spacing w:before="0" w:after="0" w:afterAutospacing="0"/>
        <w:ind w:left="0" w:right="0" w:firstLine="420" w:firstLineChars="200"/>
        <w:rPr>
          <w:rStyle w:val="40"/>
          <w:rFonts w:hint="eastAsia" w:ascii="宋体" w:hAnsi="宋体" w:cs="宋体"/>
          <w:b w:val="0"/>
          <w:bCs w:val="0"/>
          <w:i w:val="0"/>
          <w:iCs w:val="0"/>
          <w:smallCaps w:val="0"/>
          <w:kern w:val="0"/>
          <w:sz w:val="27"/>
          <w:szCs w:val="27"/>
          <w:highlight w:val="none"/>
        </w:rPr>
      </w:pPr>
      <w:r>
        <w:rPr>
          <w:rFonts w:hint="eastAsia" w:ascii="宋体" w:hAnsi="宋体"/>
          <w:color w:val="auto"/>
          <w:highlight w:val="none"/>
        </w:rPr>
        <w:t>建</w:t>
      </w:r>
      <w:bookmarkStart w:id="24" w:name="OLE_LINK6"/>
      <w:r>
        <w:rPr>
          <w:rFonts w:hint="eastAsia" w:ascii="宋体" w:hAnsi="宋体"/>
          <w:color w:val="auto"/>
          <w:highlight w:val="none"/>
        </w:rPr>
        <w:t>设规</w:t>
      </w:r>
      <w:bookmarkEnd w:id="24"/>
      <w:r>
        <w:rPr>
          <w:rFonts w:hint="eastAsia" w:ascii="宋体" w:hAnsi="宋体"/>
          <w:color w:val="auto"/>
          <w:highlight w:val="none"/>
        </w:rPr>
        <w:t>模：</w:t>
      </w:r>
      <w:bookmarkStart w:id="25" w:name="OLE_LINK5"/>
      <w:bookmarkStart w:id="26" w:name="OLE_LINK15"/>
      <w:r>
        <w:rPr>
          <w:rFonts w:hint="eastAsia" w:ascii="宋体" w:hAnsi="宋体"/>
          <w:color w:val="auto"/>
          <w:highlight w:val="none"/>
        </w:rPr>
        <w:t>项目总用地面积为16226.45㎡(约24.34亩)。项目总建筑面积71152.03㎡。计容总建筑面积约56792.58㎡(按容积率3.5计算)，不计容建筑面积地下—层车库12686.18㎡、地下二层车库3109.73㎡、架空层206.6㎡，地下室人防总面积28</w:t>
      </w:r>
      <w:bookmarkStart w:id="27" w:name="OLE_LINK2"/>
      <w:r>
        <w:rPr>
          <w:rFonts w:hint="eastAsia" w:ascii="宋体" w:hAnsi="宋体"/>
          <w:color w:val="auto"/>
          <w:highlight w:val="none"/>
        </w:rPr>
        <w:t>39.6</w:t>
      </w:r>
      <w:bookmarkEnd w:id="27"/>
      <w:r>
        <w:rPr>
          <w:rFonts w:hint="eastAsia" w:ascii="宋体" w:hAnsi="宋体"/>
          <w:color w:val="auto"/>
          <w:highlight w:val="none"/>
        </w:rPr>
        <w:t>3㎡(按计容总建筑面积的5%计算)。单体建筑最高高度为80米，2</w:t>
      </w:r>
      <w:r>
        <w:rPr>
          <w:rFonts w:hint="eastAsia" w:ascii="宋体" w:hAnsi="宋体"/>
          <w:color w:val="auto"/>
          <w:highlight w:val="none"/>
          <w:lang w:val="en-US" w:eastAsia="zh-CN"/>
        </w:rPr>
        <w:t>7</w:t>
      </w:r>
      <w:r>
        <w:rPr>
          <w:rFonts w:hint="eastAsia" w:ascii="宋体" w:hAnsi="宋体"/>
          <w:color w:val="auto"/>
          <w:highlight w:val="none"/>
        </w:rPr>
        <w:t>层。</w:t>
      </w:r>
      <w:bookmarkEnd w:id="25"/>
      <w:r>
        <w:rPr>
          <w:rFonts w:hint="eastAsia" w:ascii="宋体" w:hAnsi="宋体"/>
          <w:color w:val="auto"/>
          <w:highlight w:val="none"/>
        </w:rPr>
        <w:t>预计布孔71个，其中高层建筑物钻孔46个，平均孔深35米，基坑及商铺钻孔25个，平均孔深20米。预计总进尺2110米。</w:t>
      </w:r>
      <w:bookmarkEnd w:id="26"/>
    </w:p>
    <w:p w14:paraId="3FFF5689">
      <w:pPr>
        <w:spacing w:before="0" w:after="0" w:afterAutospacing="0"/>
        <w:ind w:left="0" w:right="0" w:firstLine="420" w:firstLineChars="200"/>
        <w:rPr>
          <w:rFonts w:hint="eastAsia" w:ascii="宋体" w:hAnsi="宋体" w:eastAsia="宋体" w:cs="宋体"/>
          <w:color w:val="auto"/>
          <w:sz w:val="22"/>
          <w:szCs w:val="22"/>
          <w:highlight w:val="none"/>
          <w:lang w:eastAsia="zh-CN"/>
        </w:rPr>
      </w:pPr>
      <w:r>
        <w:rPr>
          <w:rFonts w:hint="eastAsia" w:ascii="宋体" w:hAnsi="宋体"/>
          <w:color w:val="auto"/>
          <w:highlight w:val="none"/>
        </w:rPr>
        <w:t>服</w:t>
      </w:r>
      <w:bookmarkStart w:id="28" w:name="OLE_LINK3"/>
      <w:r>
        <w:rPr>
          <w:rFonts w:hint="eastAsia" w:ascii="宋体" w:hAnsi="宋体"/>
          <w:color w:val="auto"/>
          <w:highlight w:val="none"/>
        </w:rPr>
        <w:t>务内</w:t>
      </w:r>
      <w:bookmarkEnd w:id="28"/>
      <w:r>
        <w:rPr>
          <w:rFonts w:hint="eastAsia" w:ascii="宋体" w:hAnsi="宋体"/>
          <w:color w:val="auto"/>
          <w:highlight w:val="none"/>
        </w:rPr>
        <w:t>容：</w:t>
      </w:r>
      <w:bookmarkStart w:id="29" w:name="OLE_LINK16"/>
      <w:r>
        <w:rPr>
          <w:rFonts w:hint="eastAsia" w:ascii="宋体" w:hAnsi="宋体"/>
          <w:color w:val="auto"/>
          <w:highlight w:val="none"/>
          <w:lang w:val="zh-CN"/>
        </w:rPr>
        <w:t>南宁市白沙半岛片区城中村改造项目安置住房小区（地块1）</w:t>
      </w:r>
      <w:r>
        <w:rPr>
          <w:rFonts w:hint="eastAsia" w:ascii="宋体" w:hAnsi="宋体"/>
          <w:color w:val="auto"/>
          <w:highlight w:val="none"/>
        </w:rPr>
        <w:t>初步勘察,详细勘察</w:t>
      </w:r>
      <w:r>
        <w:rPr>
          <w:rFonts w:hint="eastAsia" w:ascii="宋体" w:hAnsi="宋体"/>
          <w:color w:val="auto"/>
          <w:highlight w:val="none"/>
          <w:lang w:eastAsia="zh-CN"/>
        </w:rPr>
        <w:t>。</w:t>
      </w:r>
      <w:bookmarkEnd w:id="29"/>
    </w:p>
    <w:p w14:paraId="0C011D0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上限控制价：含税上限控制价总价为人民</w:t>
      </w:r>
      <w:bookmarkStart w:id="30" w:name="OLE_LINK53"/>
      <w:bookmarkStart w:id="31" w:name="OLE_LINK54"/>
      <w:r>
        <w:rPr>
          <w:rFonts w:hint="eastAsia" w:ascii="宋体" w:hAnsi="宋体"/>
          <w:color w:val="auto"/>
          <w:highlight w:val="none"/>
        </w:rPr>
        <w:t>币</w:t>
      </w:r>
      <w:bookmarkStart w:id="32" w:name="OLE_LINK7"/>
      <w:r>
        <w:rPr>
          <w:rFonts w:hint="eastAsia" w:ascii="宋体" w:hAnsi="宋体"/>
          <w:color w:val="auto"/>
          <w:highlight w:val="none"/>
          <w:lang w:val="en-US" w:eastAsia="zh-CN"/>
        </w:rPr>
        <w:t>579907.00</w:t>
      </w:r>
      <w:bookmarkEnd w:id="32"/>
      <w:r>
        <w:rPr>
          <w:rFonts w:hint="eastAsia" w:asciiTheme="minorEastAsia" w:hAnsiTheme="minorEastAsia" w:eastAsiaTheme="minorEastAsia"/>
          <w:color w:val="auto"/>
          <w:highlight w:val="none"/>
        </w:rPr>
        <w:t>元</w:t>
      </w:r>
      <w:bookmarkEnd w:id="30"/>
      <w:r>
        <w:rPr>
          <w:rFonts w:hint="eastAsia" w:ascii="宋体" w:hAnsi="宋体"/>
          <w:color w:val="auto"/>
          <w:highlight w:val="none"/>
        </w:rPr>
        <w:t>。</w:t>
      </w:r>
      <w:bookmarkEnd w:id="31"/>
    </w:p>
    <w:p w14:paraId="46CC5C4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服务期限：</w:t>
      </w:r>
      <w:r>
        <w:rPr>
          <w:rFonts w:hint="eastAsia" w:ascii="宋体" w:hAnsi="宋体"/>
          <w:color w:val="auto"/>
          <w:highlight w:val="none"/>
          <w:lang w:val="zh-CN"/>
        </w:rPr>
        <w:t>合同生效之日起</w:t>
      </w:r>
      <w:r>
        <w:rPr>
          <w:rFonts w:hint="eastAsia" w:ascii="宋体" w:hAnsi="宋体"/>
          <w:color w:val="auto"/>
          <w:highlight w:val="none"/>
          <w:lang w:val="en-US" w:eastAsia="zh-CN"/>
        </w:rPr>
        <w:t>20</w:t>
      </w:r>
      <w:r>
        <w:rPr>
          <w:rFonts w:hint="eastAsia" w:ascii="宋体" w:hAnsi="宋体"/>
          <w:color w:val="auto"/>
          <w:highlight w:val="none"/>
          <w:lang w:val="zh-CN"/>
        </w:rPr>
        <w:t>日历天内提交勘察中间成果文件；合同生效之日起</w:t>
      </w:r>
      <w:r>
        <w:rPr>
          <w:rFonts w:hint="eastAsia" w:ascii="宋体" w:hAnsi="宋体"/>
          <w:color w:val="auto"/>
          <w:highlight w:val="none"/>
          <w:lang w:val="en-US" w:eastAsia="zh-CN"/>
        </w:rPr>
        <w:t>40</w:t>
      </w:r>
      <w:r>
        <w:rPr>
          <w:rFonts w:hint="eastAsia" w:ascii="宋体" w:hAnsi="宋体"/>
          <w:color w:val="auto"/>
          <w:highlight w:val="none"/>
          <w:lang w:val="zh-CN"/>
        </w:rPr>
        <w:t>日历天内提交最终勘察成果文件。</w:t>
      </w:r>
    </w:p>
    <w:p w14:paraId="34532C34">
      <w:pPr>
        <w:spacing w:before="0" w:after="0" w:afterAutospacing="0"/>
        <w:ind w:left="0" w:right="0" w:firstLine="422" w:firstLineChars="200"/>
        <w:rPr>
          <w:rFonts w:ascii="宋体" w:hAnsi="宋体"/>
          <w:color w:val="auto"/>
          <w:highlight w:val="none"/>
        </w:rPr>
      </w:pPr>
      <w:r>
        <w:rPr>
          <w:rFonts w:hint="eastAsia" w:ascii="宋体" w:hAnsi="宋体"/>
          <w:b/>
          <w:color w:val="auto"/>
          <w:highlight w:val="none"/>
        </w:rPr>
        <w:t>3.比选申请人资格要求</w:t>
      </w:r>
    </w:p>
    <w:p w14:paraId="76405031">
      <w:pPr>
        <w:spacing w:before="0" w:after="0" w:afterAutospacing="0"/>
        <w:ind w:left="0" w:right="0" w:firstLine="420" w:firstLineChars="200"/>
        <w:rPr>
          <w:rFonts w:hint="eastAsia" w:eastAsia="宋体"/>
          <w:color w:val="auto"/>
          <w:highlight w:val="none"/>
          <w:lang w:eastAsia="zh-CN"/>
        </w:rPr>
      </w:pPr>
      <w:bookmarkStart w:id="33" w:name="OLE_LINK19"/>
      <w:r>
        <w:rPr>
          <w:rFonts w:hint="eastAsia" w:ascii="宋体" w:hAnsi="宋体"/>
          <w:color w:val="auto"/>
          <w:highlight w:val="none"/>
        </w:rPr>
        <w:t>3.1 比选申请人为中华人民共和国境内依法设立的法人或其他组织</w:t>
      </w:r>
      <w:r>
        <w:rPr>
          <w:rFonts w:hint="eastAsia" w:ascii="宋体" w:hAnsi="宋体"/>
          <w:color w:val="auto"/>
          <w:highlight w:val="none"/>
          <w:lang w:eastAsia="zh-CN"/>
        </w:rPr>
        <w:t>。</w:t>
      </w:r>
    </w:p>
    <w:p w14:paraId="684A40F5">
      <w:pPr>
        <w:spacing w:before="0" w:after="0" w:afterAutospacing="0"/>
        <w:ind w:left="0" w:right="0" w:firstLine="420" w:firstLineChars="200"/>
        <w:rPr>
          <w:rFonts w:hint="eastAsia" w:ascii="宋体" w:hAnsi="宋体" w:cs="宋体"/>
          <w:bCs/>
          <w:color w:val="auto"/>
          <w:highlight w:val="none"/>
          <w:lang w:val="zh-CN" w:eastAsia="zh-CN"/>
        </w:rPr>
      </w:pPr>
      <w:r>
        <w:rPr>
          <w:rFonts w:hint="eastAsia" w:ascii="宋体" w:hAnsi="宋体" w:cs="宋体"/>
          <w:bCs/>
          <w:color w:val="auto"/>
          <w:highlight w:val="none"/>
        </w:rPr>
        <w:t>3.2</w:t>
      </w:r>
      <w:bookmarkStart w:id="34" w:name="OLE_LINK17"/>
      <w:r>
        <w:rPr>
          <w:rFonts w:hint="eastAsia" w:ascii="宋体" w:hAnsi="宋体" w:cs="宋体"/>
          <w:bCs/>
          <w:color w:val="auto"/>
          <w:highlight w:val="none"/>
          <w:lang w:val="zh-CN"/>
        </w:rPr>
        <w:t>本次</w:t>
      </w:r>
      <w:r>
        <w:rPr>
          <w:rFonts w:hint="eastAsia" w:ascii="宋体" w:hAnsi="宋体" w:cs="宋体"/>
          <w:bCs/>
          <w:color w:val="auto"/>
          <w:highlight w:val="none"/>
        </w:rPr>
        <w:t>比选</w:t>
      </w:r>
      <w:bookmarkStart w:id="35" w:name="OLE_LINK10"/>
      <w:r>
        <w:rPr>
          <w:rFonts w:hint="eastAsia" w:ascii="宋体" w:hAnsi="宋体" w:cs="宋体"/>
          <w:bCs/>
          <w:color w:val="auto"/>
          <w:highlight w:val="none"/>
          <w:lang w:val="zh-CN"/>
        </w:rPr>
        <w:t>要</w:t>
      </w:r>
      <w:bookmarkStart w:id="36" w:name="OLE_LINK9"/>
      <w:r>
        <w:rPr>
          <w:rFonts w:hint="eastAsia" w:ascii="宋体" w:hAnsi="宋体" w:cs="宋体"/>
          <w:bCs/>
          <w:color w:val="auto"/>
          <w:highlight w:val="none"/>
          <w:lang w:val="zh-CN"/>
        </w:rPr>
        <w:t>求</w:t>
      </w:r>
      <w:bookmarkStart w:id="37" w:name="OLE_LINK39"/>
      <w:r>
        <w:rPr>
          <w:rFonts w:hint="eastAsia" w:ascii="宋体" w:hAnsi="宋体" w:cs="宋体"/>
          <w:bCs/>
          <w:color w:val="auto"/>
          <w:highlight w:val="none"/>
        </w:rPr>
        <w:t>比</w:t>
      </w:r>
      <w:bookmarkEnd w:id="35"/>
      <w:bookmarkEnd w:id="36"/>
      <w:r>
        <w:rPr>
          <w:rFonts w:hint="eastAsia" w:ascii="宋体" w:hAnsi="宋体" w:cs="宋体"/>
          <w:bCs/>
          <w:color w:val="auto"/>
          <w:highlight w:val="none"/>
        </w:rPr>
        <w:t>选申</w:t>
      </w:r>
      <w:bookmarkStart w:id="38" w:name="OLE_LINK12"/>
      <w:r>
        <w:rPr>
          <w:rFonts w:hint="eastAsia" w:ascii="宋体" w:hAnsi="宋体" w:cs="宋体"/>
          <w:bCs/>
          <w:color w:val="auto"/>
          <w:highlight w:val="none"/>
        </w:rPr>
        <w:t>请</w:t>
      </w:r>
      <w:r>
        <w:rPr>
          <w:rFonts w:hint="eastAsia" w:ascii="宋体" w:hAnsi="宋体" w:cs="宋体"/>
          <w:bCs/>
          <w:color w:val="auto"/>
          <w:highlight w:val="none"/>
          <w:lang w:val="zh-CN"/>
        </w:rPr>
        <w:t>人</w:t>
      </w:r>
      <w:bookmarkEnd w:id="38"/>
      <w:r>
        <w:rPr>
          <w:rFonts w:hint="eastAsia" w:ascii="宋体" w:hAnsi="宋体" w:cs="宋体"/>
          <w:bCs/>
          <w:color w:val="auto"/>
          <w:highlight w:val="none"/>
          <w:lang w:val="zh-CN"/>
        </w:rPr>
        <w:t>须</w:t>
      </w:r>
      <w:bookmarkStart w:id="39" w:name="OLE_LINK74"/>
      <w:bookmarkStart w:id="40" w:name="OLE_LINK24"/>
      <w:r>
        <w:rPr>
          <w:rFonts w:hint="eastAsia" w:ascii="宋体" w:hAnsi="宋体" w:cs="宋体"/>
          <w:bCs/>
          <w:color w:val="auto"/>
          <w:highlight w:val="none"/>
          <w:lang w:val="zh-CN"/>
        </w:rPr>
        <w:t>具备建设主管部门颁发的</w:t>
      </w:r>
      <w:bookmarkStart w:id="41" w:name="OLE_LINK31"/>
      <w:r>
        <w:rPr>
          <w:rFonts w:hint="eastAsia" w:ascii="宋体" w:hAnsi="宋体" w:cs="宋体"/>
          <w:bCs/>
          <w:color w:val="auto"/>
          <w:highlight w:val="none"/>
          <w:lang w:val="zh-CN"/>
        </w:rPr>
        <w:t>以下资质</w:t>
      </w:r>
      <w:bookmarkEnd w:id="41"/>
      <w:r>
        <w:rPr>
          <w:rFonts w:hint="eastAsia" w:ascii="宋体" w:hAnsi="宋体" w:cs="宋体"/>
          <w:bCs/>
          <w:color w:val="auto"/>
          <w:highlight w:val="none"/>
          <w:lang w:val="zh-CN"/>
        </w:rPr>
        <w:t>之一：</w:t>
      </w:r>
      <w:bookmarkEnd w:id="34"/>
      <w:bookmarkEnd w:id="37"/>
      <w:bookmarkEnd w:id="39"/>
      <w:bookmarkEnd w:id="40"/>
      <w:bookmarkStart w:id="42" w:name="OLE_LINK47"/>
      <w:r>
        <w:rPr>
          <w:rFonts w:hint="eastAsia" w:ascii="宋体" w:hAnsi="宋体" w:cs="宋体"/>
          <w:bCs/>
          <w:color w:val="auto"/>
          <w:highlight w:val="none"/>
          <w:lang w:val="zh-CN"/>
        </w:rPr>
        <w:t>①工程勘察专业类（岩土工程勘察）甲级资质；②工程勘察专业类（岩土工程）甲级资质；③工程勘察综合类甲级资质</w:t>
      </w:r>
      <w:bookmarkEnd w:id="42"/>
      <w:r>
        <w:rPr>
          <w:rFonts w:hint="eastAsia" w:ascii="宋体" w:hAnsi="宋体" w:cs="宋体"/>
          <w:bCs/>
          <w:color w:val="auto"/>
          <w:highlight w:val="none"/>
          <w:lang w:val="zh-CN"/>
        </w:rPr>
        <w:t>。</w:t>
      </w:r>
    </w:p>
    <w:p w14:paraId="5409A483">
      <w:pPr>
        <w:spacing w:before="0" w:after="0" w:afterAutospacing="0"/>
        <w:ind w:left="0" w:right="0" w:firstLine="420" w:firstLineChars="200"/>
        <w:rPr>
          <w:rFonts w:hint="eastAsia" w:ascii="宋体" w:hAnsi="宋体" w:eastAsia="宋体" w:cs="宋体"/>
          <w:bCs/>
          <w:color w:val="auto"/>
          <w:highlight w:val="none"/>
          <w:lang w:val="en-US" w:eastAsia="zh-CN"/>
        </w:rPr>
      </w:pPr>
      <w:r>
        <w:rPr>
          <w:rFonts w:hint="eastAsia" w:ascii="宋体" w:hAnsi="宋体" w:cs="宋体"/>
          <w:bCs/>
          <w:color w:val="auto"/>
          <w:highlight w:val="none"/>
          <w:lang w:val="en-US" w:eastAsia="zh-CN"/>
        </w:rPr>
        <w:t>3.3</w:t>
      </w:r>
      <w:bookmarkStart w:id="43" w:name="OLE_LINK13"/>
      <w:bookmarkStart w:id="44" w:name="OLE_LINK76"/>
      <w:r>
        <w:rPr>
          <w:rFonts w:hint="eastAsia" w:ascii="宋体" w:hAnsi="宋体" w:cs="宋体"/>
          <w:bCs/>
          <w:color w:val="auto"/>
          <w:highlight w:val="none"/>
        </w:rPr>
        <w:t>项目负责人</w:t>
      </w:r>
      <w:bookmarkEnd w:id="43"/>
      <w:r>
        <w:rPr>
          <w:rFonts w:hint="eastAsia" w:ascii="宋体" w:hAnsi="宋体" w:cs="宋体"/>
          <w:bCs/>
          <w:color w:val="auto"/>
          <w:highlight w:val="none"/>
        </w:rPr>
        <w:t>的资格要求：</w:t>
      </w:r>
      <w:bookmarkStart w:id="45" w:name="OLE_LINK25"/>
      <w:r>
        <w:rPr>
          <w:rFonts w:hint="eastAsia" w:ascii="宋体" w:hAnsi="宋体" w:cs="宋体"/>
          <w:bCs/>
          <w:color w:val="auto"/>
          <w:highlight w:val="none"/>
        </w:rPr>
        <w:t>项目负责人具有注册土木工程师（岩土）执业资格</w:t>
      </w:r>
      <w:bookmarkEnd w:id="44"/>
      <w:bookmarkEnd w:id="45"/>
      <w:r>
        <w:rPr>
          <w:rFonts w:hint="eastAsia" w:ascii="宋体" w:hAnsi="宋体" w:cs="宋体"/>
          <w:bCs/>
          <w:color w:val="auto"/>
          <w:highlight w:val="none"/>
          <w:lang w:eastAsia="zh-CN"/>
        </w:rPr>
        <w:t>。</w:t>
      </w:r>
    </w:p>
    <w:p w14:paraId="153B3935">
      <w:pPr>
        <w:spacing w:before="0" w:after="0" w:afterAutospacing="0"/>
        <w:ind w:left="0" w:right="0" w:firstLine="420" w:firstLineChars="200"/>
        <w:rPr>
          <w:rFonts w:hint="eastAsia" w:ascii="宋体" w:hAnsi="宋体" w:eastAsia="宋体"/>
          <w:color w:val="auto"/>
          <w:highlight w:val="none"/>
          <w:lang w:eastAsia="zh-CN"/>
        </w:rPr>
      </w:pPr>
      <w:r>
        <w:rPr>
          <w:rFonts w:hint="eastAsia" w:ascii="宋体" w:hAnsi="宋体"/>
          <w:color w:val="auto"/>
          <w:highlight w:val="none"/>
        </w:rPr>
        <w:t>3.</w:t>
      </w:r>
      <w:r>
        <w:rPr>
          <w:rFonts w:hint="eastAsia" w:ascii="宋体" w:hAnsi="宋体"/>
          <w:color w:val="auto"/>
          <w:highlight w:val="none"/>
          <w:lang w:val="en-US" w:eastAsia="zh-CN"/>
        </w:rPr>
        <w:t>4</w:t>
      </w:r>
      <w:r>
        <w:rPr>
          <w:rFonts w:hint="eastAsia" w:ascii="宋体" w:hAnsi="宋体"/>
          <w:color w:val="auto"/>
          <w:highlight w:val="none"/>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r>
        <w:rPr>
          <w:rFonts w:hint="eastAsia" w:ascii="宋体" w:hAnsi="宋体"/>
          <w:color w:val="auto"/>
          <w:highlight w:val="none"/>
          <w:lang w:eastAsia="zh-CN"/>
        </w:rPr>
        <w:t>。</w:t>
      </w:r>
    </w:p>
    <w:p w14:paraId="059610D0">
      <w:pPr>
        <w:spacing w:before="0" w:after="0" w:afterAutospacing="0"/>
        <w:ind w:left="0" w:right="0" w:firstLine="420" w:firstLineChars="200"/>
        <w:rPr>
          <w:rFonts w:hint="eastAsia" w:ascii="宋体" w:hAnsi="宋体" w:eastAsia="宋体"/>
          <w:color w:val="auto"/>
          <w:highlight w:val="none"/>
          <w:lang w:eastAsia="zh-CN"/>
        </w:rPr>
      </w:pPr>
      <w:r>
        <w:rPr>
          <w:rFonts w:hint="eastAsia" w:ascii="宋体" w:hAnsi="宋体"/>
          <w:color w:val="auto"/>
          <w:highlight w:val="none"/>
        </w:rPr>
        <w:t>3.</w:t>
      </w:r>
      <w:r>
        <w:rPr>
          <w:rFonts w:hint="eastAsia" w:ascii="宋体" w:hAnsi="宋体"/>
          <w:color w:val="auto"/>
          <w:highlight w:val="none"/>
          <w:lang w:val="en-US" w:eastAsia="zh-CN"/>
        </w:rPr>
        <w:t>5</w:t>
      </w:r>
      <w:r>
        <w:rPr>
          <w:rFonts w:hint="eastAsia" w:ascii="宋体" w:hAnsi="宋体"/>
          <w:color w:val="auto"/>
          <w:highlight w:val="none"/>
        </w:rPr>
        <w:t>单位负责人为同一人或者存在</w:t>
      </w:r>
      <w:bookmarkStart w:id="46" w:name="OLE_LINK52"/>
      <w:r>
        <w:rPr>
          <w:rFonts w:hint="eastAsia" w:ascii="宋体" w:hAnsi="宋体"/>
          <w:color w:val="auto"/>
          <w:highlight w:val="none"/>
        </w:rPr>
        <w:t>控股、管理关系的不同单位，不得参加同一标段比选申请或者未划分标段的同一比选项</w:t>
      </w:r>
      <w:bookmarkStart w:id="47" w:name="OLE_LINK18"/>
      <w:r>
        <w:rPr>
          <w:rFonts w:hint="eastAsia" w:ascii="宋体" w:hAnsi="宋体"/>
          <w:color w:val="auto"/>
          <w:highlight w:val="none"/>
        </w:rPr>
        <w:t>目比选申请</w:t>
      </w:r>
      <w:r>
        <w:rPr>
          <w:rFonts w:hint="eastAsia" w:ascii="宋体" w:hAnsi="宋体"/>
          <w:color w:val="auto"/>
          <w:highlight w:val="none"/>
          <w:lang w:eastAsia="zh-CN"/>
        </w:rPr>
        <w:t>。</w:t>
      </w:r>
      <w:bookmarkEnd w:id="46"/>
    </w:p>
    <w:p w14:paraId="56F2EB97">
      <w:pPr>
        <w:spacing w:before="0" w:after="0" w:afterAutospacing="0"/>
        <w:ind w:left="0" w:leftChars="0" w:right="0"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6业绩条件：</w:t>
      </w:r>
      <w:r>
        <w:rPr>
          <w:rFonts w:hint="eastAsia"/>
          <w:color w:val="auto"/>
          <w:sz w:val="21"/>
          <w:szCs w:val="21"/>
          <w:highlight w:val="none"/>
          <w:lang w:eastAsia="zh-CN"/>
        </w:rPr>
        <w:t>比选申请人自</w:t>
      </w:r>
      <w:r>
        <w:rPr>
          <w:rFonts w:hint="eastAsia" w:ascii="宋体" w:hAnsi="宋体"/>
          <w:color w:val="auto"/>
          <w:highlight w:val="none"/>
        </w:rPr>
        <w:t>202</w:t>
      </w:r>
      <w:r>
        <w:rPr>
          <w:rFonts w:hint="eastAsia" w:ascii="宋体" w:hAnsi="宋体"/>
          <w:color w:val="auto"/>
          <w:highlight w:val="none"/>
          <w:lang w:val="en-US" w:eastAsia="zh-CN"/>
        </w:rPr>
        <w:t>1</w:t>
      </w:r>
      <w:r>
        <w:rPr>
          <w:rFonts w:hint="eastAsia" w:ascii="宋体" w:hAnsi="宋体"/>
          <w:color w:val="auto"/>
          <w:highlight w:val="none"/>
        </w:rPr>
        <w:t>年1月1日至今承接过</w:t>
      </w:r>
      <w:r>
        <w:rPr>
          <w:rFonts w:hint="eastAsia" w:ascii="宋体" w:hAnsi="宋体"/>
          <w:color w:val="auto"/>
          <w:highlight w:val="none"/>
          <w:lang w:eastAsia="zh-CN"/>
        </w:rPr>
        <w:t>1个单项合同金额</w:t>
      </w:r>
      <w:bookmarkStart w:id="48" w:name="OLE_LINK14"/>
      <w:r>
        <w:rPr>
          <w:rFonts w:hint="eastAsia" w:ascii="宋体" w:hAnsi="宋体"/>
          <w:color w:val="auto"/>
          <w:highlight w:val="none"/>
          <w:lang w:val="en-US" w:eastAsia="zh-CN"/>
        </w:rPr>
        <w:t>2</w:t>
      </w:r>
      <w:bookmarkEnd w:id="48"/>
      <w:r>
        <w:rPr>
          <w:rFonts w:hint="eastAsia" w:ascii="宋体" w:hAnsi="宋体"/>
          <w:color w:val="auto"/>
          <w:highlight w:val="none"/>
          <w:lang w:eastAsia="zh-CN"/>
        </w:rPr>
        <w:t>0万</w:t>
      </w:r>
      <w:r>
        <w:rPr>
          <w:rFonts w:hint="eastAsia" w:ascii="宋体" w:hAnsi="宋体"/>
          <w:color w:val="auto"/>
          <w:highlight w:val="none"/>
        </w:rPr>
        <w:t>以上（含</w:t>
      </w:r>
      <w:bookmarkStart w:id="49" w:name="OLE_LINK11"/>
      <w:r>
        <w:rPr>
          <w:rFonts w:hint="eastAsia" w:ascii="宋体" w:hAnsi="宋体"/>
          <w:color w:val="auto"/>
          <w:highlight w:val="none"/>
          <w:lang w:val="en-US" w:eastAsia="zh-CN"/>
        </w:rPr>
        <w:t>2</w:t>
      </w:r>
      <w:bookmarkEnd w:id="49"/>
      <w:r>
        <w:rPr>
          <w:rFonts w:hint="eastAsia" w:ascii="宋体" w:hAnsi="宋体"/>
          <w:color w:val="auto"/>
          <w:highlight w:val="none"/>
          <w:lang w:val="en-US" w:eastAsia="zh-CN"/>
        </w:rPr>
        <w:t>0</w:t>
      </w:r>
      <w:r>
        <w:rPr>
          <w:rFonts w:hint="eastAsia" w:ascii="宋体" w:hAnsi="宋体"/>
          <w:color w:val="auto"/>
          <w:highlight w:val="none"/>
        </w:rPr>
        <w:t>万）</w:t>
      </w:r>
      <w:r>
        <w:rPr>
          <w:rFonts w:hint="eastAsia" w:ascii="宋体" w:hAnsi="宋体"/>
          <w:color w:val="auto"/>
          <w:highlight w:val="none"/>
          <w:lang w:val="en-US" w:eastAsia="zh-CN"/>
        </w:rPr>
        <w:t>勘察</w:t>
      </w:r>
      <w:r>
        <w:rPr>
          <w:rFonts w:hint="eastAsia" w:ascii="宋体" w:hAnsi="宋体"/>
          <w:color w:val="auto"/>
          <w:highlight w:val="none"/>
        </w:rPr>
        <w:t>服务项目</w:t>
      </w:r>
      <w:r>
        <w:rPr>
          <w:rFonts w:hint="eastAsia" w:ascii="宋体" w:hAnsi="宋体"/>
          <w:color w:val="auto"/>
          <w:highlight w:val="none"/>
          <w:lang w:eastAsia="zh-CN"/>
        </w:rPr>
        <w:t>。</w:t>
      </w:r>
      <w:r>
        <w:rPr>
          <w:rFonts w:hint="eastAsia"/>
          <w:color w:val="auto"/>
          <w:sz w:val="21"/>
          <w:szCs w:val="21"/>
          <w:highlight w:val="none"/>
          <w:lang w:val="en-US" w:eastAsia="zh-CN"/>
        </w:rPr>
        <w:t>业绩</w:t>
      </w:r>
      <w:r>
        <w:rPr>
          <w:rFonts w:hint="eastAsia"/>
          <w:color w:val="auto"/>
          <w:sz w:val="21"/>
          <w:szCs w:val="21"/>
          <w:highlight w:val="none"/>
          <w:lang w:eastAsia="zh-CN"/>
        </w:rPr>
        <w:t>证明材料：提供下述材料之一即可：①合同文件；②中标通知书，提供复印件加盖比选申请人公章，原件备查）。</w:t>
      </w:r>
    </w:p>
    <w:p w14:paraId="079ABBF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lang w:val="en-US" w:eastAsia="zh-CN"/>
        </w:rPr>
        <w:t>3.7</w:t>
      </w:r>
      <w:r>
        <w:rPr>
          <w:rFonts w:hint="eastAsia" w:ascii="宋体" w:hAnsi="宋体"/>
          <w:color w:val="auto"/>
          <w:highlight w:val="none"/>
        </w:rPr>
        <w:t>本次比选不接受联合体申请。</w:t>
      </w:r>
    </w:p>
    <w:bookmarkEnd w:id="33"/>
    <w:bookmarkEnd w:id="47"/>
    <w:p w14:paraId="0A4848AE">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4.资格审查方式</w:t>
      </w:r>
    </w:p>
    <w:p w14:paraId="6C8E45BA">
      <w:pPr>
        <w:spacing w:before="0" w:after="0" w:afterAutospacing="0"/>
        <w:ind w:left="0" w:right="0" w:firstLine="420" w:firstLineChars="200"/>
        <w:rPr>
          <w:rFonts w:ascii="宋体" w:hAnsi="宋体"/>
          <w:b/>
          <w:color w:val="auto"/>
          <w:highlight w:val="none"/>
        </w:rPr>
      </w:pPr>
      <w:r>
        <w:rPr>
          <w:rFonts w:hint="eastAsia" w:ascii="宋体" w:hAnsi="宋体"/>
          <w:color w:val="auto"/>
          <w:highlight w:val="none"/>
        </w:rPr>
        <w:t>本项目对比选申请人的资格审查采用资格后审方式，只有资格审查合格的比选申请人才有可能被授予合同。</w:t>
      </w:r>
    </w:p>
    <w:p w14:paraId="290E69A7">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5.比选文件的获取</w:t>
      </w:r>
    </w:p>
    <w:p w14:paraId="7AAB963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5.1比选文件获取：</w:t>
      </w:r>
    </w:p>
    <w:p w14:paraId="1B15C22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本项目不发放纸质文件，请各比选申请人自行网上下载。下载网址：南宁轨道地产集团有限责任公司官网(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5"/>
          <w:rFonts w:hint="eastAsia" w:ascii="宋体" w:hAnsi="宋体"/>
          <w:color w:val="auto"/>
          <w:highlight w:val="none"/>
        </w:rPr>
        <w:t>http://www.nngddc.com</w:t>
      </w:r>
      <w:r>
        <w:rPr>
          <w:rStyle w:val="45"/>
          <w:rFonts w:hint="eastAsia" w:ascii="宋体" w:hAnsi="宋体"/>
          <w:color w:val="auto"/>
          <w:highlight w:val="none"/>
        </w:rPr>
        <w:fldChar w:fldCharType="end"/>
      </w:r>
      <w:r>
        <w:rPr>
          <w:rFonts w:hint="eastAsia" w:ascii="宋体" w:hAnsi="宋体"/>
          <w:color w:val="auto"/>
          <w:highlight w:val="none"/>
        </w:rPr>
        <w:t>)，采购与招标网（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45"/>
          <w:rFonts w:hint="eastAsia" w:ascii="宋体" w:hAnsi="宋体"/>
          <w:color w:val="auto"/>
          <w:highlight w:val="none"/>
        </w:rPr>
        <w:t>www.chinabidding.com.cn</w:t>
      </w:r>
      <w:r>
        <w:rPr>
          <w:rStyle w:val="45"/>
          <w:rFonts w:hint="eastAsia" w:ascii="宋体" w:hAnsi="宋体"/>
          <w:color w:val="auto"/>
          <w:highlight w:val="none"/>
        </w:rPr>
        <w:fldChar w:fldCharType="end"/>
      </w:r>
      <w:r>
        <w:rPr>
          <w:rFonts w:hint="eastAsia" w:ascii="宋体" w:hAnsi="宋体"/>
          <w:color w:val="auto"/>
          <w:highlight w:val="none"/>
        </w:rPr>
        <w:t>）。</w:t>
      </w:r>
    </w:p>
    <w:p w14:paraId="30484B37">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 xml:space="preserve">注：比选申请人如未完整下载相关文件，或由于未及时关注比选文件补充通知（补遗）、答疑等相关项目信息而影响比选申请的，其责任由比选申请人自行承担。 </w:t>
      </w:r>
    </w:p>
    <w:p w14:paraId="68005E94">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6.</w:t>
      </w:r>
      <w:r>
        <w:rPr>
          <w:rFonts w:ascii="宋体" w:hAnsi="宋体"/>
          <w:b/>
          <w:color w:val="auto"/>
          <w:highlight w:val="none"/>
        </w:rPr>
        <w:t>比选申请截止时间</w:t>
      </w:r>
      <w:r>
        <w:rPr>
          <w:rFonts w:hint="eastAsia" w:ascii="宋体" w:hAnsi="宋体"/>
          <w:b/>
          <w:color w:val="auto"/>
          <w:highlight w:val="none"/>
        </w:rPr>
        <w:t>和</w:t>
      </w:r>
      <w:r>
        <w:rPr>
          <w:rFonts w:ascii="宋体" w:hAnsi="宋体"/>
          <w:b/>
          <w:color w:val="auto"/>
          <w:highlight w:val="none"/>
        </w:rPr>
        <w:t>地点</w:t>
      </w:r>
    </w:p>
    <w:p w14:paraId="12251E92">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6.1比选申请文件须密封后于</w:t>
      </w:r>
      <w:r>
        <w:rPr>
          <w:rFonts w:hint="eastAsia" w:ascii="宋体" w:hAnsi="宋体"/>
          <w:b/>
          <w:color w:val="auto"/>
          <w:highlight w:val="none"/>
        </w:rPr>
        <w:t>202</w:t>
      </w:r>
      <w:r>
        <w:rPr>
          <w:rFonts w:hint="eastAsia" w:ascii="宋体" w:hAnsi="宋体"/>
          <w:b/>
          <w:color w:val="auto"/>
          <w:highlight w:val="none"/>
          <w:lang w:val="en-US" w:eastAsia="zh-CN"/>
        </w:rPr>
        <w:t>4</w:t>
      </w:r>
      <w:r>
        <w:rPr>
          <w:rFonts w:hint="eastAsia" w:ascii="宋体" w:hAnsi="宋体"/>
          <w:b/>
          <w:color w:val="auto"/>
          <w:highlight w:val="none"/>
        </w:rPr>
        <w:t>年</w:t>
      </w:r>
      <w:r>
        <w:rPr>
          <w:rFonts w:hint="eastAsia" w:ascii="宋体" w:hAnsi="宋体"/>
          <w:b/>
          <w:color w:val="auto"/>
          <w:highlight w:val="none"/>
          <w:lang w:val="en-US" w:eastAsia="zh-CN"/>
        </w:rPr>
        <w:t>9</w:t>
      </w:r>
      <w:r>
        <w:rPr>
          <w:rFonts w:hint="eastAsia" w:ascii="宋体" w:hAnsi="宋体"/>
          <w:b/>
          <w:color w:val="auto"/>
          <w:highlight w:val="none"/>
        </w:rPr>
        <w:t>月</w:t>
      </w:r>
      <w:r>
        <w:rPr>
          <w:rFonts w:hint="eastAsia" w:ascii="宋体" w:hAnsi="宋体"/>
          <w:b/>
          <w:color w:val="auto"/>
          <w:highlight w:val="none"/>
          <w:lang w:val="en-US" w:eastAsia="zh-CN"/>
        </w:rPr>
        <w:t xml:space="preserve">    </w:t>
      </w:r>
      <w:r>
        <w:rPr>
          <w:rFonts w:hint="eastAsia" w:ascii="宋体" w:hAnsi="宋体"/>
          <w:b/>
          <w:color w:val="auto"/>
          <w:highlight w:val="none"/>
        </w:rPr>
        <w:t>日 9 时30 分</w:t>
      </w:r>
      <w:r>
        <w:rPr>
          <w:rFonts w:hint="eastAsia" w:ascii="宋体" w:hAnsi="宋体"/>
          <w:color w:val="auto"/>
          <w:highlight w:val="none"/>
        </w:rPr>
        <w:t>（北京时间）前递交，递交地点在广西南宁市青秀区凤岭北路111号南宁国际旅游中心A座</w:t>
      </w:r>
      <w:r>
        <w:rPr>
          <w:rFonts w:hint="eastAsia" w:ascii="宋体" w:hAnsi="宋体"/>
          <w:color w:val="auto"/>
          <w:highlight w:val="none"/>
          <w:lang w:val="en-US" w:eastAsia="zh-CN"/>
        </w:rPr>
        <w:t>907</w:t>
      </w:r>
      <w:r>
        <w:rPr>
          <w:rFonts w:hint="eastAsia" w:ascii="宋体" w:hAnsi="宋体"/>
          <w:color w:val="auto"/>
          <w:highlight w:val="none"/>
        </w:rPr>
        <w:t>招采管理中心；</w:t>
      </w:r>
    </w:p>
    <w:p w14:paraId="40D625A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6.2</w:t>
      </w:r>
      <w:r>
        <w:rPr>
          <w:rFonts w:ascii="宋体" w:hAnsi="宋体"/>
          <w:color w:val="auto"/>
          <w:highlight w:val="none"/>
        </w:rPr>
        <w:t>逾期送达的或者未送达指定地点</w:t>
      </w:r>
      <w:r>
        <w:rPr>
          <w:rFonts w:hint="eastAsia" w:ascii="宋体" w:hAnsi="宋体"/>
          <w:color w:val="auto"/>
          <w:highlight w:val="none"/>
        </w:rPr>
        <w:t>或者</w:t>
      </w:r>
      <w:r>
        <w:rPr>
          <w:rFonts w:ascii="宋体" w:hAnsi="宋体"/>
          <w:color w:val="auto"/>
          <w:highlight w:val="none"/>
        </w:rPr>
        <w:t>未按</w:t>
      </w:r>
      <w:r>
        <w:rPr>
          <w:rFonts w:hint="eastAsia" w:ascii="宋体" w:hAnsi="宋体"/>
          <w:color w:val="auto"/>
          <w:highlight w:val="none"/>
        </w:rPr>
        <w:t>比选</w:t>
      </w:r>
      <w:r>
        <w:rPr>
          <w:rFonts w:ascii="宋体" w:hAnsi="宋体"/>
          <w:color w:val="auto"/>
          <w:highlight w:val="none"/>
        </w:rPr>
        <w:t>文件要求密封的</w:t>
      </w:r>
      <w:r>
        <w:rPr>
          <w:rFonts w:hint="eastAsia" w:ascii="宋体" w:hAnsi="宋体"/>
          <w:color w:val="auto"/>
          <w:highlight w:val="none"/>
        </w:rPr>
        <w:t>比选申请</w:t>
      </w:r>
      <w:r>
        <w:rPr>
          <w:rFonts w:ascii="宋体" w:hAnsi="宋体"/>
          <w:color w:val="auto"/>
          <w:highlight w:val="none"/>
        </w:rPr>
        <w:t>文件将被拒绝</w:t>
      </w:r>
      <w:r>
        <w:rPr>
          <w:rFonts w:hint="eastAsia" w:ascii="宋体" w:hAnsi="宋体"/>
          <w:color w:val="auto"/>
          <w:highlight w:val="none"/>
        </w:rPr>
        <w:t>。</w:t>
      </w:r>
    </w:p>
    <w:p w14:paraId="5D05944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6.3</w:t>
      </w:r>
      <w:r>
        <w:rPr>
          <w:rFonts w:ascii="宋体" w:hAnsi="宋体"/>
          <w:color w:val="auto"/>
          <w:highlight w:val="none"/>
        </w:rPr>
        <w:t>比选申请文件必须由</w:t>
      </w:r>
      <w:r>
        <w:rPr>
          <w:rFonts w:hint="eastAsia" w:ascii="宋体" w:hAnsi="宋体"/>
          <w:color w:val="auto"/>
          <w:highlight w:val="none"/>
        </w:rPr>
        <w:t>比选申请人</w:t>
      </w:r>
      <w:r>
        <w:rPr>
          <w:rFonts w:ascii="宋体" w:hAnsi="宋体"/>
          <w:color w:val="auto"/>
          <w:highlight w:val="none"/>
        </w:rPr>
        <w:t>法定代表人或其授权代表递交，否则比选人不予受理。</w:t>
      </w:r>
    </w:p>
    <w:p w14:paraId="5206DE88">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7.发布公告的媒介</w:t>
      </w:r>
    </w:p>
    <w:p w14:paraId="19263B38">
      <w:pPr>
        <w:spacing w:before="0" w:after="0" w:afterAutospacing="0"/>
        <w:ind w:left="0" w:right="0" w:firstLine="420" w:firstLineChars="200"/>
        <w:rPr>
          <w:rFonts w:ascii="宋体" w:hAnsi="宋体"/>
          <w:b/>
          <w:color w:val="auto"/>
          <w:highlight w:val="none"/>
        </w:rPr>
      </w:pPr>
      <w:r>
        <w:rPr>
          <w:rFonts w:hint="eastAsia" w:ascii="宋体" w:hAnsi="宋体"/>
          <w:color w:val="auto"/>
          <w:highlight w:val="none"/>
        </w:rPr>
        <w:t>本次比选公告在南宁轨道地产集团有限责任公司官网(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5"/>
          <w:rFonts w:hint="eastAsia" w:ascii="宋体" w:hAnsi="宋体"/>
          <w:color w:val="auto"/>
          <w:highlight w:val="none"/>
        </w:rPr>
        <w:t>http://www.nngddc.com</w:t>
      </w:r>
      <w:r>
        <w:rPr>
          <w:rStyle w:val="45"/>
          <w:rFonts w:hint="eastAsia" w:ascii="宋体" w:hAnsi="宋体"/>
          <w:color w:val="auto"/>
          <w:highlight w:val="none"/>
        </w:rPr>
        <w:fldChar w:fldCharType="end"/>
      </w:r>
      <w:r>
        <w:rPr>
          <w:rFonts w:hint="eastAsia" w:ascii="宋体" w:hAnsi="宋体"/>
          <w:color w:val="auto"/>
          <w:highlight w:val="none"/>
        </w:rPr>
        <w:t>)，采购与招标网（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45"/>
          <w:rFonts w:hint="eastAsia" w:ascii="宋体" w:hAnsi="宋体"/>
          <w:color w:val="auto"/>
          <w:highlight w:val="none"/>
        </w:rPr>
        <w:t>www.chinabidding.com.cn</w:t>
      </w:r>
      <w:r>
        <w:rPr>
          <w:rStyle w:val="45"/>
          <w:rFonts w:hint="eastAsia" w:ascii="宋体" w:hAnsi="宋体"/>
          <w:color w:val="auto"/>
          <w:highlight w:val="none"/>
        </w:rPr>
        <w:fldChar w:fldCharType="end"/>
      </w:r>
      <w:r>
        <w:rPr>
          <w:rFonts w:hint="eastAsia" w:ascii="宋体" w:hAnsi="宋体"/>
          <w:color w:val="auto"/>
          <w:highlight w:val="none"/>
        </w:rPr>
        <w:t>）发布。</w:t>
      </w:r>
    </w:p>
    <w:p w14:paraId="2242F54B">
      <w:pPr>
        <w:spacing w:before="0" w:after="0" w:afterAutospacing="0"/>
        <w:ind w:left="0" w:right="0" w:firstLine="422" w:firstLineChars="200"/>
        <w:rPr>
          <w:rFonts w:ascii="宋体" w:hAnsi="宋体"/>
          <w:b/>
          <w:color w:val="auto"/>
          <w:highlight w:val="none"/>
        </w:rPr>
      </w:pPr>
    </w:p>
    <w:p w14:paraId="681A15F3">
      <w:pPr>
        <w:spacing w:before="0" w:after="0" w:afterAutospacing="0"/>
        <w:ind w:left="0" w:right="0" w:firstLine="422" w:firstLineChars="200"/>
        <w:rPr>
          <w:rFonts w:ascii="宋体" w:hAnsi="宋体"/>
          <w:b/>
          <w:color w:val="auto"/>
          <w:highlight w:val="none"/>
        </w:rPr>
      </w:pPr>
      <w:bookmarkStart w:id="50" w:name="_Toc322528192"/>
      <w:bookmarkEnd w:id="50"/>
      <w:bookmarkStart w:id="51" w:name="_Toc512357502"/>
      <w:bookmarkStart w:id="52" w:name="_Toc3495"/>
      <w:bookmarkStart w:id="53" w:name="_Toc1230"/>
      <w:bookmarkStart w:id="54" w:name="_Toc17240"/>
      <w:bookmarkStart w:id="55" w:name="_Toc17594"/>
      <w:bookmarkStart w:id="56" w:name="_Toc30950"/>
      <w:bookmarkStart w:id="57" w:name="_Toc17735"/>
      <w:bookmarkStart w:id="58" w:name="_Toc20201"/>
      <w:bookmarkStart w:id="59" w:name="_Toc24972"/>
      <w:bookmarkStart w:id="60" w:name="_Toc21830"/>
      <w:bookmarkStart w:id="61" w:name="_Toc30883"/>
      <w:bookmarkStart w:id="62" w:name="_Toc25633"/>
      <w:bookmarkStart w:id="63" w:name="_Toc30725"/>
      <w:bookmarkStart w:id="64" w:name="_Toc22273"/>
      <w:bookmarkStart w:id="65" w:name="_Toc15976"/>
      <w:bookmarkStart w:id="66" w:name="_Toc18454"/>
      <w:bookmarkStart w:id="67" w:name="_Toc24390"/>
      <w:bookmarkStart w:id="68" w:name="_Toc12635"/>
      <w:bookmarkStart w:id="69" w:name="_Toc29836"/>
      <w:r>
        <w:rPr>
          <w:rFonts w:hint="eastAsia" w:ascii="宋体" w:hAnsi="宋体"/>
          <w:b/>
          <w:color w:val="auto"/>
          <w:highlight w:val="none"/>
        </w:rPr>
        <w:t>8.联系方式</w:t>
      </w:r>
    </w:p>
    <w:p w14:paraId="7A0D8EC6">
      <w:pPr>
        <w:spacing w:before="0" w:after="0" w:afterAutospacing="0"/>
        <w:ind w:left="0" w:right="0" w:firstLine="420" w:firstLineChars="200"/>
        <w:rPr>
          <w:rFonts w:hint="eastAsia" w:ascii="宋体" w:hAnsi="宋体" w:eastAsia="宋体"/>
          <w:color w:val="auto"/>
          <w:highlight w:val="none"/>
          <w:u w:val="single"/>
          <w:lang w:eastAsia="zh-CN"/>
        </w:rPr>
      </w:pPr>
      <w:r>
        <w:rPr>
          <w:rFonts w:hint="eastAsia" w:ascii="宋体" w:hAnsi="宋体"/>
          <w:color w:val="auto"/>
          <w:highlight w:val="none"/>
        </w:rPr>
        <w:t>比 选 人：</w:t>
      </w:r>
      <w:r>
        <w:rPr>
          <w:rFonts w:hint="eastAsia" w:ascii="宋体" w:hAnsi="宋体"/>
          <w:color w:val="auto"/>
          <w:highlight w:val="none"/>
          <w:lang w:eastAsia="zh-CN"/>
        </w:rPr>
        <w:t>南宁兴邕城市更新有限责任公司</w:t>
      </w:r>
    </w:p>
    <w:p w14:paraId="6B5E62C8">
      <w:pPr>
        <w:spacing w:before="0" w:after="0" w:afterAutospacing="0"/>
        <w:ind w:left="0" w:right="0" w:firstLine="420" w:firstLineChars="200"/>
        <w:rPr>
          <w:rFonts w:ascii="宋体" w:hAnsi="宋体"/>
          <w:color w:val="auto"/>
          <w:highlight w:val="none"/>
          <w:u w:val="single"/>
        </w:rPr>
      </w:pPr>
      <w:r>
        <w:rPr>
          <w:rFonts w:hint="eastAsia" w:ascii="宋体" w:hAnsi="宋体"/>
          <w:color w:val="auto"/>
          <w:highlight w:val="none"/>
        </w:rPr>
        <w:t>地    址：南宁市青秀区凤岭北路111号</w:t>
      </w:r>
    </w:p>
    <w:p w14:paraId="2BCA8A85">
      <w:pPr>
        <w:spacing w:before="0" w:after="0" w:afterAutospacing="0"/>
        <w:ind w:left="0" w:right="0" w:firstLine="420" w:firstLineChars="200"/>
        <w:rPr>
          <w:rFonts w:ascii="宋体" w:hAnsi="宋体"/>
          <w:color w:val="auto"/>
          <w:highlight w:val="none"/>
          <w:u w:val="single"/>
        </w:rPr>
      </w:pPr>
      <w:r>
        <w:rPr>
          <w:rFonts w:hint="eastAsia" w:ascii="宋体" w:hAnsi="宋体"/>
          <w:color w:val="auto"/>
          <w:highlight w:val="none"/>
        </w:rPr>
        <w:t xml:space="preserve">邮    编：530022                         </w:t>
      </w:r>
    </w:p>
    <w:p w14:paraId="4DE9BBED">
      <w:pPr>
        <w:spacing w:before="0" w:after="0" w:afterAutospacing="0"/>
        <w:ind w:left="0" w:right="0" w:firstLine="420" w:firstLineChars="200"/>
        <w:rPr>
          <w:rFonts w:ascii="宋体" w:hAnsi="宋体"/>
          <w:color w:val="auto"/>
          <w:highlight w:val="none"/>
          <w:u w:val="single"/>
        </w:rPr>
      </w:pPr>
      <w:r>
        <w:rPr>
          <w:rFonts w:hint="eastAsia" w:ascii="宋体" w:hAnsi="宋体"/>
          <w:color w:val="auto"/>
          <w:highlight w:val="none"/>
        </w:rPr>
        <w:t>联 系 人：</w:t>
      </w:r>
      <w:r>
        <w:rPr>
          <w:rFonts w:hint="eastAsia" w:ascii="宋体" w:hAnsi="宋体"/>
          <w:color w:val="auto"/>
          <w:highlight w:val="none"/>
          <w:u w:val="single"/>
          <w:lang w:val="en-US" w:eastAsia="zh-CN"/>
        </w:rPr>
        <w:t>杨工</w:t>
      </w:r>
      <w:r>
        <w:rPr>
          <w:rFonts w:hint="eastAsia" w:ascii="宋体" w:hAnsi="宋体"/>
          <w:color w:val="auto"/>
          <w:highlight w:val="none"/>
          <w:u w:val="single"/>
        </w:rPr>
        <w:t xml:space="preserve">           </w:t>
      </w:r>
    </w:p>
    <w:p w14:paraId="58AFD948">
      <w:pPr>
        <w:spacing w:before="0" w:after="0" w:afterAutospacing="0"/>
        <w:ind w:left="0" w:right="0" w:firstLine="420" w:firstLineChars="200"/>
        <w:rPr>
          <w:rFonts w:ascii="宋体" w:hAnsi="宋体"/>
          <w:color w:val="auto"/>
          <w:highlight w:val="none"/>
          <w:u w:val="single"/>
        </w:rPr>
      </w:pPr>
      <w:r>
        <w:rPr>
          <w:rFonts w:hint="eastAsia" w:ascii="宋体" w:hAnsi="宋体"/>
          <w:color w:val="auto"/>
          <w:highlight w:val="none"/>
        </w:rPr>
        <w:t>电    话：：</w:t>
      </w:r>
      <w:r>
        <w:rPr>
          <w:rFonts w:hint="eastAsia" w:ascii="宋体" w:hAnsi="宋体"/>
          <w:color w:val="auto"/>
          <w:highlight w:val="none"/>
          <w:u w:val="single"/>
        </w:rPr>
        <w:t>0771-</w:t>
      </w:r>
      <w:r>
        <w:rPr>
          <w:rFonts w:hint="eastAsia" w:ascii="宋体" w:hAnsi="宋体"/>
          <w:color w:val="auto"/>
          <w:highlight w:val="none"/>
          <w:u w:val="single"/>
          <w:lang w:val="en-US" w:eastAsia="zh-CN"/>
        </w:rPr>
        <w:t>5521831</w:t>
      </w:r>
      <w:r>
        <w:rPr>
          <w:rFonts w:ascii="宋体" w:hAnsi="宋体"/>
          <w:color w:val="auto"/>
          <w:highlight w:val="none"/>
          <w:u w:val="single"/>
        </w:rPr>
        <w:t xml:space="preserve">    </w:t>
      </w:r>
    </w:p>
    <w:p w14:paraId="6970A940">
      <w:pPr>
        <w:spacing w:before="0" w:after="0" w:afterAutospacing="0"/>
        <w:ind w:left="0" w:right="0" w:firstLine="420" w:firstLineChars="200"/>
        <w:rPr>
          <w:rFonts w:ascii="宋体" w:hAnsi="宋体"/>
          <w:color w:val="auto"/>
          <w:highlight w:val="none"/>
          <w:u w:val="single"/>
        </w:rPr>
      </w:pPr>
      <w:r>
        <w:rPr>
          <w:rFonts w:hint="eastAsia" w:ascii="宋体" w:hAnsi="宋体"/>
          <w:color w:val="auto"/>
          <w:highlight w:val="none"/>
        </w:rPr>
        <w:t>传真：</w:t>
      </w:r>
    </w:p>
    <w:p w14:paraId="52F11816">
      <w:pPr>
        <w:spacing w:before="0" w:after="0" w:afterAutospacing="0"/>
        <w:ind w:left="0" w:right="0" w:firstLine="420" w:firstLineChars="200"/>
        <w:rPr>
          <w:color w:val="auto"/>
          <w:highlight w:val="none"/>
        </w:rPr>
      </w:pPr>
      <w:r>
        <w:rPr>
          <w:rFonts w:hint="eastAsia" w:ascii="宋体" w:hAnsi="宋体"/>
          <w:color w:val="auto"/>
          <w:highlight w:val="none"/>
        </w:rPr>
        <w:t>电子邮件：</w:t>
      </w:r>
      <w:r>
        <w:rPr>
          <w:color w:val="auto"/>
          <w:highlight w:val="none"/>
        </w:rPr>
        <w:fldChar w:fldCharType="begin"/>
      </w:r>
      <w:r>
        <w:rPr>
          <w:color w:val="auto"/>
          <w:highlight w:val="none"/>
        </w:rPr>
        <w:instrText xml:space="preserve"> HYPERLINK "mailto:nngddchyfgb@163.com" </w:instrText>
      </w:r>
      <w:r>
        <w:rPr>
          <w:color w:val="auto"/>
          <w:highlight w:val="none"/>
        </w:rPr>
        <w:fldChar w:fldCharType="separate"/>
      </w:r>
      <w:r>
        <w:rPr>
          <w:color w:val="auto"/>
          <w:highlight w:val="none"/>
        </w:rPr>
        <w:fldChar w:fldCharType="end"/>
      </w:r>
      <w:r>
        <w:rPr>
          <w:rStyle w:val="45"/>
          <w:rFonts w:ascii="宋体" w:hAnsi="宋体"/>
          <w:color w:val="auto"/>
          <w:highlight w:val="none"/>
        </w:rPr>
        <w:t xml:space="preserve">     </w:t>
      </w:r>
      <w:bookmarkEnd w:id="1562"/>
    </w:p>
    <w:bookmarkEnd w:id="21"/>
    <w:p w14:paraId="5CA5FA8F">
      <w:pPr>
        <w:pStyle w:val="19"/>
        <w:pageBreakBefore/>
        <w:ind w:right="-57" w:firstLine="0"/>
        <w:jc w:val="center"/>
        <w:outlineLvl w:val="0"/>
        <w:rPr>
          <w:rStyle w:val="58"/>
          <w:rFonts w:ascii="宋体" w:hAnsi="宋体" w:eastAsia="宋体"/>
          <w:color w:val="auto"/>
          <w:highlight w:val="none"/>
        </w:rPr>
      </w:pPr>
      <w:r>
        <w:rPr>
          <w:rStyle w:val="58"/>
          <w:rFonts w:hint="eastAsia" w:ascii="宋体" w:hAnsi="宋体" w:eastAsia="宋体"/>
          <w:color w:val="auto"/>
          <w:highlight w:val="none"/>
        </w:rPr>
        <w:t>第二章</w:t>
      </w:r>
      <w:bookmarkEnd w:id="51"/>
      <w:r>
        <w:rPr>
          <w:rStyle w:val="58"/>
          <w:rFonts w:hint="eastAsia" w:ascii="宋体" w:hAnsi="宋体" w:eastAsia="宋体"/>
          <w:color w:val="auto"/>
          <w:highlight w:val="none"/>
        </w:rPr>
        <w:t>比选申请须知</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D06FF9D">
      <w:pPr>
        <w:pStyle w:val="19"/>
        <w:spacing w:before="0" w:after="0"/>
        <w:ind w:right="0" w:firstLine="0"/>
        <w:jc w:val="center"/>
        <w:rPr>
          <w:rFonts w:hAnsi="宋体"/>
          <w:b/>
          <w:color w:val="auto"/>
          <w:sz w:val="30"/>
          <w:szCs w:val="30"/>
          <w:highlight w:val="none"/>
        </w:rPr>
      </w:pPr>
      <w:r>
        <w:rPr>
          <w:rFonts w:hint="eastAsia" w:hAnsi="宋体"/>
          <w:b/>
          <w:color w:val="auto"/>
          <w:sz w:val="30"/>
          <w:szCs w:val="30"/>
          <w:highlight w:val="none"/>
        </w:rPr>
        <w:t>比选申请须知前附表</w:t>
      </w:r>
    </w:p>
    <w:tbl>
      <w:tblPr>
        <w:tblStyle w:val="38"/>
        <w:tblW w:w="9117" w:type="dxa"/>
        <w:tblInd w:w="112" w:type="dxa"/>
        <w:tblLayout w:type="fixed"/>
        <w:tblCellMar>
          <w:top w:w="0" w:type="dxa"/>
          <w:left w:w="108" w:type="dxa"/>
          <w:bottom w:w="0" w:type="dxa"/>
          <w:right w:w="108" w:type="dxa"/>
        </w:tblCellMar>
      </w:tblPr>
      <w:tblGrid>
        <w:gridCol w:w="847"/>
        <w:gridCol w:w="1559"/>
        <w:gridCol w:w="6711"/>
      </w:tblGrid>
      <w:tr w14:paraId="1F498C8B">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14:paraId="2DADECEE">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条款号</w:t>
            </w:r>
          </w:p>
        </w:tc>
        <w:tc>
          <w:tcPr>
            <w:tcW w:w="1559" w:type="dxa"/>
            <w:tcBorders>
              <w:top w:val="single" w:color="auto" w:sz="4" w:space="0"/>
              <w:left w:val="nil"/>
              <w:bottom w:val="single" w:color="auto" w:sz="4" w:space="0"/>
              <w:right w:val="single" w:color="auto" w:sz="4" w:space="0"/>
            </w:tcBorders>
            <w:vAlign w:val="center"/>
          </w:tcPr>
          <w:p w14:paraId="02D624C4">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条款名称</w:t>
            </w:r>
          </w:p>
        </w:tc>
        <w:tc>
          <w:tcPr>
            <w:tcW w:w="6711" w:type="dxa"/>
            <w:tcBorders>
              <w:top w:val="single" w:color="auto" w:sz="4" w:space="0"/>
              <w:left w:val="nil"/>
              <w:bottom w:val="single" w:color="auto" w:sz="4" w:space="0"/>
              <w:right w:val="single" w:color="auto" w:sz="4" w:space="0"/>
            </w:tcBorders>
            <w:vAlign w:val="center"/>
          </w:tcPr>
          <w:p w14:paraId="648F8B05">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详细内容</w:t>
            </w:r>
          </w:p>
        </w:tc>
      </w:tr>
      <w:tr w14:paraId="33AB11F7">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14:paraId="288D2F59">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1.1</w:t>
            </w:r>
          </w:p>
        </w:tc>
        <w:tc>
          <w:tcPr>
            <w:tcW w:w="1559" w:type="dxa"/>
            <w:tcBorders>
              <w:top w:val="single" w:color="auto" w:sz="4" w:space="0"/>
              <w:left w:val="nil"/>
              <w:bottom w:val="single" w:color="auto" w:sz="4" w:space="0"/>
              <w:right w:val="single" w:color="auto" w:sz="4" w:space="0"/>
            </w:tcBorders>
            <w:vAlign w:val="center"/>
          </w:tcPr>
          <w:p w14:paraId="0DD2FFD7">
            <w:pPr>
              <w:spacing w:before="0" w:after="0" w:afterAutospacing="0"/>
              <w:ind w:left="0" w:right="0" w:firstLine="0"/>
              <w:rPr>
                <w:rFonts w:ascii="宋体" w:hAnsi="宋体"/>
                <w:color w:val="auto"/>
                <w:highlight w:val="none"/>
              </w:rPr>
            </w:pPr>
            <w:r>
              <w:rPr>
                <w:rFonts w:hint="eastAsia" w:ascii="宋体" w:hAnsi="宋体"/>
                <w:color w:val="auto"/>
                <w:highlight w:val="none"/>
              </w:rPr>
              <w:t>比选人</w:t>
            </w:r>
          </w:p>
        </w:tc>
        <w:tc>
          <w:tcPr>
            <w:tcW w:w="6711" w:type="dxa"/>
            <w:tcBorders>
              <w:top w:val="single" w:color="auto" w:sz="4" w:space="0"/>
              <w:left w:val="nil"/>
              <w:bottom w:val="single" w:color="auto" w:sz="4" w:space="0"/>
              <w:right w:val="single" w:color="auto" w:sz="4" w:space="0"/>
            </w:tcBorders>
            <w:vAlign w:val="center"/>
          </w:tcPr>
          <w:p w14:paraId="612FB9A1">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名称：</w:t>
            </w:r>
            <w:r>
              <w:rPr>
                <w:rFonts w:hint="eastAsia" w:ascii="宋体" w:hAnsi="宋体"/>
                <w:color w:val="auto"/>
                <w:highlight w:val="none"/>
                <w:lang w:eastAsia="zh-CN"/>
              </w:rPr>
              <w:t>南宁兴邕城市更新有限责任公司</w:t>
            </w:r>
          </w:p>
          <w:p w14:paraId="06238E3A">
            <w:pPr>
              <w:spacing w:before="0" w:after="0" w:afterAutospacing="0"/>
              <w:ind w:left="0" w:right="0" w:firstLine="0"/>
              <w:rPr>
                <w:rFonts w:ascii="宋体" w:hAnsi="宋体"/>
                <w:color w:val="auto"/>
                <w:highlight w:val="none"/>
              </w:rPr>
            </w:pPr>
            <w:r>
              <w:rPr>
                <w:rFonts w:hint="eastAsia" w:ascii="宋体" w:hAnsi="宋体"/>
                <w:color w:val="auto"/>
                <w:highlight w:val="none"/>
              </w:rPr>
              <w:t>地址：南宁市青秀区凤岭北路111号</w:t>
            </w:r>
          </w:p>
          <w:p w14:paraId="04C37483">
            <w:pPr>
              <w:spacing w:before="0" w:after="0" w:afterAutospacing="0"/>
              <w:ind w:left="0" w:right="0" w:firstLine="0"/>
              <w:rPr>
                <w:rFonts w:ascii="宋体" w:hAnsi="宋体"/>
                <w:color w:val="auto"/>
                <w:highlight w:val="none"/>
              </w:rPr>
            </w:pPr>
            <w:r>
              <w:rPr>
                <w:rFonts w:hint="eastAsia" w:ascii="宋体" w:hAnsi="宋体"/>
                <w:color w:val="auto"/>
                <w:highlight w:val="none"/>
              </w:rPr>
              <w:t>联系人：</w:t>
            </w:r>
            <w:r>
              <w:rPr>
                <w:rFonts w:hint="eastAsia" w:ascii="宋体" w:hAnsi="宋体"/>
                <w:color w:val="auto"/>
                <w:highlight w:val="none"/>
                <w:lang w:val="en-US" w:eastAsia="zh-CN"/>
              </w:rPr>
              <w:t>杨工</w:t>
            </w:r>
            <w:r>
              <w:rPr>
                <w:rFonts w:hint="eastAsia" w:ascii="宋体" w:hAnsi="宋体"/>
                <w:color w:val="auto"/>
                <w:highlight w:val="none"/>
              </w:rPr>
              <w:t xml:space="preserve"> </w:t>
            </w:r>
            <w:r>
              <w:rPr>
                <w:rFonts w:ascii="宋体" w:hAnsi="宋体"/>
                <w:color w:val="auto"/>
                <w:highlight w:val="none"/>
              </w:rPr>
              <w:t xml:space="preserve"> </w:t>
            </w:r>
          </w:p>
          <w:p w14:paraId="55EC9EA1">
            <w:pPr>
              <w:spacing w:before="0" w:after="0" w:afterAutospacing="0"/>
              <w:ind w:left="0" w:right="0" w:firstLine="0"/>
              <w:rPr>
                <w:rFonts w:ascii="宋体" w:hAnsi="宋体"/>
                <w:color w:val="auto"/>
                <w:highlight w:val="none"/>
              </w:rPr>
            </w:pPr>
            <w:r>
              <w:rPr>
                <w:rFonts w:hint="eastAsia" w:ascii="宋体" w:hAnsi="宋体"/>
                <w:color w:val="auto"/>
                <w:highlight w:val="none"/>
              </w:rPr>
              <w:t>联系电话：</w:t>
            </w:r>
            <w:r>
              <w:rPr>
                <w:rFonts w:ascii="宋体" w:hAnsi="宋体"/>
                <w:color w:val="auto"/>
                <w:highlight w:val="none"/>
              </w:rPr>
              <w:t xml:space="preserve"> </w:t>
            </w:r>
            <w:r>
              <w:rPr>
                <w:rFonts w:hint="eastAsia" w:ascii="宋体" w:hAnsi="宋体"/>
                <w:color w:val="auto"/>
                <w:highlight w:val="none"/>
                <w:lang w:val="en-US" w:eastAsia="zh-CN"/>
              </w:rPr>
              <w:t>0771-5521831</w:t>
            </w:r>
            <w:r>
              <w:rPr>
                <w:rFonts w:ascii="宋体" w:hAnsi="宋体"/>
                <w:color w:val="auto"/>
                <w:highlight w:val="none"/>
              </w:rPr>
              <w:t xml:space="preserve"> </w:t>
            </w:r>
          </w:p>
        </w:tc>
      </w:tr>
      <w:tr w14:paraId="40B02F65">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427C47FF">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1.2</w:t>
            </w:r>
          </w:p>
        </w:tc>
        <w:tc>
          <w:tcPr>
            <w:tcW w:w="1559" w:type="dxa"/>
            <w:tcBorders>
              <w:top w:val="single" w:color="auto" w:sz="4" w:space="0"/>
              <w:left w:val="nil"/>
              <w:bottom w:val="single" w:color="auto" w:sz="4" w:space="0"/>
              <w:right w:val="single" w:color="auto" w:sz="4" w:space="0"/>
            </w:tcBorders>
            <w:vAlign w:val="center"/>
          </w:tcPr>
          <w:p w14:paraId="64FFB911">
            <w:pPr>
              <w:spacing w:before="0" w:after="0" w:afterAutospacing="0"/>
              <w:ind w:left="0" w:right="0" w:firstLine="0"/>
              <w:rPr>
                <w:rFonts w:ascii="宋体" w:hAnsi="宋体"/>
                <w:color w:val="auto"/>
                <w:highlight w:val="none"/>
              </w:rPr>
            </w:pPr>
            <w:r>
              <w:rPr>
                <w:rFonts w:hint="eastAsia" w:ascii="宋体" w:hAnsi="宋体"/>
                <w:color w:val="auto"/>
                <w:highlight w:val="none"/>
              </w:rPr>
              <w:t>项目名称</w:t>
            </w:r>
          </w:p>
        </w:tc>
        <w:tc>
          <w:tcPr>
            <w:tcW w:w="6711" w:type="dxa"/>
            <w:tcBorders>
              <w:top w:val="single" w:color="auto" w:sz="4" w:space="0"/>
              <w:left w:val="nil"/>
              <w:bottom w:val="single" w:color="auto" w:sz="4" w:space="0"/>
              <w:right w:val="single" w:color="auto" w:sz="4" w:space="0"/>
            </w:tcBorders>
            <w:vAlign w:val="center"/>
          </w:tcPr>
          <w:p w14:paraId="489AA3D2">
            <w:pPr>
              <w:spacing w:before="0" w:after="0" w:afterAutospacing="0"/>
              <w:ind w:left="0" w:right="0" w:firstLine="0"/>
              <w:rPr>
                <w:rFonts w:ascii="宋体" w:hAnsi="宋体"/>
                <w:color w:val="auto"/>
                <w:highlight w:val="none"/>
              </w:rPr>
            </w:pPr>
            <w:r>
              <w:rPr>
                <w:rFonts w:hint="eastAsia" w:ascii="宋体" w:hAnsi="宋体"/>
                <w:color w:val="auto"/>
                <w:highlight w:val="none"/>
                <w:lang w:val="zh-CN"/>
              </w:rPr>
              <w:t>南宁市白沙半岛片区城中村改造项目安置住房小区（地块1）地质勘察</w:t>
            </w:r>
          </w:p>
        </w:tc>
      </w:tr>
      <w:tr w14:paraId="7A1CABA3">
        <w:tblPrEx>
          <w:tblCellMar>
            <w:top w:w="0" w:type="dxa"/>
            <w:left w:w="108" w:type="dxa"/>
            <w:bottom w:w="0" w:type="dxa"/>
            <w:right w:w="108" w:type="dxa"/>
          </w:tblCellMar>
        </w:tblPrEx>
        <w:trPr>
          <w:trHeight w:val="368" w:hRule="atLeast"/>
        </w:trPr>
        <w:tc>
          <w:tcPr>
            <w:tcW w:w="847" w:type="dxa"/>
            <w:tcBorders>
              <w:top w:val="single" w:color="auto" w:sz="4" w:space="0"/>
              <w:left w:val="single" w:color="auto" w:sz="4" w:space="0"/>
              <w:bottom w:val="single" w:color="auto" w:sz="4" w:space="0"/>
              <w:right w:val="single" w:color="auto" w:sz="4" w:space="0"/>
            </w:tcBorders>
            <w:vAlign w:val="center"/>
          </w:tcPr>
          <w:p w14:paraId="3A7F5595">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1.3</w:t>
            </w:r>
          </w:p>
        </w:tc>
        <w:tc>
          <w:tcPr>
            <w:tcW w:w="1559" w:type="dxa"/>
            <w:tcBorders>
              <w:top w:val="single" w:color="auto" w:sz="4" w:space="0"/>
              <w:left w:val="nil"/>
              <w:bottom w:val="single" w:color="auto" w:sz="4" w:space="0"/>
              <w:right w:val="single" w:color="auto" w:sz="4" w:space="0"/>
            </w:tcBorders>
            <w:vAlign w:val="center"/>
          </w:tcPr>
          <w:p w14:paraId="2611F22E">
            <w:pPr>
              <w:spacing w:before="0" w:after="0" w:afterAutospacing="0"/>
              <w:ind w:left="0" w:right="0" w:firstLine="0"/>
              <w:rPr>
                <w:rFonts w:ascii="宋体" w:hAnsi="宋体"/>
                <w:color w:val="auto"/>
                <w:highlight w:val="none"/>
              </w:rPr>
            </w:pPr>
            <w:r>
              <w:rPr>
                <w:rFonts w:hint="eastAsia" w:ascii="宋体" w:hAnsi="宋体"/>
                <w:color w:val="auto"/>
                <w:highlight w:val="none"/>
              </w:rPr>
              <w:t>项目编号</w:t>
            </w:r>
          </w:p>
        </w:tc>
        <w:tc>
          <w:tcPr>
            <w:tcW w:w="6711" w:type="dxa"/>
            <w:tcBorders>
              <w:top w:val="single" w:color="auto" w:sz="4" w:space="0"/>
              <w:left w:val="nil"/>
              <w:bottom w:val="single" w:color="auto" w:sz="4" w:space="0"/>
              <w:right w:val="single" w:color="auto" w:sz="4" w:space="0"/>
            </w:tcBorders>
            <w:vAlign w:val="center"/>
          </w:tcPr>
          <w:p w14:paraId="65BBBDF5">
            <w:pPr>
              <w:spacing w:before="0" w:after="0" w:afterAutospacing="0"/>
              <w:ind w:left="0" w:right="0" w:firstLine="0"/>
              <w:rPr>
                <w:rFonts w:ascii="宋体" w:hAnsi="宋体"/>
                <w:color w:val="auto"/>
                <w:highlight w:val="none"/>
              </w:rPr>
            </w:pPr>
            <w:r>
              <w:rPr>
                <w:rFonts w:hint="eastAsia" w:ascii="宋体" w:hAnsi="宋体"/>
                <w:color w:val="auto"/>
                <w:highlight w:val="none"/>
              </w:rPr>
              <w:t>无</w:t>
            </w:r>
          </w:p>
        </w:tc>
      </w:tr>
      <w:tr w14:paraId="4EF264C3">
        <w:tblPrEx>
          <w:tblCellMar>
            <w:top w:w="0" w:type="dxa"/>
            <w:left w:w="108" w:type="dxa"/>
            <w:bottom w:w="0" w:type="dxa"/>
            <w:right w:w="108" w:type="dxa"/>
          </w:tblCellMar>
        </w:tblPrEx>
        <w:trPr>
          <w:trHeight w:val="368" w:hRule="atLeast"/>
        </w:trPr>
        <w:tc>
          <w:tcPr>
            <w:tcW w:w="847" w:type="dxa"/>
            <w:tcBorders>
              <w:top w:val="single" w:color="auto" w:sz="4" w:space="0"/>
              <w:left w:val="single" w:color="auto" w:sz="4" w:space="0"/>
              <w:bottom w:val="single" w:color="auto" w:sz="4" w:space="0"/>
              <w:right w:val="single" w:color="auto" w:sz="4" w:space="0"/>
            </w:tcBorders>
            <w:vAlign w:val="center"/>
          </w:tcPr>
          <w:p w14:paraId="516C78C1">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1.4</w:t>
            </w:r>
          </w:p>
        </w:tc>
        <w:tc>
          <w:tcPr>
            <w:tcW w:w="1559" w:type="dxa"/>
            <w:tcBorders>
              <w:top w:val="single" w:color="auto" w:sz="4" w:space="0"/>
              <w:left w:val="nil"/>
              <w:bottom w:val="single" w:color="auto" w:sz="4" w:space="0"/>
              <w:right w:val="single" w:color="auto" w:sz="4" w:space="0"/>
            </w:tcBorders>
            <w:vAlign w:val="center"/>
          </w:tcPr>
          <w:p w14:paraId="5E79AD21">
            <w:pPr>
              <w:spacing w:before="0" w:after="0" w:afterAutospacing="0"/>
              <w:ind w:left="0" w:right="0" w:firstLine="0"/>
              <w:rPr>
                <w:rFonts w:ascii="宋体" w:hAnsi="宋体"/>
                <w:color w:val="auto"/>
                <w:highlight w:val="none"/>
              </w:rPr>
            </w:pPr>
            <w:r>
              <w:rPr>
                <w:rFonts w:hint="eastAsia" w:ascii="华文细黑" w:hAnsi="华文细黑" w:cs="宋体"/>
                <w:color w:val="auto"/>
                <w:highlight w:val="none"/>
                <w:lang w:bidi="ar"/>
              </w:rPr>
              <w:t>建设地点</w:t>
            </w:r>
          </w:p>
        </w:tc>
        <w:tc>
          <w:tcPr>
            <w:tcW w:w="6711" w:type="dxa"/>
            <w:tcBorders>
              <w:top w:val="single" w:color="auto" w:sz="4" w:space="0"/>
              <w:left w:val="nil"/>
              <w:bottom w:val="single" w:color="auto" w:sz="4" w:space="0"/>
              <w:right w:val="single" w:color="auto" w:sz="4" w:space="0"/>
            </w:tcBorders>
            <w:vAlign w:val="center"/>
          </w:tcPr>
          <w:p w14:paraId="07FDE3FE">
            <w:pPr>
              <w:spacing w:before="0" w:after="0" w:afterAutospacing="0"/>
              <w:ind w:left="0" w:right="0" w:firstLine="0"/>
              <w:rPr>
                <w:rFonts w:hint="default" w:ascii="宋体" w:hAnsi="宋体" w:eastAsia="宋体"/>
                <w:color w:val="auto"/>
                <w:highlight w:val="none"/>
                <w:lang w:val="en-US" w:eastAsia="zh-CN"/>
              </w:rPr>
            </w:pPr>
            <w:r>
              <w:rPr>
                <w:rFonts w:hint="eastAsia" w:ascii="宋体" w:hAnsi="宋体"/>
                <w:color w:val="auto"/>
                <w:highlight w:val="none"/>
                <w:lang w:eastAsia="zh-CN"/>
              </w:rPr>
              <w:t>南宁市</w:t>
            </w:r>
            <w:r>
              <w:rPr>
                <w:rFonts w:hint="eastAsia" w:ascii="宋体" w:hAnsi="宋体"/>
                <w:color w:val="auto"/>
                <w:highlight w:val="none"/>
                <w:lang w:val="en-US" w:eastAsia="zh-CN"/>
              </w:rPr>
              <w:t>江南区</w:t>
            </w:r>
          </w:p>
        </w:tc>
      </w:tr>
      <w:tr w14:paraId="68059E8D">
        <w:tblPrEx>
          <w:tblCellMar>
            <w:top w:w="0" w:type="dxa"/>
            <w:left w:w="108" w:type="dxa"/>
            <w:bottom w:w="0" w:type="dxa"/>
            <w:right w:w="108" w:type="dxa"/>
          </w:tblCellMar>
        </w:tblPrEx>
        <w:trPr>
          <w:trHeight w:val="368" w:hRule="atLeast"/>
        </w:trPr>
        <w:tc>
          <w:tcPr>
            <w:tcW w:w="847" w:type="dxa"/>
            <w:tcBorders>
              <w:top w:val="single" w:color="auto" w:sz="4" w:space="0"/>
              <w:left w:val="single" w:color="auto" w:sz="4" w:space="0"/>
              <w:bottom w:val="single" w:color="auto" w:sz="4" w:space="0"/>
              <w:right w:val="single" w:color="auto" w:sz="4" w:space="0"/>
            </w:tcBorders>
            <w:vAlign w:val="center"/>
          </w:tcPr>
          <w:p w14:paraId="5CD6B364">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1.5</w:t>
            </w:r>
          </w:p>
        </w:tc>
        <w:tc>
          <w:tcPr>
            <w:tcW w:w="1559" w:type="dxa"/>
            <w:tcBorders>
              <w:top w:val="single" w:color="auto" w:sz="4" w:space="0"/>
              <w:left w:val="nil"/>
              <w:bottom w:val="single" w:color="auto" w:sz="4" w:space="0"/>
              <w:right w:val="single" w:color="auto" w:sz="4" w:space="0"/>
            </w:tcBorders>
            <w:vAlign w:val="center"/>
          </w:tcPr>
          <w:p w14:paraId="66E3518A">
            <w:pPr>
              <w:spacing w:before="0" w:after="0" w:afterAutospacing="0"/>
              <w:ind w:left="0" w:right="0" w:firstLine="0"/>
              <w:rPr>
                <w:rFonts w:ascii="宋体" w:hAnsi="宋体"/>
                <w:color w:val="auto"/>
                <w:highlight w:val="none"/>
              </w:rPr>
            </w:pPr>
            <w:r>
              <w:rPr>
                <w:rFonts w:hint="eastAsia" w:ascii="华文细黑" w:hAnsi="华文细黑" w:cs="宋体"/>
                <w:color w:val="auto"/>
                <w:highlight w:val="none"/>
                <w:lang w:bidi="ar"/>
              </w:rPr>
              <w:t>建设规模</w:t>
            </w:r>
          </w:p>
        </w:tc>
        <w:tc>
          <w:tcPr>
            <w:tcW w:w="6711" w:type="dxa"/>
            <w:tcBorders>
              <w:top w:val="single" w:color="auto" w:sz="4" w:space="0"/>
              <w:left w:val="nil"/>
              <w:bottom w:val="single" w:color="auto" w:sz="4" w:space="0"/>
              <w:right w:val="single" w:color="auto" w:sz="4" w:space="0"/>
            </w:tcBorders>
            <w:vAlign w:val="center"/>
          </w:tcPr>
          <w:p w14:paraId="24EEA767">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eastAsia="宋体"/>
                <w:color w:val="auto"/>
                <w:highlight w:val="none"/>
                <w:lang w:eastAsia="zh-CN"/>
              </w:rPr>
            </w:pPr>
            <w:bookmarkStart w:id="70" w:name="OLE_LINK28"/>
            <w:r>
              <w:rPr>
                <w:rFonts w:hint="eastAsia" w:ascii="宋体" w:hAnsi="宋体"/>
                <w:color w:val="auto"/>
                <w:highlight w:val="none"/>
              </w:rPr>
              <w:t>项目总用地面积为16226.45㎡(约24.34亩)。项目总建筑面积71152.03㎡。计容总建筑面积约56792.58㎡(按容积率3.5计算)，不计容建筑面积地下—层车库12686.18㎡、地下二层车库3109.73㎡、架空层206.6㎡，地下室人防总面积2839.63㎡(按计容总建筑面积的5%计算)。单体建筑最高高度为80米，2</w:t>
            </w:r>
            <w:r>
              <w:rPr>
                <w:rFonts w:hint="eastAsia" w:ascii="宋体" w:hAnsi="宋体"/>
                <w:color w:val="auto"/>
                <w:highlight w:val="none"/>
                <w:lang w:val="en-US" w:eastAsia="zh-CN"/>
              </w:rPr>
              <w:t>7</w:t>
            </w:r>
            <w:r>
              <w:rPr>
                <w:rFonts w:hint="eastAsia" w:ascii="宋体" w:hAnsi="宋体"/>
                <w:color w:val="auto"/>
                <w:highlight w:val="none"/>
              </w:rPr>
              <w:t>层。预计布孔71个，其中高层建筑物钻孔46个，平均孔深35米，基坑及商铺钻孔25个，平均孔深20米。预计总进尺2110米。</w:t>
            </w:r>
            <w:bookmarkEnd w:id="70"/>
          </w:p>
        </w:tc>
      </w:tr>
      <w:tr w14:paraId="7E8D8C10">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7A573B84">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1.4</w:t>
            </w:r>
          </w:p>
        </w:tc>
        <w:tc>
          <w:tcPr>
            <w:tcW w:w="1559" w:type="dxa"/>
            <w:tcBorders>
              <w:top w:val="single" w:color="auto" w:sz="4" w:space="0"/>
              <w:left w:val="nil"/>
              <w:bottom w:val="single" w:color="auto" w:sz="4" w:space="0"/>
              <w:right w:val="single" w:color="auto" w:sz="4" w:space="0"/>
            </w:tcBorders>
            <w:vAlign w:val="center"/>
          </w:tcPr>
          <w:p w14:paraId="2A78B69F">
            <w:pPr>
              <w:spacing w:before="0" w:after="0" w:afterAutospacing="0"/>
              <w:ind w:left="0" w:right="0" w:firstLine="0"/>
              <w:rPr>
                <w:rFonts w:ascii="宋体" w:hAnsi="宋体"/>
                <w:color w:val="auto"/>
                <w:highlight w:val="none"/>
              </w:rPr>
            </w:pPr>
            <w:r>
              <w:rPr>
                <w:rFonts w:hint="eastAsia" w:ascii="宋体" w:hAnsi="宋体"/>
                <w:color w:val="auto"/>
                <w:highlight w:val="none"/>
              </w:rPr>
              <w:t>比选</w:t>
            </w:r>
            <w:r>
              <w:rPr>
                <w:rFonts w:ascii="宋体" w:hAnsi="宋体"/>
                <w:color w:val="auto"/>
                <w:highlight w:val="none"/>
              </w:rPr>
              <w:t>范围</w:t>
            </w:r>
          </w:p>
        </w:tc>
        <w:tc>
          <w:tcPr>
            <w:tcW w:w="6711" w:type="dxa"/>
            <w:tcBorders>
              <w:top w:val="single" w:color="auto" w:sz="4" w:space="0"/>
              <w:left w:val="nil"/>
              <w:bottom w:val="single" w:color="auto" w:sz="4" w:space="0"/>
              <w:right w:val="single" w:color="auto" w:sz="4" w:space="0"/>
            </w:tcBorders>
            <w:vAlign w:val="center"/>
          </w:tcPr>
          <w:p w14:paraId="74B7B3FB">
            <w:pPr>
              <w:spacing w:before="0" w:after="0" w:afterAutospacing="0"/>
              <w:ind w:left="0" w:leftChars="0" w:right="0" w:firstLine="0" w:firstLineChars="0"/>
              <w:jc w:val="left"/>
              <w:rPr>
                <w:rFonts w:ascii="宋体" w:hAnsi="宋体"/>
                <w:color w:val="auto"/>
                <w:highlight w:val="none"/>
              </w:rPr>
            </w:pPr>
            <w:r>
              <w:rPr>
                <w:rFonts w:hint="eastAsia" w:ascii="宋体" w:hAnsi="宋体"/>
                <w:color w:val="auto"/>
                <w:highlight w:val="none"/>
                <w:lang w:val="zh-CN"/>
              </w:rPr>
              <w:t>南宁市白</w:t>
            </w:r>
            <w:bookmarkStart w:id="71" w:name="OLE_LINK26"/>
            <w:r>
              <w:rPr>
                <w:rFonts w:hint="eastAsia" w:ascii="宋体" w:hAnsi="宋体"/>
                <w:color w:val="auto"/>
                <w:highlight w:val="none"/>
                <w:lang w:val="zh-CN"/>
              </w:rPr>
              <w:t>沙半岛片区城中村改造项目安置住房小区（地块1）</w:t>
            </w:r>
            <w:r>
              <w:rPr>
                <w:rFonts w:hint="eastAsia" w:ascii="宋体" w:hAnsi="宋体"/>
                <w:color w:val="auto"/>
                <w:highlight w:val="none"/>
              </w:rPr>
              <w:t>初步</w:t>
            </w:r>
            <w:r>
              <w:rPr>
                <w:rFonts w:hint="eastAsia" w:ascii="宋体" w:hAnsi="宋体"/>
                <w:color w:val="auto"/>
                <w:highlight w:val="none"/>
                <w:lang w:eastAsia="zh-CN"/>
              </w:rPr>
              <w:t>勘察</w:t>
            </w:r>
            <w:r>
              <w:rPr>
                <w:rFonts w:hint="eastAsia" w:ascii="宋体" w:hAnsi="宋体"/>
                <w:color w:val="auto"/>
                <w:highlight w:val="none"/>
              </w:rPr>
              <w:t>,详细</w:t>
            </w:r>
            <w:bookmarkEnd w:id="71"/>
            <w:r>
              <w:rPr>
                <w:rFonts w:hint="eastAsia" w:ascii="宋体" w:hAnsi="宋体"/>
                <w:color w:val="auto"/>
                <w:highlight w:val="none"/>
                <w:lang w:eastAsia="zh-CN"/>
              </w:rPr>
              <w:t>勘察。</w:t>
            </w:r>
          </w:p>
        </w:tc>
      </w:tr>
      <w:tr w14:paraId="26DB56E5">
        <w:tblPrEx>
          <w:tblCellMar>
            <w:top w:w="0" w:type="dxa"/>
            <w:left w:w="108" w:type="dxa"/>
            <w:bottom w:w="0" w:type="dxa"/>
            <w:right w:w="108" w:type="dxa"/>
          </w:tblCellMar>
        </w:tblPrEx>
        <w:trPr>
          <w:trHeight w:val="90" w:hRule="atLeast"/>
        </w:trPr>
        <w:tc>
          <w:tcPr>
            <w:tcW w:w="847" w:type="dxa"/>
            <w:tcBorders>
              <w:top w:val="single" w:color="auto" w:sz="4" w:space="0"/>
              <w:left w:val="single" w:color="auto" w:sz="4" w:space="0"/>
              <w:bottom w:val="single" w:color="auto" w:sz="4" w:space="0"/>
              <w:right w:val="single" w:color="auto" w:sz="4" w:space="0"/>
            </w:tcBorders>
            <w:vAlign w:val="center"/>
          </w:tcPr>
          <w:p w14:paraId="683FD15A">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1.6</w:t>
            </w:r>
          </w:p>
        </w:tc>
        <w:tc>
          <w:tcPr>
            <w:tcW w:w="1559" w:type="dxa"/>
            <w:tcBorders>
              <w:top w:val="single" w:color="auto" w:sz="4" w:space="0"/>
              <w:left w:val="nil"/>
              <w:bottom w:val="single" w:color="auto" w:sz="4" w:space="0"/>
              <w:right w:val="single" w:color="auto" w:sz="4" w:space="0"/>
            </w:tcBorders>
            <w:vAlign w:val="center"/>
          </w:tcPr>
          <w:p w14:paraId="3337B974">
            <w:pPr>
              <w:spacing w:before="0" w:after="0" w:afterAutospacing="0"/>
              <w:ind w:left="0" w:right="0" w:firstLine="0"/>
              <w:rPr>
                <w:rFonts w:ascii="宋体" w:hAnsi="宋体"/>
                <w:color w:val="auto"/>
                <w:highlight w:val="none"/>
              </w:rPr>
            </w:pPr>
            <w:r>
              <w:rPr>
                <w:rFonts w:hint="eastAsia" w:ascii="宋体" w:hAnsi="宋体"/>
                <w:color w:val="auto"/>
                <w:highlight w:val="none"/>
              </w:rPr>
              <w:t>工</w:t>
            </w:r>
            <w:r>
              <w:rPr>
                <w:rFonts w:ascii="宋体" w:hAnsi="宋体"/>
                <w:color w:val="auto"/>
                <w:highlight w:val="none"/>
              </w:rPr>
              <w:t>期</w:t>
            </w:r>
          </w:p>
        </w:tc>
        <w:tc>
          <w:tcPr>
            <w:tcW w:w="6711" w:type="dxa"/>
            <w:tcBorders>
              <w:top w:val="single" w:color="auto" w:sz="4" w:space="0"/>
              <w:left w:val="nil"/>
              <w:bottom w:val="single" w:color="auto" w:sz="4" w:space="0"/>
              <w:right w:val="single" w:color="auto" w:sz="4" w:space="0"/>
            </w:tcBorders>
            <w:vAlign w:val="center"/>
          </w:tcPr>
          <w:p w14:paraId="057587B8">
            <w:pPr>
              <w:spacing w:before="0" w:after="0" w:afterAutospacing="0"/>
              <w:ind w:left="0" w:right="0" w:firstLine="0"/>
              <w:rPr>
                <w:rFonts w:ascii="宋体" w:hAnsi="宋体"/>
                <w:color w:val="auto"/>
                <w:highlight w:val="none"/>
              </w:rPr>
            </w:pPr>
            <w:bookmarkStart w:id="72" w:name="OLE_LINK78"/>
            <w:bookmarkStart w:id="73" w:name="OLE_LINK27"/>
            <w:r>
              <w:rPr>
                <w:rFonts w:hint="eastAsia" w:ascii="宋体" w:hAnsi="宋体"/>
                <w:color w:val="auto"/>
                <w:highlight w:val="none"/>
                <w:lang w:val="zh-CN"/>
              </w:rPr>
              <w:t>合同生效之日起</w:t>
            </w:r>
            <w:r>
              <w:rPr>
                <w:rFonts w:hint="eastAsia" w:ascii="宋体" w:hAnsi="宋体"/>
                <w:color w:val="auto"/>
                <w:highlight w:val="none"/>
                <w:lang w:val="en-US" w:eastAsia="zh-CN"/>
              </w:rPr>
              <w:t>20</w:t>
            </w:r>
            <w:r>
              <w:rPr>
                <w:rFonts w:hint="eastAsia" w:ascii="宋体" w:hAnsi="宋体"/>
                <w:color w:val="auto"/>
                <w:highlight w:val="none"/>
                <w:lang w:val="zh-CN"/>
              </w:rPr>
              <w:t>日历天内提交勘察中间成果文件；合同生效之日起</w:t>
            </w:r>
            <w:r>
              <w:rPr>
                <w:rFonts w:hint="eastAsia" w:ascii="宋体" w:hAnsi="宋体"/>
                <w:color w:val="auto"/>
                <w:highlight w:val="none"/>
                <w:lang w:val="en-US" w:eastAsia="zh-CN"/>
              </w:rPr>
              <w:t>40</w:t>
            </w:r>
            <w:r>
              <w:rPr>
                <w:rFonts w:hint="eastAsia" w:ascii="宋体" w:hAnsi="宋体"/>
                <w:color w:val="auto"/>
                <w:highlight w:val="none"/>
                <w:lang w:val="zh-CN"/>
              </w:rPr>
              <w:t>日历天内提交最终勘察成果文件</w:t>
            </w:r>
            <w:bookmarkEnd w:id="72"/>
            <w:r>
              <w:rPr>
                <w:rFonts w:hint="eastAsia" w:ascii="宋体" w:hAnsi="宋体"/>
                <w:color w:val="auto"/>
                <w:highlight w:val="none"/>
                <w:lang w:val="zh-CN"/>
              </w:rPr>
              <w:t>。</w:t>
            </w:r>
            <w:bookmarkEnd w:id="73"/>
          </w:p>
        </w:tc>
      </w:tr>
      <w:tr w14:paraId="0EB8EAFB">
        <w:tblPrEx>
          <w:tblCellMar>
            <w:top w:w="0" w:type="dxa"/>
            <w:left w:w="108" w:type="dxa"/>
            <w:bottom w:w="0" w:type="dxa"/>
            <w:right w:w="108" w:type="dxa"/>
          </w:tblCellMar>
        </w:tblPrEx>
        <w:trPr>
          <w:trHeight w:val="90" w:hRule="atLeast"/>
        </w:trPr>
        <w:tc>
          <w:tcPr>
            <w:tcW w:w="847" w:type="dxa"/>
            <w:tcBorders>
              <w:top w:val="single" w:color="auto" w:sz="4" w:space="0"/>
              <w:left w:val="single" w:color="auto" w:sz="4" w:space="0"/>
              <w:bottom w:val="single" w:color="auto" w:sz="4" w:space="0"/>
              <w:right w:val="single" w:color="auto" w:sz="4" w:space="0"/>
            </w:tcBorders>
            <w:vAlign w:val="center"/>
          </w:tcPr>
          <w:p w14:paraId="3798F7D5">
            <w:pPr>
              <w:adjustRightInd w:val="0"/>
              <w:snapToGrid w:val="0"/>
              <w:jc w:val="center"/>
              <w:rPr>
                <w:rFonts w:ascii="宋体" w:hAnsi="宋体"/>
                <w:color w:val="auto"/>
                <w:highlight w:val="none"/>
              </w:rPr>
            </w:pPr>
            <w:r>
              <w:rPr>
                <w:color w:val="auto"/>
                <w:highlight w:val="none"/>
                <w:lang w:bidi="ar"/>
              </w:rPr>
              <w:t>1.</w:t>
            </w:r>
            <w:r>
              <w:rPr>
                <w:rFonts w:hint="eastAsia"/>
                <w:color w:val="auto"/>
                <w:highlight w:val="none"/>
                <w:lang w:bidi="ar"/>
              </w:rPr>
              <w:t>7</w:t>
            </w:r>
          </w:p>
        </w:tc>
        <w:tc>
          <w:tcPr>
            <w:tcW w:w="1559" w:type="dxa"/>
            <w:tcBorders>
              <w:top w:val="single" w:color="auto" w:sz="4" w:space="0"/>
              <w:left w:val="nil"/>
              <w:bottom w:val="single" w:color="auto" w:sz="4" w:space="0"/>
              <w:right w:val="single" w:color="auto" w:sz="4" w:space="0"/>
            </w:tcBorders>
            <w:vAlign w:val="center"/>
          </w:tcPr>
          <w:p w14:paraId="6B605054">
            <w:pPr>
              <w:adjustRightInd w:val="0"/>
              <w:snapToGrid w:val="0"/>
              <w:jc w:val="left"/>
              <w:rPr>
                <w:rFonts w:ascii="宋体" w:hAnsi="宋体"/>
                <w:color w:val="auto"/>
                <w:highlight w:val="none"/>
              </w:rPr>
            </w:pPr>
            <w:r>
              <w:rPr>
                <w:rFonts w:hint="eastAsia" w:cs="宋体"/>
                <w:color w:val="auto"/>
                <w:highlight w:val="none"/>
                <w:lang w:bidi="ar"/>
              </w:rPr>
              <w:t>质量要求</w:t>
            </w:r>
          </w:p>
        </w:tc>
        <w:tc>
          <w:tcPr>
            <w:tcW w:w="6711" w:type="dxa"/>
            <w:tcBorders>
              <w:top w:val="single" w:color="auto" w:sz="4" w:space="0"/>
              <w:left w:val="nil"/>
              <w:bottom w:val="single" w:color="auto" w:sz="4" w:space="0"/>
              <w:right w:val="single" w:color="auto" w:sz="4" w:space="0"/>
            </w:tcBorders>
            <w:vAlign w:val="center"/>
          </w:tcPr>
          <w:p w14:paraId="3A40AF6B">
            <w:pPr>
              <w:ind w:left="9" w:hanging="9"/>
              <w:rPr>
                <w:rFonts w:ascii="宋体" w:hAnsi="宋体"/>
                <w:color w:val="auto"/>
                <w:highlight w:val="none"/>
              </w:rPr>
            </w:pPr>
            <w:r>
              <w:rPr>
                <w:rFonts w:hint="eastAsia" w:ascii="宋体" w:hAnsi="宋体" w:cs="宋体"/>
                <w:color w:val="auto"/>
                <w:highlight w:val="none"/>
                <w:lang w:bidi="ar"/>
              </w:rPr>
              <w:t>符合国家规定的工程技术质量标准、设计深度标准及现行技术规范、规程要求。</w:t>
            </w:r>
          </w:p>
        </w:tc>
      </w:tr>
      <w:tr w14:paraId="20689A74">
        <w:tblPrEx>
          <w:tblCellMar>
            <w:top w:w="0" w:type="dxa"/>
            <w:left w:w="108" w:type="dxa"/>
            <w:bottom w:w="0" w:type="dxa"/>
            <w:right w:w="108" w:type="dxa"/>
          </w:tblCellMar>
        </w:tblPrEx>
        <w:trPr>
          <w:trHeight w:val="90" w:hRule="atLeast"/>
        </w:trPr>
        <w:tc>
          <w:tcPr>
            <w:tcW w:w="847" w:type="dxa"/>
            <w:tcBorders>
              <w:top w:val="single" w:color="auto" w:sz="4" w:space="0"/>
              <w:left w:val="single" w:color="auto" w:sz="4" w:space="0"/>
              <w:bottom w:val="single" w:color="auto" w:sz="4" w:space="0"/>
              <w:right w:val="single" w:color="auto" w:sz="4" w:space="0"/>
            </w:tcBorders>
            <w:vAlign w:val="center"/>
          </w:tcPr>
          <w:p w14:paraId="22D74829">
            <w:pPr>
              <w:spacing w:line="360" w:lineRule="exact"/>
              <w:jc w:val="center"/>
              <w:textAlignment w:val="center"/>
              <w:rPr>
                <w:rFonts w:ascii="宋体" w:hAnsi="宋体"/>
                <w:color w:val="auto"/>
                <w:highlight w:val="none"/>
              </w:rPr>
            </w:pPr>
            <w:r>
              <w:rPr>
                <w:rFonts w:hint="eastAsia" w:ascii="华文细黑" w:hAnsi="华文细黑" w:cs="华文细黑"/>
                <w:color w:val="auto"/>
                <w:highlight w:val="none"/>
                <w:lang w:bidi="ar"/>
              </w:rPr>
              <w:t>1.8</w:t>
            </w:r>
          </w:p>
        </w:tc>
        <w:tc>
          <w:tcPr>
            <w:tcW w:w="1559" w:type="dxa"/>
            <w:tcBorders>
              <w:top w:val="single" w:color="auto" w:sz="4" w:space="0"/>
              <w:left w:val="nil"/>
              <w:bottom w:val="single" w:color="auto" w:sz="4" w:space="0"/>
              <w:right w:val="single" w:color="auto" w:sz="4" w:space="0"/>
            </w:tcBorders>
            <w:vAlign w:val="center"/>
          </w:tcPr>
          <w:p w14:paraId="4723BD4B">
            <w:pPr>
              <w:adjustRightInd w:val="0"/>
              <w:snapToGrid w:val="0"/>
              <w:jc w:val="left"/>
              <w:rPr>
                <w:rFonts w:ascii="宋体" w:hAnsi="宋体"/>
                <w:color w:val="auto"/>
                <w:highlight w:val="none"/>
              </w:rPr>
            </w:pPr>
            <w:r>
              <w:rPr>
                <w:rFonts w:hint="eastAsia" w:cs="宋体"/>
                <w:color w:val="auto"/>
                <w:highlight w:val="none"/>
                <w:lang w:bidi="ar"/>
              </w:rPr>
              <w:t>成果要求</w:t>
            </w:r>
          </w:p>
        </w:tc>
        <w:tc>
          <w:tcPr>
            <w:tcW w:w="6711" w:type="dxa"/>
            <w:tcBorders>
              <w:top w:val="single" w:color="auto" w:sz="4" w:space="0"/>
              <w:left w:val="nil"/>
              <w:bottom w:val="single" w:color="auto" w:sz="4" w:space="0"/>
              <w:right w:val="single" w:color="auto" w:sz="4" w:space="0"/>
            </w:tcBorders>
            <w:vAlign w:val="center"/>
          </w:tcPr>
          <w:p w14:paraId="1DA0C580">
            <w:pPr>
              <w:pStyle w:val="35"/>
              <w:snapToGrid w:val="0"/>
              <w:spacing w:line="360" w:lineRule="auto"/>
              <w:rPr>
                <w:rFonts w:hint="default" w:ascii="宋体" w:hAnsi="宋体"/>
                <w:color w:val="auto"/>
                <w:highlight w:val="none"/>
                <w:lang w:val="en-US"/>
              </w:rPr>
            </w:pPr>
            <w:r>
              <w:rPr>
                <w:rFonts w:hint="eastAsia" w:ascii="宋体" w:hAnsi="宋体" w:eastAsia="宋体" w:cs="宋体"/>
                <w:b w:val="0"/>
                <w:bCs/>
                <w:color w:val="auto"/>
                <w:kern w:val="0"/>
                <w:sz w:val="21"/>
                <w:szCs w:val="21"/>
                <w:highlight w:val="none"/>
                <w:lang w:val="en-US" w:eastAsia="zh-CN"/>
              </w:rPr>
              <w:t>详细勘察报告</w:t>
            </w:r>
          </w:p>
        </w:tc>
      </w:tr>
      <w:tr w14:paraId="13410636">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1520F318">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1.9</w:t>
            </w:r>
          </w:p>
        </w:tc>
        <w:tc>
          <w:tcPr>
            <w:tcW w:w="1559" w:type="dxa"/>
            <w:tcBorders>
              <w:top w:val="single" w:color="auto" w:sz="4" w:space="0"/>
              <w:left w:val="nil"/>
              <w:bottom w:val="single" w:color="auto" w:sz="4" w:space="0"/>
              <w:right w:val="single" w:color="auto" w:sz="4" w:space="0"/>
            </w:tcBorders>
            <w:vAlign w:val="center"/>
          </w:tcPr>
          <w:p w14:paraId="7CD1CD19">
            <w:pPr>
              <w:spacing w:before="0" w:after="0" w:afterAutospacing="0"/>
              <w:ind w:left="0" w:right="0" w:firstLine="0"/>
              <w:rPr>
                <w:rFonts w:ascii="宋体" w:hAnsi="宋体"/>
                <w:color w:val="auto"/>
                <w:highlight w:val="none"/>
              </w:rPr>
            </w:pPr>
            <w:r>
              <w:rPr>
                <w:rFonts w:hint="eastAsia" w:ascii="宋体" w:hAnsi="宋体"/>
                <w:color w:val="auto"/>
                <w:highlight w:val="none"/>
              </w:rPr>
              <w:t>资金来源</w:t>
            </w:r>
          </w:p>
        </w:tc>
        <w:tc>
          <w:tcPr>
            <w:tcW w:w="6711" w:type="dxa"/>
            <w:tcBorders>
              <w:top w:val="single" w:color="auto" w:sz="4" w:space="0"/>
              <w:left w:val="nil"/>
              <w:bottom w:val="single" w:color="auto" w:sz="4" w:space="0"/>
              <w:right w:val="single" w:color="auto" w:sz="4" w:space="0"/>
            </w:tcBorders>
            <w:vAlign w:val="center"/>
          </w:tcPr>
          <w:p w14:paraId="3988344F">
            <w:pPr>
              <w:spacing w:before="0" w:after="0" w:afterAutospacing="0"/>
              <w:ind w:left="0" w:right="0" w:firstLine="0"/>
              <w:rPr>
                <w:rFonts w:hint="default" w:ascii="宋体" w:hAnsi="宋体" w:eastAsia="宋体"/>
                <w:color w:val="auto"/>
                <w:highlight w:val="none"/>
                <w:lang w:val="en-US" w:eastAsia="zh-CN"/>
              </w:rPr>
            </w:pPr>
            <w:r>
              <w:rPr>
                <w:rFonts w:hint="eastAsia" w:ascii="宋体" w:hAnsi="宋体"/>
                <w:color w:val="auto"/>
                <w:highlight w:val="none"/>
                <w:lang w:val="en-US" w:eastAsia="zh-CN"/>
              </w:rPr>
              <w:t>财政资金</w:t>
            </w:r>
          </w:p>
        </w:tc>
      </w:tr>
      <w:tr w14:paraId="3F40E1FD">
        <w:tblPrEx>
          <w:tblCellMar>
            <w:top w:w="0" w:type="dxa"/>
            <w:left w:w="108" w:type="dxa"/>
            <w:bottom w:w="0" w:type="dxa"/>
            <w:right w:w="108" w:type="dxa"/>
          </w:tblCellMar>
        </w:tblPrEx>
        <w:trPr>
          <w:trHeight w:val="1188" w:hRule="atLeast"/>
        </w:trPr>
        <w:tc>
          <w:tcPr>
            <w:tcW w:w="847" w:type="dxa"/>
            <w:tcBorders>
              <w:top w:val="single" w:color="auto" w:sz="4" w:space="0"/>
              <w:left w:val="single" w:color="auto" w:sz="4" w:space="0"/>
              <w:bottom w:val="single" w:color="auto" w:sz="4" w:space="0"/>
              <w:right w:val="single" w:color="auto" w:sz="4" w:space="0"/>
            </w:tcBorders>
            <w:vAlign w:val="center"/>
          </w:tcPr>
          <w:p w14:paraId="0171CCD3">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1.10</w:t>
            </w:r>
          </w:p>
        </w:tc>
        <w:tc>
          <w:tcPr>
            <w:tcW w:w="1559" w:type="dxa"/>
            <w:tcBorders>
              <w:top w:val="single" w:color="auto" w:sz="4" w:space="0"/>
              <w:left w:val="nil"/>
              <w:bottom w:val="single" w:color="auto" w:sz="4" w:space="0"/>
              <w:right w:val="single" w:color="auto" w:sz="4" w:space="0"/>
            </w:tcBorders>
            <w:vAlign w:val="center"/>
          </w:tcPr>
          <w:p w14:paraId="06DA43FE">
            <w:pPr>
              <w:spacing w:before="0" w:after="0" w:afterAutospacing="0"/>
              <w:ind w:left="0" w:right="0" w:firstLine="0"/>
              <w:rPr>
                <w:rFonts w:ascii="宋体" w:hAnsi="宋体"/>
                <w:color w:val="auto"/>
                <w:highlight w:val="none"/>
              </w:rPr>
            </w:pPr>
            <w:r>
              <w:rPr>
                <w:rFonts w:hint="eastAsia" w:ascii="宋体" w:hAnsi="宋体"/>
                <w:color w:val="auto"/>
                <w:highlight w:val="none"/>
              </w:rPr>
              <w:t>上限控制价</w:t>
            </w:r>
          </w:p>
        </w:tc>
        <w:tc>
          <w:tcPr>
            <w:tcW w:w="6711" w:type="dxa"/>
            <w:tcBorders>
              <w:top w:val="single" w:color="auto" w:sz="4" w:space="0"/>
              <w:left w:val="nil"/>
              <w:bottom w:val="single" w:color="auto" w:sz="4" w:space="0"/>
              <w:right w:val="single" w:color="auto" w:sz="4" w:space="0"/>
            </w:tcBorders>
            <w:vAlign w:val="center"/>
          </w:tcPr>
          <w:p w14:paraId="69D88DE2">
            <w:pPr>
              <w:spacing w:before="0" w:after="0" w:afterAutospacing="0"/>
              <w:ind w:left="0" w:right="0" w:firstLine="0"/>
              <w:rPr>
                <w:rFonts w:ascii="宋体" w:hAnsi="宋体"/>
                <w:color w:val="auto"/>
                <w:highlight w:val="none"/>
              </w:rPr>
            </w:pPr>
            <w:r>
              <w:rPr>
                <w:rFonts w:hint="eastAsia" w:ascii="宋体" w:hAnsi="宋体"/>
                <w:color w:val="auto"/>
                <w:highlight w:val="none"/>
              </w:rPr>
              <w:t>上限控制价：</w:t>
            </w:r>
            <w:bookmarkStart w:id="74" w:name="OLE_LINK55"/>
            <w:r>
              <w:rPr>
                <w:rFonts w:hint="eastAsia" w:ascii="宋体" w:hAnsi="宋体"/>
                <w:color w:val="auto"/>
                <w:highlight w:val="none"/>
                <w:lang w:val="zh-CN"/>
              </w:rPr>
              <w:t>含税人民币</w:t>
            </w:r>
            <w:r>
              <w:rPr>
                <w:rFonts w:hint="eastAsia" w:ascii="宋体" w:hAnsi="宋体"/>
                <w:color w:val="auto"/>
                <w:highlight w:val="none"/>
                <w:lang w:val="en-US" w:eastAsia="zh-CN"/>
              </w:rPr>
              <w:t>579907.00</w:t>
            </w:r>
            <w:r>
              <w:rPr>
                <w:rFonts w:hint="eastAsia" w:ascii="宋体" w:hAnsi="宋体"/>
                <w:color w:val="auto"/>
                <w:highlight w:val="none"/>
                <w:lang w:val="zh-CN"/>
              </w:rPr>
              <w:t>元</w:t>
            </w:r>
            <w:r>
              <w:rPr>
                <w:rFonts w:hint="eastAsia" w:ascii="宋体" w:hAnsi="宋体"/>
                <w:color w:val="auto"/>
                <w:highlight w:val="none"/>
              </w:rPr>
              <w:t>。</w:t>
            </w:r>
            <w:bookmarkEnd w:id="74"/>
            <w:r>
              <w:rPr>
                <w:rFonts w:hint="eastAsia" w:ascii="宋体" w:hAnsi="宋体"/>
                <w:color w:val="auto"/>
                <w:highlight w:val="none"/>
              </w:rPr>
              <w:t>比选申请报价高于上限控制价（或分项上限控制价）的比选申请文件将按否决比选申请处理。</w:t>
            </w:r>
          </w:p>
        </w:tc>
      </w:tr>
      <w:tr w14:paraId="64EE9BD1">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14:paraId="66FEE456">
            <w:pPr>
              <w:spacing w:before="0" w:after="0" w:afterAutospacing="0"/>
              <w:ind w:left="0" w:right="0" w:firstLine="0"/>
              <w:jc w:val="center"/>
              <w:rPr>
                <w:rFonts w:ascii="宋体" w:hAnsi="宋体"/>
                <w:color w:val="auto"/>
                <w:highlight w:val="none"/>
              </w:rPr>
            </w:pPr>
            <w:r>
              <w:rPr>
                <w:rFonts w:hint="eastAsia" w:ascii="宋体" w:hAnsi="宋体"/>
                <w:color w:val="auto"/>
                <w:highlight w:val="none"/>
              </w:rPr>
              <w:t>2.1</w:t>
            </w:r>
          </w:p>
        </w:tc>
        <w:tc>
          <w:tcPr>
            <w:tcW w:w="1559" w:type="dxa"/>
            <w:tcBorders>
              <w:top w:val="single" w:color="auto" w:sz="4" w:space="0"/>
              <w:left w:val="nil"/>
              <w:bottom w:val="single" w:color="auto" w:sz="4" w:space="0"/>
              <w:right w:val="single" w:color="auto" w:sz="4" w:space="0"/>
            </w:tcBorders>
            <w:vAlign w:val="center"/>
          </w:tcPr>
          <w:p w14:paraId="6DE64533">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14:paraId="3AEF04DA">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eastAsia="宋体"/>
                <w:color w:val="auto"/>
                <w:highlight w:val="none"/>
                <w:lang w:eastAsia="zh-CN"/>
              </w:rPr>
            </w:pPr>
            <w:r>
              <w:rPr>
                <w:rFonts w:hint="eastAsia" w:ascii="宋体" w:hAnsi="宋体"/>
                <w:color w:val="auto"/>
                <w:highlight w:val="none"/>
              </w:rPr>
              <w:t>3.1 比选申请人为中华人民共和国境内依法设立的法人或其他组织</w:t>
            </w:r>
            <w:r>
              <w:rPr>
                <w:rFonts w:hint="eastAsia" w:ascii="宋体" w:hAnsi="宋体"/>
                <w:color w:val="auto"/>
                <w:highlight w:val="none"/>
                <w:lang w:eastAsia="zh-CN"/>
              </w:rPr>
              <w:t>。</w:t>
            </w:r>
          </w:p>
          <w:p w14:paraId="77D9A495">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color w:val="auto"/>
                <w:highlight w:val="none"/>
                <w:lang w:val="zh-CN" w:eastAsia="zh-CN"/>
              </w:rPr>
            </w:pPr>
            <w:r>
              <w:rPr>
                <w:rFonts w:hint="eastAsia" w:ascii="宋体" w:hAnsi="宋体"/>
                <w:color w:val="auto"/>
                <w:highlight w:val="none"/>
              </w:rPr>
              <w:t>3.2</w:t>
            </w:r>
            <w:r>
              <w:rPr>
                <w:rFonts w:hint="eastAsia" w:ascii="宋体" w:hAnsi="宋体"/>
                <w:color w:val="auto"/>
                <w:highlight w:val="none"/>
                <w:lang w:val="zh-CN"/>
              </w:rPr>
              <w:t>本次</w:t>
            </w:r>
            <w:r>
              <w:rPr>
                <w:rFonts w:hint="eastAsia" w:ascii="宋体" w:hAnsi="宋体"/>
                <w:color w:val="auto"/>
                <w:highlight w:val="none"/>
              </w:rPr>
              <w:t>比选</w:t>
            </w:r>
            <w:r>
              <w:rPr>
                <w:rFonts w:hint="eastAsia" w:ascii="宋体" w:hAnsi="宋体"/>
                <w:color w:val="auto"/>
                <w:highlight w:val="none"/>
                <w:lang w:val="zh-CN"/>
              </w:rPr>
              <w:t>要求</w:t>
            </w:r>
            <w:r>
              <w:rPr>
                <w:rFonts w:hint="eastAsia" w:ascii="宋体" w:hAnsi="宋体"/>
                <w:color w:val="auto"/>
                <w:highlight w:val="none"/>
              </w:rPr>
              <w:t>比选申请</w:t>
            </w:r>
            <w:r>
              <w:rPr>
                <w:rFonts w:hint="eastAsia" w:ascii="宋体" w:hAnsi="宋体"/>
                <w:color w:val="auto"/>
                <w:highlight w:val="none"/>
                <w:lang w:val="zh-CN"/>
              </w:rPr>
              <w:t>人须具备建设主管部门颁发的以下资质之一：</w:t>
            </w:r>
            <w:bookmarkStart w:id="75" w:name="OLE_LINK48"/>
            <w:r>
              <w:rPr>
                <w:rFonts w:hint="eastAsia" w:ascii="宋体" w:hAnsi="宋体" w:cs="宋体"/>
                <w:bCs/>
                <w:color w:val="auto"/>
                <w:highlight w:val="none"/>
                <w:lang w:val="zh-CN"/>
              </w:rPr>
              <w:t>①工程勘察专业类（岩土工程勘察）甲级资质；②工程勘察专业类（岩土工程）甲级资质；③工程勘察综合类甲级资质。</w:t>
            </w:r>
            <w:bookmarkEnd w:id="75"/>
          </w:p>
          <w:p w14:paraId="25FD3979">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color w:val="auto"/>
                <w:highlight w:val="none"/>
                <w:lang w:val="en-US" w:eastAsia="zh-CN"/>
              </w:rPr>
            </w:pPr>
            <w:r>
              <w:rPr>
                <w:rFonts w:hint="eastAsia" w:ascii="宋体" w:hAnsi="宋体"/>
                <w:color w:val="auto"/>
                <w:highlight w:val="none"/>
                <w:lang w:val="en-US" w:eastAsia="zh-CN"/>
              </w:rPr>
              <w:t>3.3</w:t>
            </w:r>
            <w:r>
              <w:rPr>
                <w:rFonts w:hint="eastAsia" w:ascii="宋体" w:hAnsi="宋体"/>
                <w:color w:val="auto"/>
                <w:highlight w:val="none"/>
              </w:rPr>
              <w:t>项目负责人的资格要求：</w:t>
            </w:r>
            <w:bookmarkStart w:id="76" w:name="OLE_LINK40"/>
            <w:r>
              <w:rPr>
                <w:rFonts w:hint="eastAsia" w:ascii="宋体" w:hAnsi="宋体"/>
                <w:color w:val="auto"/>
                <w:highlight w:val="none"/>
              </w:rPr>
              <w:t>项目负责人具有注册土木工程师（岩土）执业资格</w:t>
            </w:r>
            <w:bookmarkEnd w:id="76"/>
            <w:r>
              <w:rPr>
                <w:rFonts w:hint="eastAsia" w:ascii="宋体" w:hAnsi="宋体"/>
                <w:color w:val="auto"/>
                <w:highlight w:val="none"/>
                <w:lang w:eastAsia="zh-CN"/>
              </w:rPr>
              <w:t>。</w:t>
            </w:r>
          </w:p>
          <w:p w14:paraId="1420A060">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eastAsia="宋体"/>
                <w:color w:val="auto"/>
                <w:highlight w:val="none"/>
                <w:lang w:eastAsia="zh-CN"/>
              </w:rPr>
            </w:pPr>
            <w:r>
              <w:rPr>
                <w:rFonts w:hint="eastAsia" w:ascii="宋体" w:hAnsi="宋体"/>
                <w:color w:val="auto"/>
                <w:highlight w:val="none"/>
              </w:rPr>
              <w:t>3.</w:t>
            </w:r>
            <w:r>
              <w:rPr>
                <w:rFonts w:hint="eastAsia" w:ascii="宋体" w:hAnsi="宋体"/>
                <w:color w:val="auto"/>
                <w:highlight w:val="none"/>
                <w:lang w:val="en-US" w:eastAsia="zh-CN"/>
              </w:rPr>
              <w:t>4</w:t>
            </w:r>
            <w:r>
              <w:rPr>
                <w:rFonts w:hint="eastAsia" w:ascii="宋体" w:hAnsi="宋体"/>
                <w:color w:val="auto"/>
                <w:highlight w:val="none"/>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r>
              <w:rPr>
                <w:rFonts w:hint="eastAsia" w:ascii="宋体" w:hAnsi="宋体"/>
                <w:color w:val="auto"/>
                <w:highlight w:val="none"/>
                <w:lang w:eastAsia="zh-CN"/>
              </w:rPr>
              <w:t>。</w:t>
            </w:r>
          </w:p>
          <w:p w14:paraId="776F7E00">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color w:val="auto"/>
                <w:highlight w:val="none"/>
                <w:lang w:eastAsia="zh-CN"/>
              </w:rPr>
            </w:pPr>
            <w:r>
              <w:rPr>
                <w:rFonts w:hint="eastAsia" w:ascii="宋体" w:hAnsi="宋体"/>
                <w:color w:val="auto"/>
                <w:highlight w:val="none"/>
              </w:rPr>
              <w:t>3.</w:t>
            </w:r>
            <w:r>
              <w:rPr>
                <w:rFonts w:hint="eastAsia" w:ascii="宋体" w:hAnsi="宋体"/>
                <w:color w:val="auto"/>
                <w:highlight w:val="none"/>
                <w:lang w:val="en-US" w:eastAsia="zh-CN"/>
              </w:rPr>
              <w:t>5</w:t>
            </w:r>
            <w:r>
              <w:rPr>
                <w:rFonts w:hint="eastAsia" w:ascii="宋体" w:hAnsi="宋体"/>
                <w:color w:val="auto"/>
                <w:highlight w:val="none"/>
              </w:rPr>
              <w:t>单位负责人为同一人或者存在控股、管理关系的不同单位，不得参加同一标段比选申请或者未划分标段的同一比选项目比选申请</w:t>
            </w:r>
            <w:r>
              <w:rPr>
                <w:rFonts w:hint="eastAsia" w:ascii="宋体" w:hAnsi="宋体"/>
                <w:color w:val="auto"/>
                <w:highlight w:val="none"/>
                <w:lang w:eastAsia="zh-CN"/>
              </w:rPr>
              <w:t>。</w:t>
            </w:r>
          </w:p>
          <w:p w14:paraId="06B001E2">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6业绩条件：</w:t>
            </w:r>
            <w:r>
              <w:rPr>
                <w:rFonts w:hint="eastAsia" w:ascii="宋体" w:hAnsi="宋体"/>
                <w:color w:val="auto"/>
                <w:highlight w:val="none"/>
                <w:lang w:eastAsia="zh-CN"/>
              </w:rPr>
              <w:t>比选申请人自</w:t>
            </w:r>
            <w:r>
              <w:rPr>
                <w:rFonts w:hint="eastAsia" w:ascii="宋体" w:hAnsi="宋体"/>
                <w:color w:val="auto"/>
                <w:highlight w:val="none"/>
              </w:rPr>
              <w:t>202</w:t>
            </w:r>
            <w:r>
              <w:rPr>
                <w:rFonts w:hint="eastAsia" w:ascii="宋体" w:hAnsi="宋体"/>
                <w:color w:val="auto"/>
                <w:highlight w:val="none"/>
                <w:lang w:val="en-US" w:eastAsia="zh-CN"/>
              </w:rPr>
              <w:t>1</w:t>
            </w:r>
            <w:r>
              <w:rPr>
                <w:rFonts w:hint="eastAsia" w:ascii="宋体" w:hAnsi="宋体"/>
                <w:color w:val="auto"/>
                <w:highlight w:val="none"/>
              </w:rPr>
              <w:t>年1月1日至今承接过</w:t>
            </w:r>
            <w:r>
              <w:rPr>
                <w:rFonts w:hint="eastAsia" w:ascii="宋体" w:hAnsi="宋体"/>
                <w:color w:val="auto"/>
                <w:highlight w:val="none"/>
                <w:lang w:eastAsia="zh-CN"/>
              </w:rPr>
              <w:t>1个单项合同金额</w:t>
            </w:r>
            <w:r>
              <w:rPr>
                <w:rFonts w:hint="eastAsia" w:ascii="宋体" w:hAnsi="宋体"/>
                <w:color w:val="auto"/>
                <w:highlight w:val="none"/>
                <w:lang w:val="en-US" w:eastAsia="zh-CN"/>
              </w:rPr>
              <w:t>2</w:t>
            </w:r>
            <w:r>
              <w:rPr>
                <w:rFonts w:hint="eastAsia" w:ascii="宋体" w:hAnsi="宋体"/>
                <w:color w:val="auto"/>
                <w:highlight w:val="none"/>
                <w:lang w:eastAsia="zh-CN"/>
              </w:rPr>
              <w:t>0万</w:t>
            </w:r>
            <w:r>
              <w:rPr>
                <w:rFonts w:hint="eastAsia" w:ascii="宋体" w:hAnsi="宋体"/>
                <w:color w:val="auto"/>
                <w:highlight w:val="none"/>
              </w:rPr>
              <w:t>以上（含</w:t>
            </w:r>
            <w:r>
              <w:rPr>
                <w:rFonts w:hint="eastAsia" w:ascii="宋体" w:hAnsi="宋体"/>
                <w:color w:val="auto"/>
                <w:highlight w:val="none"/>
                <w:lang w:val="en-US" w:eastAsia="zh-CN"/>
              </w:rPr>
              <w:t>20</w:t>
            </w:r>
            <w:r>
              <w:rPr>
                <w:rFonts w:hint="eastAsia" w:ascii="宋体" w:hAnsi="宋体"/>
                <w:color w:val="auto"/>
                <w:highlight w:val="none"/>
              </w:rPr>
              <w:t>万）</w:t>
            </w:r>
            <w:r>
              <w:rPr>
                <w:rFonts w:hint="eastAsia" w:ascii="宋体" w:hAnsi="宋体"/>
                <w:color w:val="auto"/>
                <w:highlight w:val="none"/>
                <w:lang w:val="en-US" w:eastAsia="zh-CN"/>
              </w:rPr>
              <w:t>勘察</w:t>
            </w:r>
            <w:r>
              <w:rPr>
                <w:rFonts w:hint="eastAsia" w:ascii="宋体" w:hAnsi="宋体"/>
                <w:color w:val="auto"/>
                <w:highlight w:val="none"/>
              </w:rPr>
              <w:t>服务项目</w:t>
            </w:r>
            <w:r>
              <w:rPr>
                <w:rFonts w:hint="eastAsia" w:ascii="宋体" w:hAnsi="宋体"/>
                <w:color w:val="auto"/>
                <w:highlight w:val="none"/>
                <w:lang w:eastAsia="zh-CN"/>
              </w:rPr>
              <w:t>。</w:t>
            </w:r>
            <w:r>
              <w:rPr>
                <w:rFonts w:hint="eastAsia" w:ascii="宋体" w:hAnsi="宋体"/>
                <w:color w:val="auto"/>
                <w:highlight w:val="none"/>
                <w:lang w:val="en-US" w:eastAsia="zh-CN"/>
              </w:rPr>
              <w:t>业绩</w:t>
            </w:r>
            <w:r>
              <w:rPr>
                <w:rFonts w:hint="eastAsia" w:ascii="宋体" w:hAnsi="宋体"/>
                <w:color w:val="auto"/>
                <w:highlight w:val="none"/>
                <w:lang w:eastAsia="zh-CN"/>
              </w:rPr>
              <w:t>证明材料：提供下述材料之一即可：①合同文件；②中标通知书，提供复印件加盖比选申请人公章，原件备查）；</w:t>
            </w:r>
          </w:p>
          <w:p w14:paraId="553266F1">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ascii="宋体" w:hAnsi="宋体"/>
                <w:color w:val="auto"/>
                <w:highlight w:val="none"/>
              </w:rPr>
            </w:pPr>
            <w:r>
              <w:rPr>
                <w:rFonts w:hint="eastAsia" w:ascii="宋体" w:hAnsi="宋体"/>
                <w:color w:val="auto"/>
                <w:highlight w:val="none"/>
                <w:lang w:val="en-US" w:eastAsia="zh-CN"/>
              </w:rPr>
              <w:t>3.7</w:t>
            </w:r>
            <w:r>
              <w:rPr>
                <w:rFonts w:hint="eastAsia" w:ascii="宋体" w:hAnsi="宋体"/>
                <w:color w:val="auto"/>
                <w:highlight w:val="none"/>
              </w:rPr>
              <w:t>本次比选不接</w:t>
            </w:r>
            <w:bookmarkStart w:id="77" w:name="OLE_LINK20"/>
            <w:r>
              <w:rPr>
                <w:rFonts w:hint="eastAsia" w:ascii="宋体" w:hAnsi="宋体"/>
                <w:color w:val="auto"/>
                <w:highlight w:val="none"/>
              </w:rPr>
              <w:t>受联合体申</w:t>
            </w:r>
            <w:bookmarkEnd w:id="77"/>
            <w:r>
              <w:rPr>
                <w:rFonts w:hint="eastAsia" w:ascii="宋体" w:hAnsi="宋体"/>
                <w:color w:val="auto"/>
                <w:highlight w:val="none"/>
              </w:rPr>
              <w:t>请。</w:t>
            </w:r>
          </w:p>
        </w:tc>
      </w:tr>
      <w:tr w14:paraId="22A392F8">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1C92C3A8">
            <w:pPr>
              <w:spacing w:before="0" w:after="0" w:afterAutospacing="0"/>
              <w:ind w:left="0" w:right="0" w:firstLine="0"/>
              <w:rPr>
                <w:rFonts w:ascii="宋体" w:hAnsi="宋体"/>
                <w:color w:val="auto"/>
                <w:highlight w:val="none"/>
              </w:rPr>
            </w:pPr>
            <w:r>
              <w:rPr>
                <w:rFonts w:hint="eastAsia" w:ascii="宋体" w:hAnsi="宋体"/>
                <w:color w:val="auto"/>
                <w:highlight w:val="none"/>
              </w:rPr>
              <w:t>3.1</w:t>
            </w:r>
          </w:p>
        </w:tc>
        <w:tc>
          <w:tcPr>
            <w:tcW w:w="1559" w:type="dxa"/>
            <w:tcBorders>
              <w:top w:val="single" w:color="auto" w:sz="4" w:space="0"/>
              <w:left w:val="nil"/>
              <w:bottom w:val="single" w:color="auto" w:sz="4" w:space="0"/>
              <w:right w:val="single" w:color="auto" w:sz="4" w:space="0"/>
            </w:tcBorders>
            <w:vAlign w:val="center"/>
          </w:tcPr>
          <w:p w14:paraId="52FADBD2">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比选申请人要求澄清比选文件</w:t>
            </w:r>
          </w:p>
          <w:p w14:paraId="4C4DF59F">
            <w:pPr>
              <w:spacing w:before="0" w:after="0" w:afterAutospacing="0"/>
              <w:ind w:left="0" w:right="0" w:firstLine="0"/>
              <w:rPr>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6BA96C27">
            <w:pPr>
              <w:spacing w:before="0" w:after="0" w:afterAutospacing="0"/>
              <w:ind w:left="0" w:right="0" w:firstLine="0"/>
              <w:rPr>
                <w:rFonts w:ascii="宋体" w:hAnsi="宋体"/>
                <w:color w:val="auto"/>
                <w:highlight w:val="none"/>
              </w:rPr>
            </w:pPr>
            <w:r>
              <w:rPr>
                <w:rFonts w:hint="eastAsia" w:ascii="宋体" w:hAnsi="宋体"/>
                <w:color w:val="auto"/>
                <w:highlight w:val="none"/>
              </w:rPr>
              <w:t>对比选文件提出疑问的截止时间：采购公告发布后的前3日。比选申请人不在规定期限内提出，比选人有权不予答复，或答复后比选申请截止时间由比选人确定是否顺延。</w:t>
            </w:r>
          </w:p>
          <w:p w14:paraId="4A95AD12">
            <w:pPr>
              <w:spacing w:before="0" w:after="0" w:afterAutospacing="0"/>
              <w:ind w:left="0" w:right="0" w:firstLine="0"/>
              <w:rPr>
                <w:rFonts w:ascii="宋体" w:hAnsi="宋体"/>
                <w:color w:val="auto"/>
                <w:highlight w:val="none"/>
                <w:u w:val="single"/>
              </w:rPr>
            </w:pPr>
            <w:r>
              <w:rPr>
                <w:rFonts w:hint="eastAsia" w:ascii="宋体" w:hAnsi="宋体"/>
                <w:color w:val="auto"/>
                <w:highlight w:val="none"/>
              </w:rPr>
              <w:t>形式：书面为准（加盖比选申请人法人单位公章，电子扫描件有效）</w:t>
            </w:r>
          </w:p>
        </w:tc>
      </w:tr>
      <w:tr w14:paraId="79C7A48D">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6F10468E">
            <w:pPr>
              <w:spacing w:before="0" w:after="0" w:afterAutospacing="0"/>
              <w:ind w:left="0" w:right="0" w:firstLine="0"/>
              <w:rPr>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1EBA22AF">
            <w:pPr>
              <w:spacing w:before="0" w:after="0" w:afterAutospacing="0"/>
              <w:ind w:left="0" w:right="0" w:firstLine="0"/>
              <w:rPr>
                <w:rFonts w:ascii="宋体" w:hAnsi="宋体"/>
                <w:color w:val="auto"/>
                <w:highlight w:val="none"/>
              </w:rPr>
            </w:pPr>
            <w:r>
              <w:rPr>
                <w:rFonts w:hint="eastAsia" w:ascii="宋体" w:hAnsi="宋体"/>
                <w:color w:val="auto"/>
                <w:highlight w:val="none"/>
              </w:rPr>
              <w:t>比选文件澄清发布方式</w:t>
            </w:r>
          </w:p>
        </w:tc>
        <w:tc>
          <w:tcPr>
            <w:tcW w:w="6711" w:type="dxa"/>
            <w:tcBorders>
              <w:top w:val="single" w:color="auto" w:sz="4" w:space="0"/>
              <w:left w:val="nil"/>
              <w:bottom w:val="single" w:color="auto" w:sz="4" w:space="0"/>
              <w:right w:val="single" w:color="auto" w:sz="4" w:space="0"/>
            </w:tcBorders>
            <w:vAlign w:val="center"/>
          </w:tcPr>
          <w:p w14:paraId="1033E88B">
            <w:pPr>
              <w:spacing w:before="0" w:after="0" w:afterAutospacing="0"/>
              <w:ind w:left="0" w:right="0" w:firstLine="0"/>
              <w:rPr>
                <w:rFonts w:ascii="宋体" w:hAnsi="宋体"/>
                <w:color w:val="auto"/>
                <w:highlight w:val="none"/>
              </w:rPr>
            </w:pPr>
            <w:r>
              <w:rPr>
                <w:rFonts w:hint="eastAsia" w:ascii="宋体" w:hAnsi="宋体"/>
                <w:color w:val="auto"/>
                <w:highlight w:val="none"/>
                <w:lang w:val="en-US" w:eastAsia="zh-CN"/>
              </w:rPr>
              <w:t>在</w:t>
            </w:r>
            <w:r>
              <w:rPr>
                <w:rFonts w:hint="eastAsia" w:ascii="宋体" w:hAnsi="宋体"/>
                <w:color w:val="auto"/>
                <w:highlight w:val="none"/>
              </w:rPr>
              <w:t>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5"/>
                <w:rFonts w:hint="eastAsia" w:ascii="宋体" w:hAnsi="宋体"/>
                <w:color w:val="auto"/>
                <w:highlight w:val="none"/>
              </w:rPr>
              <w:t>http://www.nngddc.com</w:t>
            </w:r>
            <w:r>
              <w:rPr>
                <w:rStyle w:val="45"/>
                <w:rFonts w:hint="eastAsia" w:ascii="宋体" w:hAnsi="宋体"/>
                <w:color w:val="auto"/>
                <w:highlight w:val="none"/>
              </w:rPr>
              <w:fldChar w:fldCharType="end"/>
            </w:r>
            <w:r>
              <w:rPr>
                <w:rFonts w:hint="eastAsia" w:ascii="宋体" w:hAnsi="宋体"/>
                <w:color w:val="auto"/>
                <w:highlight w:val="none"/>
              </w:rPr>
              <w:t>)发布</w:t>
            </w:r>
          </w:p>
        </w:tc>
      </w:tr>
      <w:tr w14:paraId="584CD56E">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5776A755">
            <w:pPr>
              <w:spacing w:before="0" w:after="0" w:afterAutospacing="0"/>
              <w:ind w:left="0" w:right="0" w:firstLine="0"/>
              <w:rPr>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4E665C37">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14:paraId="76138651">
            <w:pPr>
              <w:spacing w:before="0" w:after="0" w:afterAutospacing="0"/>
              <w:ind w:left="0" w:right="0" w:firstLine="0"/>
              <w:rPr>
                <w:rFonts w:ascii="宋体" w:hAnsi="宋体"/>
                <w:color w:val="auto"/>
                <w:highlight w:val="none"/>
              </w:rPr>
            </w:pPr>
            <w:r>
              <w:rPr>
                <w:rFonts w:hint="eastAsia" w:ascii="宋体" w:hAnsi="宋体"/>
                <w:color w:val="auto"/>
                <w:highlight w:val="none"/>
              </w:rPr>
              <w:t>不需要确认。澄清文件在发布公告的网站上发布之日起，视为比选申请人已收到该澄清。比选申请人未及时关注比选人在网站上发布的澄清文件造成的损失，由比选申请人自行负责。</w:t>
            </w:r>
          </w:p>
        </w:tc>
      </w:tr>
      <w:tr w14:paraId="744AC2EC">
        <w:tblPrEx>
          <w:tblCellMar>
            <w:top w:w="0" w:type="dxa"/>
            <w:left w:w="108" w:type="dxa"/>
            <w:bottom w:w="0" w:type="dxa"/>
            <w:right w:w="108" w:type="dxa"/>
          </w:tblCellMar>
        </w:tblPrEx>
        <w:trPr>
          <w:trHeight w:val="433" w:hRule="atLeast"/>
        </w:trPr>
        <w:tc>
          <w:tcPr>
            <w:tcW w:w="847" w:type="dxa"/>
            <w:tcBorders>
              <w:top w:val="single" w:color="auto" w:sz="4" w:space="0"/>
              <w:left w:val="single" w:color="auto" w:sz="4" w:space="0"/>
              <w:bottom w:val="single" w:color="auto" w:sz="4" w:space="0"/>
              <w:right w:val="single" w:color="auto" w:sz="4" w:space="0"/>
            </w:tcBorders>
            <w:vAlign w:val="center"/>
          </w:tcPr>
          <w:p w14:paraId="7A15548F">
            <w:pPr>
              <w:spacing w:before="0" w:after="0" w:afterAutospacing="0"/>
              <w:ind w:left="0" w:right="0" w:firstLine="0"/>
              <w:rPr>
                <w:rFonts w:ascii="宋体" w:hAnsi="宋体"/>
                <w:color w:val="auto"/>
                <w:highlight w:val="none"/>
              </w:rPr>
            </w:pPr>
            <w:r>
              <w:rPr>
                <w:rFonts w:hint="eastAsia" w:ascii="宋体" w:hAnsi="宋体"/>
                <w:color w:val="auto"/>
                <w:highlight w:val="none"/>
              </w:rPr>
              <w:t>3.2</w:t>
            </w:r>
          </w:p>
        </w:tc>
        <w:tc>
          <w:tcPr>
            <w:tcW w:w="1559" w:type="dxa"/>
            <w:tcBorders>
              <w:top w:val="single" w:color="auto" w:sz="4" w:space="0"/>
              <w:left w:val="nil"/>
              <w:bottom w:val="single" w:color="auto" w:sz="4" w:space="0"/>
              <w:right w:val="single" w:color="auto" w:sz="4" w:space="0"/>
            </w:tcBorders>
            <w:vAlign w:val="center"/>
          </w:tcPr>
          <w:p w14:paraId="5DB4E0F5">
            <w:pPr>
              <w:spacing w:before="0" w:after="0" w:afterAutospacing="0"/>
              <w:ind w:left="0" w:right="0" w:firstLine="0"/>
              <w:rPr>
                <w:rFonts w:ascii="宋体" w:hAnsi="宋体"/>
                <w:color w:val="auto"/>
                <w:highlight w:val="none"/>
              </w:rPr>
            </w:pPr>
            <w:r>
              <w:rPr>
                <w:rFonts w:hint="eastAsia" w:ascii="宋体" w:hAnsi="宋体"/>
                <w:color w:val="auto"/>
                <w:highlight w:val="none"/>
              </w:rPr>
              <w:t>构成比选申请文件的组成</w:t>
            </w:r>
          </w:p>
        </w:tc>
        <w:tc>
          <w:tcPr>
            <w:tcW w:w="6711" w:type="dxa"/>
            <w:tcBorders>
              <w:top w:val="single" w:color="auto" w:sz="4" w:space="0"/>
              <w:left w:val="nil"/>
              <w:bottom w:val="single" w:color="auto" w:sz="4" w:space="0"/>
              <w:right w:val="single" w:color="auto" w:sz="4" w:space="0"/>
            </w:tcBorders>
            <w:vAlign w:val="center"/>
          </w:tcPr>
          <w:p w14:paraId="66852558">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比选申请文件组成部分：</w:t>
            </w:r>
            <w:r>
              <w:rPr>
                <w:rFonts w:hint="eastAsia"/>
                <w:color w:val="auto"/>
                <w:highlight w:val="none"/>
              </w:rPr>
              <w:t>资格审查文件、价格文件、技术文件</w:t>
            </w:r>
          </w:p>
          <w:p w14:paraId="399E46F8">
            <w:pPr>
              <w:spacing w:before="0" w:after="0" w:afterAutospacing="0" w:line="276" w:lineRule="auto"/>
              <w:ind w:left="0" w:right="0" w:firstLine="0"/>
              <w:rPr>
                <w:b/>
                <w:color w:val="auto"/>
                <w:highlight w:val="none"/>
              </w:rPr>
            </w:pPr>
            <w:r>
              <w:rPr>
                <w:rFonts w:hint="eastAsia"/>
                <w:b/>
                <w:color w:val="auto"/>
                <w:highlight w:val="none"/>
              </w:rPr>
              <w:t>资格审查文件</w:t>
            </w:r>
          </w:p>
          <w:p w14:paraId="1315FA3D">
            <w:pPr>
              <w:spacing w:before="0" w:after="0" w:afterAutospacing="0" w:line="276" w:lineRule="auto"/>
              <w:ind w:left="0" w:right="0" w:firstLine="0"/>
              <w:rPr>
                <w:rFonts w:hint="eastAsia"/>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p>
          <w:p w14:paraId="77EB441C">
            <w:pPr>
              <w:spacing w:before="0" w:after="0" w:afterAutospacing="0" w:line="276" w:lineRule="auto"/>
              <w:ind w:left="0" w:right="0" w:firstLine="0"/>
              <w:rPr>
                <w:rFonts w:hint="eastAsia"/>
                <w:color w:val="auto"/>
                <w:highlight w:val="none"/>
              </w:rPr>
            </w:pPr>
            <w:r>
              <w:rPr>
                <w:rFonts w:hint="eastAsia"/>
                <w:color w:val="auto"/>
                <w:highlight w:val="none"/>
              </w:rPr>
              <w:t>（2）比选申请人有效的营业执照及资质证书复印件；</w:t>
            </w:r>
          </w:p>
          <w:p w14:paraId="51E2E17A">
            <w:pPr>
              <w:spacing w:before="0" w:after="0" w:afterAutospacing="0" w:line="276" w:lineRule="auto"/>
              <w:ind w:left="0" w:right="0" w:firstLine="0"/>
              <w:rPr>
                <w:rFonts w:hint="eastAsia"/>
                <w:color w:val="auto"/>
                <w:highlight w:val="none"/>
              </w:rPr>
            </w:pPr>
            <w:r>
              <w:rPr>
                <w:rFonts w:hint="eastAsia"/>
                <w:color w:val="auto"/>
                <w:highlight w:val="none"/>
              </w:rPr>
              <w:t>（3）承诺书（格式见A3）；</w:t>
            </w:r>
          </w:p>
          <w:p w14:paraId="2631F601">
            <w:pPr>
              <w:spacing w:before="0" w:after="0" w:afterAutospacing="0" w:line="276" w:lineRule="auto"/>
              <w:ind w:left="0" w:right="0" w:firstLine="0"/>
              <w:rPr>
                <w:rFonts w:hint="eastAsia"/>
                <w:color w:val="auto"/>
                <w:highlight w:val="none"/>
              </w:rPr>
            </w:pPr>
            <w:r>
              <w:rPr>
                <w:rFonts w:hint="eastAsia"/>
                <w:color w:val="auto"/>
                <w:highlight w:val="none"/>
              </w:rPr>
              <w:t>（4）类似项目业绩表（A4）；</w:t>
            </w:r>
          </w:p>
          <w:p w14:paraId="510B1325">
            <w:pPr>
              <w:spacing w:before="0" w:after="0" w:afterAutospacing="0" w:line="276" w:lineRule="auto"/>
              <w:ind w:left="0" w:right="0" w:firstLine="0"/>
              <w:rPr>
                <w:rFonts w:hint="eastAsia"/>
                <w:color w:val="auto"/>
                <w:highlight w:val="none"/>
              </w:rPr>
            </w:pPr>
            <w:r>
              <w:rPr>
                <w:rFonts w:hint="eastAsia"/>
                <w:color w:val="auto"/>
                <w:highlight w:val="none"/>
              </w:rPr>
              <w:t>（5）比选申请人认为应提交的其他比选申请资料（如有）</w:t>
            </w:r>
          </w:p>
          <w:p w14:paraId="569B48B6">
            <w:pPr>
              <w:spacing w:before="0" w:after="0" w:afterAutospacing="0" w:line="276" w:lineRule="auto"/>
              <w:ind w:left="0" w:right="0" w:firstLine="0"/>
              <w:rPr>
                <w:b/>
                <w:color w:val="auto"/>
                <w:highlight w:val="none"/>
              </w:rPr>
            </w:pPr>
            <w:r>
              <w:rPr>
                <w:rFonts w:hint="eastAsia"/>
                <w:b/>
                <w:color w:val="auto"/>
                <w:highlight w:val="none"/>
              </w:rPr>
              <w:t>价格文件</w:t>
            </w:r>
          </w:p>
          <w:p w14:paraId="1422D5E0">
            <w:pPr>
              <w:spacing w:before="0" w:after="0" w:afterAutospacing="0" w:line="276" w:lineRule="auto"/>
              <w:ind w:left="0" w:right="0" w:firstLine="0"/>
              <w:rPr>
                <w:rFonts w:hint="eastAsia"/>
                <w:color w:val="auto"/>
                <w:highlight w:val="none"/>
              </w:rPr>
            </w:pPr>
            <w:r>
              <w:rPr>
                <w:rFonts w:hint="eastAsia"/>
                <w:color w:val="auto"/>
                <w:highlight w:val="none"/>
              </w:rPr>
              <w:t>（1）比选申请报价表（格式见B1）；</w:t>
            </w:r>
          </w:p>
          <w:p w14:paraId="66441ED2">
            <w:pPr>
              <w:spacing w:before="0" w:after="0" w:afterAutospacing="0" w:line="276" w:lineRule="auto"/>
              <w:ind w:left="0" w:right="0" w:firstLine="0"/>
              <w:rPr>
                <w:rFonts w:hint="eastAsia"/>
                <w:color w:val="auto"/>
                <w:highlight w:val="none"/>
              </w:rPr>
            </w:pPr>
            <w:r>
              <w:rPr>
                <w:rFonts w:hint="eastAsia"/>
                <w:color w:val="auto"/>
                <w:highlight w:val="none"/>
              </w:rPr>
              <w:t>（2）比选申请函（格式见B2）；</w:t>
            </w:r>
          </w:p>
          <w:p w14:paraId="3B5C92A3">
            <w:pPr>
              <w:spacing w:before="0" w:after="0" w:afterAutospacing="0" w:line="276" w:lineRule="auto"/>
              <w:ind w:left="0" w:right="0" w:firstLine="0"/>
              <w:rPr>
                <w:rFonts w:hint="eastAsia"/>
                <w:color w:val="auto"/>
                <w:highlight w:val="none"/>
              </w:rPr>
            </w:pPr>
            <w:r>
              <w:rPr>
                <w:rFonts w:hint="eastAsia"/>
                <w:color w:val="auto"/>
                <w:highlight w:val="none"/>
              </w:rPr>
              <w:t>（3）比选申请人认为应提交的其他比选申请资料（如有）。</w:t>
            </w:r>
          </w:p>
          <w:p w14:paraId="630DC735">
            <w:pPr>
              <w:spacing w:before="0" w:after="0" w:afterAutospacing="0" w:line="276" w:lineRule="auto"/>
              <w:ind w:left="0" w:right="0" w:firstLine="0"/>
              <w:rPr>
                <w:color w:val="auto"/>
                <w:highlight w:val="none"/>
              </w:rPr>
            </w:pPr>
            <w:r>
              <w:rPr>
                <w:rFonts w:hint="eastAsia"/>
                <w:b/>
                <w:color w:val="auto"/>
                <w:highlight w:val="none"/>
              </w:rPr>
              <w:t>技术文件</w:t>
            </w:r>
          </w:p>
          <w:p w14:paraId="2782D791">
            <w:pPr>
              <w:spacing w:before="0" w:after="0" w:afterAutospacing="0" w:line="276" w:lineRule="auto"/>
              <w:ind w:left="0" w:right="0" w:firstLine="0"/>
              <w:rPr>
                <w:rFonts w:hint="eastAsia" w:ascii="宋体" w:hAnsi="宋体" w:cs="宋体"/>
                <w:color w:val="auto"/>
                <w:highlight w:val="none"/>
                <w:lang w:bidi="ar"/>
              </w:rPr>
            </w:pPr>
            <w:r>
              <w:rPr>
                <w:rFonts w:hint="eastAsia" w:ascii="宋体" w:hAnsi="宋体" w:cs="宋体"/>
                <w:color w:val="auto"/>
                <w:highlight w:val="none"/>
                <w:lang w:bidi="ar"/>
              </w:rPr>
              <w:t>（1）技术响应表（格式见C1）；</w:t>
            </w:r>
          </w:p>
          <w:p w14:paraId="77CFAC28">
            <w:pPr>
              <w:spacing w:before="0" w:after="0" w:afterAutospacing="0" w:line="276" w:lineRule="auto"/>
              <w:ind w:left="0" w:right="0" w:firstLine="0"/>
              <w:rPr>
                <w:rFonts w:hint="eastAsia" w:ascii="宋体" w:hAnsi="宋体" w:cs="宋体"/>
                <w:color w:val="auto"/>
                <w:highlight w:val="none"/>
                <w:lang w:bidi="ar"/>
              </w:rPr>
            </w:pPr>
            <w:r>
              <w:rPr>
                <w:rFonts w:hint="eastAsia" w:ascii="宋体" w:hAnsi="宋体" w:cs="宋体"/>
                <w:color w:val="auto"/>
                <w:highlight w:val="none"/>
                <w:lang w:bidi="ar"/>
              </w:rPr>
              <w:t>（2）商务响应表（格式见C2）；</w:t>
            </w:r>
          </w:p>
          <w:p w14:paraId="2D1856F9">
            <w:pPr>
              <w:spacing w:before="0" w:after="0" w:afterAutospacing="0" w:line="276" w:lineRule="auto"/>
              <w:ind w:left="0" w:right="0" w:firstLine="0"/>
              <w:rPr>
                <w:rFonts w:hint="eastAsia" w:ascii="宋体" w:hAnsi="宋体" w:cs="宋体"/>
                <w:color w:val="auto"/>
                <w:highlight w:val="none"/>
                <w:lang w:bidi="ar"/>
              </w:rPr>
            </w:pPr>
            <w:r>
              <w:rPr>
                <w:rFonts w:hint="eastAsia" w:ascii="宋体" w:hAnsi="宋体" w:cs="宋体"/>
                <w:color w:val="auto"/>
                <w:highlight w:val="none"/>
                <w:lang w:eastAsia="zh-CN" w:bidi="ar"/>
              </w:rPr>
              <w:t>（</w:t>
            </w:r>
            <w:r>
              <w:rPr>
                <w:rFonts w:hint="eastAsia" w:ascii="宋体" w:hAnsi="宋体" w:cs="宋体"/>
                <w:color w:val="auto"/>
                <w:highlight w:val="none"/>
                <w:lang w:val="en-US" w:eastAsia="zh-CN" w:bidi="ar"/>
              </w:rPr>
              <w:t>3</w:t>
            </w:r>
            <w:r>
              <w:rPr>
                <w:rFonts w:hint="eastAsia" w:ascii="宋体" w:hAnsi="宋体" w:cs="宋体"/>
                <w:color w:val="auto"/>
                <w:highlight w:val="none"/>
                <w:lang w:eastAsia="zh-CN" w:bidi="ar"/>
              </w:rPr>
              <w:t>）</w:t>
            </w:r>
            <w:r>
              <w:rPr>
                <w:rFonts w:hint="eastAsia" w:ascii="宋体" w:hAnsi="宋体" w:cs="宋体"/>
                <w:color w:val="auto"/>
                <w:highlight w:val="none"/>
                <w:lang w:bidi="ar"/>
              </w:rPr>
              <w:t>项目人员配置（格式见C3）</w:t>
            </w:r>
          </w:p>
          <w:p w14:paraId="2F9BFF58">
            <w:pPr>
              <w:spacing w:before="0" w:after="0" w:afterAutospacing="0" w:line="276" w:lineRule="auto"/>
              <w:ind w:left="0" w:right="0" w:firstLine="0"/>
              <w:rPr>
                <w:rFonts w:hint="eastAsia" w:ascii="宋体" w:hAnsi="宋体" w:cs="宋体"/>
                <w:color w:val="auto"/>
                <w:highlight w:val="none"/>
                <w:lang w:bidi="ar"/>
              </w:rPr>
            </w:pPr>
            <w:r>
              <w:rPr>
                <w:rFonts w:hint="eastAsia" w:ascii="宋体" w:hAnsi="宋体" w:cs="宋体"/>
                <w:color w:val="auto"/>
                <w:highlight w:val="none"/>
                <w:lang w:bidi="ar"/>
              </w:rPr>
              <w:t>（</w:t>
            </w:r>
            <w:r>
              <w:rPr>
                <w:rFonts w:hint="eastAsia" w:ascii="宋体" w:hAnsi="宋体" w:cs="宋体"/>
                <w:color w:val="auto"/>
                <w:highlight w:val="none"/>
                <w:lang w:eastAsia="zh-CN" w:bidi="ar"/>
              </w:rPr>
              <w:t>4</w:t>
            </w:r>
            <w:r>
              <w:rPr>
                <w:rFonts w:hint="eastAsia" w:ascii="宋体" w:hAnsi="宋体" w:cs="宋体"/>
                <w:color w:val="auto"/>
                <w:highlight w:val="none"/>
                <w:lang w:bidi="ar"/>
              </w:rPr>
              <w:t>）</w:t>
            </w:r>
            <w:r>
              <w:rPr>
                <w:rFonts w:hint="eastAsia" w:ascii="宋体" w:hAnsi="宋体" w:cs="宋体"/>
                <w:color w:val="auto"/>
                <w:highlight w:val="none"/>
                <w:lang w:eastAsia="zh-CN" w:bidi="ar"/>
              </w:rPr>
              <w:t>技术服务方案</w:t>
            </w:r>
            <w:r>
              <w:rPr>
                <w:rFonts w:hint="eastAsia" w:ascii="宋体" w:hAnsi="宋体" w:cs="宋体"/>
                <w:color w:val="auto"/>
                <w:highlight w:val="none"/>
                <w:lang w:bidi="ar"/>
              </w:rPr>
              <w:t>（投标人自行编制</w:t>
            </w:r>
            <w:r>
              <w:rPr>
                <w:rFonts w:hint="eastAsia" w:ascii="宋体" w:hAnsi="宋体" w:cs="宋体"/>
                <w:color w:val="auto"/>
                <w:highlight w:val="none"/>
                <w:lang w:eastAsia="zh-CN" w:bidi="ar"/>
              </w:rPr>
              <w:t>，</w:t>
            </w:r>
            <w:r>
              <w:rPr>
                <w:rFonts w:hint="eastAsia" w:ascii="宋体" w:hAnsi="宋体" w:cs="宋体"/>
                <w:color w:val="auto"/>
                <w:highlight w:val="none"/>
                <w:lang w:bidi="ar"/>
              </w:rPr>
              <w:t>格式见C</w:t>
            </w:r>
            <w:r>
              <w:rPr>
                <w:rFonts w:hint="eastAsia" w:ascii="宋体" w:hAnsi="宋体" w:cs="宋体"/>
                <w:color w:val="auto"/>
                <w:highlight w:val="none"/>
                <w:lang w:val="en-US" w:eastAsia="zh-CN" w:bidi="ar"/>
              </w:rPr>
              <w:t>4</w:t>
            </w:r>
            <w:r>
              <w:rPr>
                <w:rFonts w:hint="eastAsia" w:ascii="宋体" w:hAnsi="宋体" w:cs="宋体"/>
                <w:color w:val="auto"/>
                <w:highlight w:val="none"/>
                <w:lang w:bidi="ar"/>
              </w:rPr>
              <w:t>）</w:t>
            </w:r>
          </w:p>
          <w:p w14:paraId="7ED640FE">
            <w:pPr>
              <w:spacing w:before="0" w:after="0" w:afterAutospacing="0" w:line="276" w:lineRule="auto"/>
              <w:ind w:left="0" w:right="0" w:firstLine="0"/>
              <w:rPr>
                <w:rFonts w:hint="eastAsia" w:ascii="宋体" w:hAnsi="宋体" w:cs="宋体"/>
                <w:color w:val="auto"/>
                <w:highlight w:val="none"/>
                <w:lang w:bidi="ar"/>
              </w:rPr>
            </w:pPr>
            <w:r>
              <w:rPr>
                <w:rFonts w:hint="eastAsia" w:ascii="宋体" w:hAnsi="宋体" w:eastAsia="宋体" w:cs="宋体"/>
                <w:color w:val="auto"/>
                <w:highlight w:val="none"/>
                <w:lang w:eastAsia="zh-CN" w:bidi="ar"/>
              </w:rPr>
              <w:t>（</w:t>
            </w:r>
            <w:r>
              <w:rPr>
                <w:rFonts w:hint="eastAsia" w:ascii="宋体" w:hAnsi="宋体" w:cs="宋体"/>
                <w:color w:val="auto"/>
                <w:highlight w:val="none"/>
                <w:lang w:val="en-US" w:eastAsia="zh-CN" w:bidi="ar"/>
              </w:rPr>
              <w:t>5</w:t>
            </w:r>
            <w:r>
              <w:rPr>
                <w:rFonts w:hint="eastAsia" w:ascii="宋体" w:hAnsi="宋体" w:eastAsia="宋体" w:cs="宋体"/>
                <w:color w:val="auto"/>
                <w:highlight w:val="none"/>
                <w:lang w:eastAsia="zh-CN" w:bidi="ar"/>
              </w:rPr>
              <w:t>）</w:t>
            </w:r>
            <w:r>
              <w:rPr>
                <w:rFonts w:hint="eastAsia" w:ascii="宋体" w:hAnsi="宋体" w:cs="宋体"/>
                <w:color w:val="auto"/>
                <w:highlight w:val="none"/>
                <w:lang w:eastAsia="zh-CN" w:bidi="ar"/>
              </w:rPr>
              <w:t>质量控制方案</w:t>
            </w:r>
            <w:r>
              <w:rPr>
                <w:rFonts w:hint="eastAsia" w:ascii="宋体" w:hAnsi="宋体" w:cs="宋体"/>
                <w:color w:val="auto"/>
                <w:highlight w:val="none"/>
                <w:lang w:bidi="ar"/>
              </w:rPr>
              <w:t>（投标人自行编制</w:t>
            </w:r>
            <w:r>
              <w:rPr>
                <w:rFonts w:hint="eastAsia" w:ascii="宋体" w:hAnsi="宋体" w:cs="宋体"/>
                <w:color w:val="auto"/>
                <w:highlight w:val="none"/>
                <w:lang w:eastAsia="zh-CN" w:bidi="ar"/>
              </w:rPr>
              <w:t>，</w:t>
            </w:r>
            <w:r>
              <w:rPr>
                <w:rFonts w:hint="eastAsia" w:ascii="宋体" w:hAnsi="宋体" w:cs="宋体"/>
                <w:color w:val="auto"/>
                <w:highlight w:val="none"/>
                <w:lang w:bidi="ar"/>
              </w:rPr>
              <w:t>格式见C</w:t>
            </w:r>
            <w:r>
              <w:rPr>
                <w:rFonts w:hint="eastAsia" w:ascii="宋体" w:hAnsi="宋体" w:cs="宋体"/>
                <w:color w:val="auto"/>
                <w:highlight w:val="none"/>
                <w:lang w:val="en-US" w:eastAsia="zh-CN" w:bidi="ar"/>
              </w:rPr>
              <w:t>5</w:t>
            </w:r>
            <w:r>
              <w:rPr>
                <w:rFonts w:hint="eastAsia" w:ascii="宋体" w:hAnsi="宋体" w:cs="宋体"/>
                <w:color w:val="auto"/>
                <w:highlight w:val="none"/>
                <w:lang w:bidi="ar"/>
              </w:rPr>
              <w:t>）</w:t>
            </w:r>
          </w:p>
          <w:p w14:paraId="538B2485">
            <w:pPr>
              <w:spacing w:before="0" w:after="0" w:afterAutospacing="0" w:line="276" w:lineRule="auto"/>
              <w:ind w:left="0" w:right="0" w:firstLine="0"/>
              <w:rPr>
                <w:rFonts w:hint="eastAsia" w:ascii="宋体" w:hAnsi="宋体" w:eastAsia="宋体" w:cs="宋体"/>
                <w:color w:val="auto"/>
                <w:highlight w:val="none"/>
                <w:lang w:eastAsia="zh-CN" w:bidi="ar"/>
              </w:rPr>
            </w:pPr>
            <w:r>
              <w:rPr>
                <w:rFonts w:hint="eastAsia" w:ascii="宋体" w:hAnsi="宋体" w:eastAsia="宋体" w:cs="宋体"/>
                <w:color w:val="auto"/>
                <w:highlight w:val="none"/>
                <w:lang w:eastAsia="zh-CN" w:bidi="ar"/>
              </w:rPr>
              <w:t>（</w:t>
            </w:r>
            <w:r>
              <w:rPr>
                <w:rFonts w:hint="eastAsia" w:ascii="宋体" w:hAnsi="宋体" w:cs="宋体"/>
                <w:color w:val="auto"/>
                <w:highlight w:val="none"/>
                <w:lang w:val="en-US" w:eastAsia="zh-CN" w:bidi="ar"/>
              </w:rPr>
              <w:t>6</w:t>
            </w:r>
            <w:r>
              <w:rPr>
                <w:rFonts w:hint="eastAsia" w:ascii="宋体" w:hAnsi="宋体" w:eastAsia="宋体" w:cs="宋体"/>
                <w:color w:val="auto"/>
                <w:highlight w:val="none"/>
                <w:lang w:eastAsia="zh-CN" w:bidi="ar"/>
              </w:rPr>
              <w:t>）进度控制方案</w:t>
            </w:r>
            <w:r>
              <w:rPr>
                <w:rFonts w:hint="eastAsia" w:ascii="宋体" w:hAnsi="宋体" w:cs="宋体"/>
                <w:color w:val="auto"/>
                <w:highlight w:val="none"/>
                <w:lang w:bidi="ar"/>
              </w:rPr>
              <w:t>（投标人自行编制</w:t>
            </w:r>
            <w:r>
              <w:rPr>
                <w:rFonts w:hint="eastAsia" w:ascii="宋体" w:hAnsi="宋体" w:cs="宋体"/>
                <w:color w:val="auto"/>
                <w:highlight w:val="none"/>
                <w:lang w:eastAsia="zh-CN" w:bidi="ar"/>
              </w:rPr>
              <w:t>，</w:t>
            </w:r>
            <w:r>
              <w:rPr>
                <w:rFonts w:hint="eastAsia" w:ascii="宋体" w:hAnsi="宋体" w:cs="宋体"/>
                <w:color w:val="auto"/>
                <w:highlight w:val="none"/>
                <w:lang w:bidi="ar"/>
              </w:rPr>
              <w:t>格式见C</w:t>
            </w:r>
            <w:r>
              <w:rPr>
                <w:rFonts w:hint="eastAsia" w:ascii="宋体" w:hAnsi="宋体" w:cs="宋体"/>
                <w:color w:val="auto"/>
                <w:highlight w:val="none"/>
                <w:lang w:val="en-US" w:eastAsia="zh-CN" w:bidi="ar"/>
              </w:rPr>
              <w:t>6</w:t>
            </w:r>
            <w:r>
              <w:rPr>
                <w:rFonts w:hint="eastAsia" w:ascii="宋体" w:hAnsi="宋体" w:cs="宋体"/>
                <w:color w:val="auto"/>
                <w:highlight w:val="none"/>
                <w:lang w:bidi="ar"/>
              </w:rPr>
              <w:t>）</w:t>
            </w:r>
          </w:p>
          <w:p w14:paraId="2098AD2F">
            <w:pPr>
              <w:spacing w:before="0" w:after="0" w:afterAutospacing="0" w:line="276" w:lineRule="auto"/>
              <w:ind w:left="0" w:right="0" w:firstLine="0"/>
              <w:rPr>
                <w:rFonts w:hint="eastAsia" w:ascii="宋体" w:hAnsi="宋体" w:cs="宋体"/>
                <w:color w:val="auto"/>
                <w:highlight w:val="none"/>
                <w:lang w:bidi="ar"/>
              </w:rPr>
            </w:pPr>
            <w:r>
              <w:rPr>
                <w:rFonts w:hint="eastAsia" w:ascii="宋体" w:hAnsi="宋体" w:cs="宋体"/>
                <w:color w:val="auto"/>
                <w:highlight w:val="none"/>
                <w:lang w:bidi="ar"/>
              </w:rPr>
              <w:t>（</w:t>
            </w:r>
            <w:r>
              <w:rPr>
                <w:rFonts w:hint="eastAsia" w:ascii="宋体" w:hAnsi="宋体" w:cs="宋体"/>
                <w:color w:val="auto"/>
                <w:highlight w:val="none"/>
                <w:lang w:val="en-US" w:eastAsia="zh-CN" w:bidi="ar"/>
              </w:rPr>
              <w:t>7</w:t>
            </w:r>
            <w:r>
              <w:rPr>
                <w:rFonts w:hint="eastAsia" w:ascii="宋体" w:hAnsi="宋体" w:cs="宋体"/>
                <w:color w:val="auto"/>
                <w:highlight w:val="none"/>
                <w:lang w:bidi="ar"/>
              </w:rPr>
              <w:t>）业绩：</w:t>
            </w:r>
            <w:r>
              <w:rPr>
                <w:rFonts w:hint="eastAsia"/>
                <w:color w:val="auto"/>
                <w:sz w:val="21"/>
                <w:szCs w:val="21"/>
                <w:highlight w:val="none"/>
                <w:lang w:eastAsia="zh-CN"/>
              </w:rPr>
              <w:t>比选申请人自</w:t>
            </w:r>
            <w:r>
              <w:rPr>
                <w:rFonts w:hint="eastAsia" w:ascii="宋体" w:hAnsi="宋体"/>
                <w:color w:val="auto"/>
                <w:highlight w:val="none"/>
              </w:rPr>
              <w:t>202</w:t>
            </w:r>
            <w:r>
              <w:rPr>
                <w:rFonts w:hint="eastAsia" w:ascii="宋体" w:hAnsi="宋体"/>
                <w:color w:val="auto"/>
                <w:highlight w:val="none"/>
                <w:lang w:val="en-US" w:eastAsia="zh-CN"/>
              </w:rPr>
              <w:t>1</w:t>
            </w:r>
            <w:r>
              <w:rPr>
                <w:rFonts w:hint="eastAsia" w:ascii="宋体" w:hAnsi="宋体"/>
                <w:color w:val="auto"/>
                <w:highlight w:val="none"/>
              </w:rPr>
              <w:t>年1月1日至今承接过</w:t>
            </w:r>
            <w:r>
              <w:rPr>
                <w:rFonts w:hint="eastAsia" w:ascii="宋体" w:hAnsi="宋体"/>
                <w:color w:val="auto"/>
                <w:highlight w:val="none"/>
                <w:lang w:eastAsia="zh-CN"/>
              </w:rPr>
              <w:t>1个单项合同金额20万</w:t>
            </w:r>
            <w:r>
              <w:rPr>
                <w:rFonts w:hint="eastAsia" w:ascii="宋体" w:hAnsi="宋体"/>
                <w:color w:val="auto"/>
                <w:highlight w:val="none"/>
              </w:rPr>
              <w:t>以上（含</w:t>
            </w:r>
            <w:r>
              <w:rPr>
                <w:rFonts w:hint="eastAsia" w:ascii="宋体" w:hAnsi="宋体"/>
                <w:color w:val="auto"/>
                <w:highlight w:val="none"/>
                <w:lang w:val="en-US" w:eastAsia="zh-CN"/>
              </w:rPr>
              <w:t>20</w:t>
            </w:r>
            <w:r>
              <w:rPr>
                <w:rFonts w:hint="eastAsia" w:ascii="宋体" w:hAnsi="宋体"/>
                <w:color w:val="auto"/>
                <w:highlight w:val="none"/>
              </w:rPr>
              <w:t>万）</w:t>
            </w:r>
            <w:r>
              <w:rPr>
                <w:rFonts w:hint="eastAsia" w:ascii="宋体" w:hAnsi="宋体"/>
                <w:color w:val="auto"/>
                <w:highlight w:val="none"/>
                <w:lang w:val="en-US" w:eastAsia="zh-CN"/>
              </w:rPr>
              <w:t>勘察</w:t>
            </w:r>
            <w:r>
              <w:rPr>
                <w:rFonts w:hint="eastAsia" w:ascii="宋体" w:hAnsi="宋体"/>
                <w:color w:val="auto"/>
                <w:highlight w:val="none"/>
              </w:rPr>
              <w:t>服务项目</w:t>
            </w:r>
            <w:r>
              <w:rPr>
                <w:rFonts w:hint="eastAsia" w:ascii="宋体" w:hAnsi="宋体"/>
                <w:color w:val="auto"/>
                <w:highlight w:val="none"/>
                <w:lang w:eastAsia="zh-CN"/>
              </w:rPr>
              <w:t>。</w:t>
            </w:r>
            <w:r>
              <w:rPr>
                <w:rFonts w:hint="eastAsia"/>
                <w:color w:val="auto"/>
                <w:sz w:val="21"/>
                <w:szCs w:val="21"/>
                <w:highlight w:val="none"/>
                <w:lang w:val="en-US" w:eastAsia="zh-CN"/>
              </w:rPr>
              <w:t>业绩</w:t>
            </w:r>
            <w:r>
              <w:rPr>
                <w:rFonts w:hint="eastAsia"/>
                <w:color w:val="auto"/>
                <w:sz w:val="21"/>
                <w:szCs w:val="21"/>
                <w:highlight w:val="none"/>
                <w:lang w:eastAsia="zh-CN"/>
              </w:rPr>
              <w:t>证明材料：提供下述材料之一即可：①合同文件；②中标通知书，提供复印件加盖比选申请人公章，原件备查）</w:t>
            </w:r>
            <w:r>
              <w:rPr>
                <w:rFonts w:hint="eastAsia" w:ascii="宋体" w:hAnsi="宋体" w:cs="宋体"/>
                <w:color w:val="auto"/>
                <w:highlight w:val="none"/>
                <w:lang w:bidi="ar"/>
              </w:rPr>
              <w:t>。所提供的材料须能明确反映类似项目特征，复印件加盖比选申请人公章（格式见C</w:t>
            </w:r>
            <w:r>
              <w:rPr>
                <w:rFonts w:hint="eastAsia" w:ascii="宋体" w:hAnsi="宋体" w:cs="宋体"/>
                <w:color w:val="auto"/>
                <w:highlight w:val="none"/>
                <w:lang w:val="en-US" w:eastAsia="zh-CN" w:bidi="ar"/>
              </w:rPr>
              <w:t>7</w:t>
            </w:r>
            <w:r>
              <w:rPr>
                <w:rFonts w:hint="eastAsia" w:ascii="宋体" w:hAnsi="宋体" w:cs="宋体"/>
                <w:color w:val="auto"/>
                <w:highlight w:val="none"/>
                <w:lang w:bidi="ar"/>
              </w:rPr>
              <w:t>）。</w:t>
            </w:r>
          </w:p>
          <w:p w14:paraId="246954C4">
            <w:pPr>
              <w:spacing w:before="0" w:after="0" w:afterAutospacing="0" w:line="276" w:lineRule="auto"/>
              <w:ind w:left="0" w:right="0" w:firstLine="0"/>
              <w:rPr>
                <w:rFonts w:ascii="宋体" w:hAnsi="宋体"/>
                <w:color w:val="auto"/>
                <w:highlight w:val="none"/>
              </w:rPr>
            </w:pPr>
            <w:r>
              <w:rPr>
                <w:rFonts w:hint="eastAsia" w:ascii="宋体" w:hAnsi="宋体" w:cs="宋体"/>
                <w:color w:val="auto"/>
                <w:highlight w:val="none"/>
                <w:lang w:bidi="ar"/>
              </w:rPr>
              <w:t>（6）比选申请人认为应提交的其他比选申请资料（如有）</w:t>
            </w:r>
          </w:p>
        </w:tc>
      </w:tr>
      <w:tr w14:paraId="3F4DEB77">
        <w:tblPrEx>
          <w:tblCellMar>
            <w:top w:w="0" w:type="dxa"/>
            <w:left w:w="108" w:type="dxa"/>
            <w:bottom w:w="0" w:type="dxa"/>
            <w:right w:w="108" w:type="dxa"/>
          </w:tblCellMar>
        </w:tblPrEx>
        <w:trPr>
          <w:trHeight w:val="1113" w:hRule="atLeast"/>
        </w:trPr>
        <w:tc>
          <w:tcPr>
            <w:tcW w:w="847" w:type="dxa"/>
            <w:tcBorders>
              <w:top w:val="single" w:color="auto" w:sz="4" w:space="0"/>
              <w:left w:val="single" w:color="auto" w:sz="4" w:space="0"/>
              <w:bottom w:val="single" w:color="auto" w:sz="4" w:space="0"/>
              <w:right w:val="single" w:color="auto" w:sz="4" w:space="0"/>
            </w:tcBorders>
            <w:vAlign w:val="center"/>
          </w:tcPr>
          <w:p w14:paraId="7EC51ECB">
            <w:pPr>
              <w:spacing w:before="0" w:after="0" w:afterAutospacing="0"/>
              <w:ind w:left="0" w:right="0" w:firstLine="0"/>
              <w:rPr>
                <w:rFonts w:ascii="宋体" w:hAnsi="宋体"/>
                <w:color w:val="auto"/>
                <w:highlight w:val="none"/>
              </w:rPr>
            </w:pPr>
            <w:r>
              <w:rPr>
                <w:rFonts w:hint="eastAsia" w:ascii="宋体" w:hAnsi="宋体"/>
                <w:color w:val="auto"/>
                <w:highlight w:val="none"/>
              </w:rPr>
              <w:t>3.3</w:t>
            </w:r>
          </w:p>
        </w:tc>
        <w:tc>
          <w:tcPr>
            <w:tcW w:w="1559" w:type="dxa"/>
            <w:tcBorders>
              <w:top w:val="single" w:color="auto" w:sz="4" w:space="0"/>
              <w:left w:val="nil"/>
              <w:bottom w:val="single" w:color="auto" w:sz="4" w:space="0"/>
              <w:right w:val="single" w:color="auto" w:sz="4" w:space="0"/>
            </w:tcBorders>
            <w:vAlign w:val="center"/>
          </w:tcPr>
          <w:p w14:paraId="23B4B747">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比选申请报价</w:t>
            </w:r>
          </w:p>
        </w:tc>
        <w:tc>
          <w:tcPr>
            <w:tcW w:w="6711" w:type="dxa"/>
            <w:tcBorders>
              <w:top w:val="single" w:color="auto" w:sz="4" w:space="0"/>
              <w:left w:val="nil"/>
              <w:bottom w:val="single" w:color="auto" w:sz="4" w:space="0"/>
              <w:right w:val="single" w:color="auto" w:sz="4" w:space="0"/>
            </w:tcBorders>
            <w:vAlign w:val="center"/>
          </w:tcPr>
          <w:p w14:paraId="63587C30">
            <w:pPr>
              <w:spacing w:before="0" w:after="0" w:afterAutospacing="0"/>
              <w:ind w:left="0" w:right="0" w:firstLine="0"/>
              <w:rPr>
                <w:rFonts w:ascii="宋体" w:hAnsi="宋体"/>
                <w:color w:val="auto"/>
                <w:highlight w:val="none"/>
              </w:rPr>
            </w:pP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含税总价为合同含税总价款，本合同最终税金在结算阶段，按实际产生的税金进行核算，但合同不含税价格不因国家税率调整而调整。</w:t>
            </w:r>
          </w:p>
        </w:tc>
      </w:tr>
      <w:tr w14:paraId="14F84FA9">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14:paraId="7788E35A">
            <w:pPr>
              <w:spacing w:before="0" w:after="0" w:afterAutospacing="0"/>
              <w:ind w:left="0" w:right="0" w:firstLine="0"/>
              <w:rPr>
                <w:rFonts w:ascii="宋体" w:hAnsi="宋体"/>
                <w:color w:val="auto"/>
                <w:highlight w:val="none"/>
              </w:rPr>
            </w:pPr>
            <w:r>
              <w:rPr>
                <w:rFonts w:hint="eastAsia" w:ascii="宋体" w:hAnsi="宋体"/>
                <w:color w:val="auto"/>
                <w:highlight w:val="none"/>
              </w:rPr>
              <w:t>3.4</w:t>
            </w:r>
          </w:p>
        </w:tc>
        <w:tc>
          <w:tcPr>
            <w:tcW w:w="1559" w:type="dxa"/>
            <w:tcBorders>
              <w:top w:val="single" w:color="auto" w:sz="4" w:space="0"/>
              <w:left w:val="nil"/>
              <w:bottom w:val="single" w:color="auto" w:sz="4" w:space="0"/>
              <w:right w:val="single" w:color="auto" w:sz="4" w:space="0"/>
            </w:tcBorders>
            <w:vAlign w:val="center"/>
          </w:tcPr>
          <w:p w14:paraId="7B7A902A">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比选申请保证金</w:t>
            </w:r>
          </w:p>
        </w:tc>
        <w:tc>
          <w:tcPr>
            <w:tcW w:w="6711" w:type="dxa"/>
            <w:tcBorders>
              <w:top w:val="single" w:color="auto" w:sz="4" w:space="0"/>
              <w:left w:val="nil"/>
              <w:bottom w:val="single" w:color="auto" w:sz="4" w:space="0"/>
              <w:right w:val="single" w:color="auto" w:sz="4" w:space="0"/>
            </w:tcBorders>
            <w:vAlign w:val="center"/>
          </w:tcPr>
          <w:p w14:paraId="1B491215">
            <w:pPr>
              <w:spacing w:before="0" w:after="0" w:afterAutospacing="0"/>
              <w:ind w:left="0" w:right="0" w:firstLine="0"/>
              <w:rPr>
                <w:rFonts w:ascii="宋体" w:hAnsi="宋体"/>
                <w:color w:val="auto"/>
                <w:highlight w:val="none"/>
              </w:rPr>
            </w:pPr>
            <w:r>
              <w:rPr>
                <w:rFonts w:hint="eastAsia" w:ascii="宋体" w:hAnsi="宋体"/>
                <w:color w:val="auto"/>
                <w:highlight w:val="none"/>
              </w:rPr>
              <w:t>不要求递交比选申请保证金</w:t>
            </w:r>
          </w:p>
        </w:tc>
      </w:tr>
      <w:tr w14:paraId="56A7AD23">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14:paraId="0ECDD114">
            <w:pPr>
              <w:spacing w:before="0" w:after="0" w:afterAutospacing="0"/>
              <w:ind w:left="0" w:right="0" w:firstLine="0"/>
              <w:rPr>
                <w:rFonts w:ascii="宋体" w:hAnsi="宋体"/>
                <w:color w:val="auto"/>
                <w:highlight w:val="none"/>
              </w:rPr>
            </w:pPr>
            <w:r>
              <w:rPr>
                <w:rFonts w:hint="eastAsia" w:ascii="宋体" w:hAnsi="宋体"/>
                <w:color w:val="auto"/>
                <w:highlight w:val="none"/>
              </w:rPr>
              <w:t>3.5</w:t>
            </w:r>
          </w:p>
        </w:tc>
        <w:tc>
          <w:tcPr>
            <w:tcW w:w="1559" w:type="dxa"/>
            <w:tcBorders>
              <w:top w:val="single" w:color="auto" w:sz="4" w:space="0"/>
              <w:left w:val="nil"/>
              <w:right w:val="single" w:color="auto" w:sz="4" w:space="0"/>
            </w:tcBorders>
            <w:vAlign w:val="center"/>
          </w:tcPr>
          <w:p w14:paraId="2856E096">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比选申请有效期</w:t>
            </w:r>
          </w:p>
        </w:tc>
        <w:tc>
          <w:tcPr>
            <w:tcW w:w="6711" w:type="dxa"/>
            <w:tcBorders>
              <w:top w:val="single" w:color="auto" w:sz="4" w:space="0"/>
              <w:left w:val="nil"/>
              <w:bottom w:val="single" w:color="auto" w:sz="4" w:space="0"/>
              <w:right w:val="single" w:color="auto" w:sz="4" w:space="0"/>
            </w:tcBorders>
            <w:vAlign w:val="center"/>
          </w:tcPr>
          <w:p w14:paraId="2D62C703">
            <w:pPr>
              <w:spacing w:before="0" w:after="0" w:afterAutospacing="0"/>
              <w:ind w:left="0" w:right="0" w:firstLine="0"/>
              <w:rPr>
                <w:rFonts w:ascii="宋体" w:hAnsi="宋体"/>
                <w:color w:val="auto"/>
                <w:highlight w:val="none"/>
              </w:rPr>
            </w:pPr>
            <w:r>
              <w:rPr>
                <w:rFonts w:hint="eastAsia" w:ascii="宋体" w:hAnsi="宋体"/>
                <w:color w:val="auto"/>
                <w:highlight w:val="none"/>
              </w:rPr>
              <w:t>自比选申请截止时间起90天</w:t>
            </w:r>
          </w:p>
        </w:tc>
      </w:tr>
      <w:tr w14:paraId="633E2C92">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14:paraId="04475EF3">
            <w:pPr>
              <w:spacing w:before="0" w:after="0" w:afterAutospacing="0"/>
              <w:ind w:left="0" w:right="0" w:firstLine="0"/>
              <w:rPr>
                <w:rFonts w:ascii="宋体" w:hAnsi="宋体"/>
                <w:color w:val="auto"/>
                <w:highlight w:val="none"/>
              </w:rPr>
            </w:pPr>
            <w:r>
              <w:rPr>
                <w:rFonts w:hint="eastAsia" w:ascii="宋体" w:hAnsi="宋体"/>
                <w:color w:val="auto"/>
                <w:highlight w:val="none"/>
              </w:rPr>
              <w:t>3.6</w:t>
            </w:r>
          </w:p>
        </w:tc>
        <w:tc>
          <w:tcPr>
            <w:tcW w:w="1559" w:type="dxa"/>
            <w:tcBorders>
              <w:top w:val="single" w:color="auto" w:sz="4" w:space="0"/>
              <w:left w:val="nil"/>
              <w:bottom w:val="single" w:color="auto" w:sz="4" w:space="0"/>
              <w:right w:val="single" w:color="auto" w:sz="4" w:space="0"/>
            </w:tcBorders>
            <w:vAlign w:val="center"/>
          </w:tcPr>
          <w:p w14:paraId="3C3D44B3">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比选申请文件副本份数</w:t>
            </w:r>
          </w:p>
        </w:tc>
        <w:tc>
          <w:tcPr>
            <w:tcW w:w="6711" w:type="dxa"/>
            <w:tcBorders>
              <w:top w:val="single" w:color="auto" w:sz="4" w:space="0"/>
              <w:left w:val="nil"/>
              <w:bottom w:val="single" w:color="auto" w:sz="4" w:space="0"/>
              <w:right w:val="single" w:color="auto" w:sz="4" w:space="0"/>
            </w:tcBorders>
            <w:vAlign w:val="center"/>
          </w:tcPr>
          <w:p w14:paraId="35F5D818">
            <w:pPr>
              <w:spacing w:before="0" w:after="0" w:afterAutospacing="0"/>
              <w:ind w:left="0" w:right="0" w:firstLine="0"/>
              <w:rPr>
                <w:rFonts w:ascii="宋体" w:hAnsi="宋体"/>
                <w:color w:val="auto"/>
                <w:highlight w:val="none"/>
              </w:rPr>
            </w:pPr>
            <w:r>
              <w:rPr>
                <w:rFonts w:hint="eastAsia" w:ascii="宋体" w:hAnsi="宋体"/>
                <w:color w:val="auto"/>
                <w:highlight w:val="none"/>
              </w:rPr>
              <w:t>纸质版本正本1份，副本4份，并同时递交比选申请文件电子版（电子版要求见本表第3</w:t>
            </w:r>
            <w:r>
              <w:rPr>
                <w:rFonts w:ascii="宋体" w:hAnsi="宋体"/>
                <w:color w:val="auto"/>
                <w:highlight w:val="none"/>
              </w:rPr>
              <w:t>7</w:t>
            </w:r>
            <w:r>
              <w:rPr>
                <w:rFonts w:hint="eastAsia" w:ascii="宋体" w:hAnsi="宋体"/>
                <w:color w:val="auto"/>
                <w:highlight w:val="none"/>
              </w:rPr>
              <w:t>.</w:t>
            </w:r>
            <w:r>
              <w:rPr>
                <w:rFonts w:ascii="宋体" w:hAnsi="宋体"/>
                <w:color w:val="auto"/>
                <w:highlight w:val="none"/>
              </w:rPr>
              <w:t>5</w:t>
            </w:r>
            <w:r>
              <w:rPr>
                <w:rFonts w:hint="eastAsia" w:ascii="宋体" w:hAnsi="宋体"/>
                <w:color w:val="auto"/>
                <w:highlight w:val="none"/>
              </w:rPr>
              <w:t>项）。</w:t>
            </w:r>
          </w:p>
        </w:tc>
      </w:tr>
      <w:tr w14:paraId="51CBCAAE">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51DF4568">
            <w:pPr>
              <w:spacing w:before="0" w:after="0" w:afterAutospacing="0"/>
              <w:ind w:left="0" w:right="0" w:firstLine="0"/>
              <w:rPr>
                <w:rFonts w:ascii="宋体" w:hAnsi="宋体"/>
                <w:color w:val="auto"/>
                <w:highlight w:val="none"/>
              </w:rPr>
            </w:pPr>
            <w:r>
              <w:rPr>
                <w:rFonts w:hint="eastAsia" w:ascii="宋体" w:hAnsi="宋体"/>
                <w:color w:val="auto"/>
                <w:highlight w:val="none"/>
              </w:rPr>
              <w:t>3.7</w:t>
            </w:r>
          </w:p>
        </w:tc>
        <w:tc>
          <w:tcPr>
            <w:tcW w:w="1559" w:type="dxa"/>
            <w:tcBorders>
              <w:top w:val="single" w:color="auto" w:sz="4" w:space="0"/>
              <w:left w:val="nil"/>
              <w:bottom w:val="single" w:color="auto" w:sz="4" w:space="0"/>
              <w:right w:val="single" w:color="auto" w:sz="4" w:space="0"/>
            </w:tcBorders>
            <w:vAlign w:val="center"/>
          </w:tcPr>
          <w:p w14:paraId="10F079C9">
            <w:pPr>
              <w:spacing w:before="0" w:after="0" w:afterAutospacing="0"/>
              <w:ind w:left="0" w:right="0" w:firstLine="0"/>
              <w:rPr>
                <w:rFonts w:ascii="宋体" w:hAnsi="宋体"/>
                <w:color w:val="auto"/>
                <w:highlight w:val="none"/>
              </w:rPr>
            </w:pPr>
            <w:r>
              <w:rPr>
                <w:rFonts w:hint="eastAsia" w:ascii="宋体" w:hAnsi="宋体"/>
                <w:color w:val="auto"/>
                <w:highlight w:val="none"/>
              </w:rPr>
              <w:t>比选申请截止时间</w:t>
            </w:r>
          </w:p>
        </w:tc>
        <w:tc>
          <w:tcPr>
            <w:tcW w:w="6711" w:type="dxa"/>
            <w:tcBorders>
              <w:top w:val="single" w:color="auto" w:sz="4" w:space="0"/>
              <w:left w:val="nil"/>
              <w:bottom w:val="single" w:color="auto" w:sz="4" w:space="0"/>
              <w:right w:val="single" w:color="auto" w:sz="4" w:space="0"/>
            </w:tcBorders>
            <w:vAlign w:val="center"/>
          </w:tcPr>
          <w:p w14:paraId="340E3206">
            <w:pPr>
              <w:spacing w:before="0" w:after="0" w:afterAutospacing="0"/>
              <w:ind w:left="0" w:right="0" w:firstLine="0"/>
              <w:rPr>
                <w:rFonts w:ascii="宋体" w:hAnsi="宋体"/>
                <w:b/>
                <w:color w:val="auto"/>
                <w:highlight w:val="none"/>
              </w:rPr>
            </w:pPr>
            <w:bookmarkStart w:id="78" w:name="CgwjmbEntity：KBSJ3_0"/>
            <w:r>
              <w:rPr>
                <w:rFonts w:hint="eastAsia" w:ascii="宋体" w:hAnsi="宋体"/>
                <w:b/>
                <w:color w:val="auto"/>
                <w:highlight w:val="none"/>
              </w:rPr>
              <w:t>202</w:t>
            </w:r>
            <w:r>
              <w:rPr>
                <w:rFonts w:hint="eastAsia" w:ascii="宋体" w:hAnsi="宋体"/>
                <w:b/>
                <w:color w:val="auto"/>
                <w:highlight w:val="none"/>
                <w:lang w:val="en-US" w:eastAsia="zh-CN"/>
              </w:rPr>
              <w:t>4</w:t>
            </w:r>
            <w:r>
              <w:rPr>
                <w:rFonts w:hint="eastAsia" w:ascii="宋体" w:hAnsi="宋体"/>
                <w:b/>
                <w:color w:val="auto"/>
                <w:highlight w:val="none"/>
              </w:rPr>
              <w:t>年</w:t>
            </w:r>
            <w:bookmarkEnd w:id="78"/>
            <w:r>
              <w:rPr>
                <w:rFonts w:hint="eastAsia" w:ascii="宋体" w:hAnsi="宋体"/>
                <w:b/>
                <w:color w:val="auto"/>
                <w:highlight w:val="none"/>
                <w:lang w:val="en-US" w:eastAsia="zh-CN"/>
              </w:rPr>
              <w:t>9</w:t>
            </w:r>
            <w:r>
              <w:rPr>
                <w:rFonts w:hint="eastAsia" w:ascii="宋体" w:hAnsi="宋体"/>
                <w:b/>
                <w:color w:val="auto"/>
                <w:highlight w:val="none"/>
              </w:rPr>
              <w:t>月</w:t>
            </w:r>
            <w:r>
              <w:rPr>
                <w:rFonts w:hint="eastAsia" w:ascii="宋体" w:hAnsi="宋体"/>
                <w:b/>
                <w:color w:val="auto"/>
                <w:highlight w:val="none"/>
                <w:lang w:val="en-US" w:eastAsia="zh-CN"/>
              </w:rPr>
              <w:t xml:space="preserve">  </w:t>
            </w:r>
            <w:r>
              <w:rPr>
                <w:rFonts w:hint="eastAsia" w:ascii="宋体" w:hAnsi="宋体"/>
                <w:b/>
                <w:color w:val="auto"/>
                <w:highlight w:val="none"/>
              </w:rPr>
              <w:t>日 9时 30分</w:t>
            </w:r>
          </w:p>
        </w:tc>
      </w:tr>
      <w:tr w14:paraId="71AF87D2">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66122BC7">
            <w:pPr>
              <w:spacing w:before="0" w:after="0" w:afterAutospacing="0"/>
              <w:ind w:left="0" w:right="0" w:firstLine="0"/>
              <w:rPr>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5D6AD173">
            <w:pPr>
              <w:spacing w:before="0" w:after="0" w:afterAutospacing="0"/>
              <w:ind w:left="0" w:right="0" w:firstLine="0"/>
              <w:rPr>
                <w:rFonts w:ascii="宋体" w:hAnsi="宋体"/>
                <w:color w:val="auto"/>
                <w:highlight w:val="none"/>
              </w:rPr>
            </w:pPr>
            <w:r>
              <w:rPr>
                <w:rFonts w:hint="eastAsia" w:ascii="宋体" w:hAnsi="宋体"/>
                <w:color w:val="auto"/>
                <w:highlight w:val="none"/>
              </w:rPr>
              <w:t>递交比选申请文件地点</w:t>
            </w:r>
          </w:p>
        </w:tc>
        <w:tc>
          <w:tcPr>
            <w:tcW w:w="6711" w:type="dxa"/>
            <w:tcBorders>
              <w:top w:val="single" w:color="auto" w:sz="4" w:space="0"/>
              <w:left w:val="nil"/>
              <w:bottom w:val="single" w:color="auto" w:sz="4" w:space="0"/>
              <w:right w:val="single" w:color="auto" w:sz="4" w:space="0"/>
            </w:tcBorders>
            <w:vAlign w:val="center"/>
          </w:tcPr>
          <w:p w14:paraId="7FD4BFDB">
            <w:pPr>
              <w:spacing w:before="0" w:after="0" w:afterAutospacing="0"/>
              <w:ind w:left="0" w:right="0" w:firstLine="0"/>
              <w:rPr>
                <w:rFonts w:ascii="宋体" w:hAnsi="宋体"/>
                <w:color w:val="auto"/>
                <w:highlight w:val="none"/>
              </w:rPr>
            </w:pPr>
            <w:r>
              <w:rPr>
                <w:rFonts w:hint="eastAsia" w:ascii="宋体" w:hAnsi="宋体"/>
                <w:color w:val="auto"/>
                <w:highlight w:val="none"/>
              </w:rPr>
              <w:t>单位：</w:t>
            </w:r>
            <w:r>
              <w:rPr>
                <w:rFonts w:ascii="宋体" w:hAnsi="宋体"/>
                <w:color w:val="auto"/>
                <w:highlight w:val="none"/>
              </w:rPr>
              <w:t>南宁轨道</w:t>
            </w:r>
            <w:r>
              <w:rPr>
                <w:rFonts w:hint="eastAsia" w:ascii="宋体" w:hAnsi="宋体"/>
                <w:color w:val="auto"/>
                <w:highlight w:val="none"/>
              </w:rPr>
              <w:t>地产</w:t>
            </w:r>
            <w:r>
              <w:rPr>
                <w:rFonts w:ascii="宋体" w:hAnsi="宋体"/>
                <w:color w:val="auto"/>
                <w:highlight w:val="none"/>
              </w:rPr>
              <w:t>集团有限责任公司</w:t>
            </w:r>
          </w:p>
          <w:p w14:paraId="20B6B143">
            <w:pPr>
              <w:spacing w:before="0" w:after="0" w:afterAutospacing="0"/>
              <w:ind w:left="0" w:right="0" w:firstLine="0"/>
              <w:rPr>
                <w:b/>
                <w:color w:val="auto"/>
                <w:highlight w:val="none"/>
              </w:rPr>
            </w:pPr>
            <w:r>
              <w:rPr>
                <w:rFonts w:hint="eastAsia" w:ascii="宋体" w:hAnsi="宋体"/>
                <w:color w:val="auto"/>
                <w:highlight w:val="none"/>
              </w:rPr>
              <w:t>地址：</w:t>
            </w:r>
            <w:r>
              <w:rPr>
                <w:rFonts w:ascii="宋体" w:hAnsi="宋体"/>
                <w:color w:val="auto"/>
                <w:highlight w:val="none"/>
              </w:rPr>
              <w:t>南宁市青秀区</w:t>
            </w:r>
            <w:r>
              <w:rPr>
                <w:rFonts w:hint="eastAsia" w:ascii="宋体" w:hAnsi="宋体"/>
                <w:color w:val="auto"/>
                <w:highlight w:val="none"/>
              </w:rPr>
              <w:t>凤岭北路111号南宁国际旅游中心A座</w:t>
            </w:r>
            <w:r>
              <w:rPr>
                <w:rFonts w:hint="eastAsia" w:ascii="宋体" w:hAnsi="宋体"/>
                <w:color w:val="auto"/>
                <w:highlight w:val="none"/>
                <w:lang w:val="en-US" w:eastAsia="zh-CN"/>
              </w:rPr>
              <w:t>907招采</w:t>
            </w:r>
            <w:r>
              <w:rPr>
                <w:rFonts w:hint="eastAsia" w:ascii="宋体" w:hAnsi="宋体"/>
                <w:color w:val="auto"/>
                <w:highlight w:val="none"/>
              </w:rPr>
              <w:t>管理中心</w:t>
            </w:r>
          </w:p>
        </w:tc>
      </w:tr>
      <w:tr w14:paraId="653BF3EC">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451B5288">
            <w:pPr>
              <w:spacing w:before="0" w:after="0" w:afterAutospacing="0"/>
              <w:ind w:left="0" w:right="0" w:firstLine="0"/>
              <w:rPr>
                <w:rFonts w:ascii="宋体" w:hAnsi="宋体"/>
                <w:color w:val="auto"/>
                <w:highlight w:val="none"/>
              </w:rPr>
            </w:pPr>
            <w:r>
              <w:rPr>
                <w:rFonts w:hint="eastAsia" w:ascii="宋体" w:hAnsi="宋体"/>
                <w:color w:val="auto"/>
                <w:highlight w:val="none"/>
              </w:rPr>
              <w:t>3.8</w:t>
            </w:r>
          </w:p>
        </w:tc>
        <w:tc>
          <w:tcPr>
            <w:tcW w:w="1559" w:type="dxa"/>
            <w:tcBorders>
              <w:top w:val="single" w:color="auto" w:sz="4" w:space="0"/>
              <w:left w:val="nil"/>
              <w:bottom w:val="single" w:color="auto" w:sz="4" w:space="0"/>
              <w:right w:val="single" w:color="auto" w:sz="4" w:space="0"/>
            </w:tcBorders>
            <w:vAlign w:val="center"/>
          </w:tcPr>
          <w:p w14:paraId="127BE8D4">
            <w:pPr>
              <w:spacing w:before="0" w:after="0" w:afterAutospacing="0"/>
              <w:ind w:left="0" w:right="0" w:firstLine="0"/>
              <w:rPr>
                <w:rFonts w:ascii="宋体" w:hAnsi="宋体"/>
                <w:color w:val="auto"/>
                <w:highlight w:val="none"/>
              </w:rPr>
            </w:pPr>
            <w:r>
              <w:rPr>
                <w:rFonts w:hint="eastAsia" w:ascii="宋体" w:hAnsi="宋体"/>
                <w:color w:val="auto"/>
                <w:highlight w:val="none"/>
              </w:rPr>
              <w:t>评审方法</w:t>
            </w:r>
          </w:p>
        </w:tc>
        <w:tc>
          <w:tcPr>
            <w:tcW w:w="6711" w:type="dxa"/>
            <w:tcBorders>
              <w:top w:val="single" w:color="auto" w:sz="4" w:space="0"/>
              <w:left w:val="nil"/>
              <w:bottom w:val="single" w:color="auto" w:sz="4" w:space="0"/>
              <w:right w:val="single" w:color="auto" w:sz="4" w:space="0"/>
            </w:tcBorders>
            <w:vAlign w:val="center"/>
          </w:tcPr>
          <w:p w14:paraId="364A08A8">
            <w:pPr>
              <w:spacing w:before="0" w:after="0" w:afterAutospacing="0"/>
              <w:ind w:left="0" w:right="0" w:firstLine="0"/>
              <w:rPr>
                <w:rFonts w:ascii="宋体" w:hAnsi="宋体"/>
                <w:color w:val="auto"/>
                <w:highlight w:val="none"/>
              </w:rPr>
            </w:pPr>
            <w:r>
              <w:rPr>
                <w:rFonts w:hint="eastAsia" w:ascii="宋体" w:hAnsi="宋体"/>
                <w:color w:val="auto"/>
                <w:highlight w:val="none"/>
              </w:rPr>
              <w:t>综合评分法</w:t>
            </w:r>
            <w:r>
              <w:rPr>
                <w:rFonts w:ascii="宋体" w:hAnsi="宋体"/>
                <w:color w:val="auto"/>
                <w:highlight w:val="none"/>
              </w:rPr>
              <w:t>（评审价以不含税总报价为基准）</w:t>
            </w:r>
          </w:p>
        </w:tc>
      </w:tr>
      <w:tr w14:paraId="7A731CD5">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70E3C659">
            <w:pPr>
              <w:spacing w:before="0" w:after="0" w:afterAutospacing="0"/>
              <w:ind w:left="0" w:right="0" w:firstLine="0"/>
              <w:rPr>
                <w:rFonts w:ascii="宋体" w:hAnsi="宋体"/>
                <w:color w:val="auto"/>
                <w:highlight w:val="none"/>
              </w:rPr>
            </w:pPr>
            <w:r>
              <w:rPr>
                <w:rFonts w:hint="eastAsia" w:ascii="宋体" w:hAnsi="宋体"/>
                <w:color w:val="auto"/>
                <w:highlight w:val="none"/>
              </w:rPr>
              <w:t>3.9</w:t>
            </w:r>
          </w:p>
        </w:tc>
        <w:tc>
          <w:tcPr>
            <w:tcW w:w="1559" w:type="dxa"/>
            <w:tcBorders>
              <w:top w:val="single" w:color="auto" w:sz="4" w:space="0"/>
              <w:left w:val="nil"/>
              <w:bottom w:val="single" w:color="auto" w:sz="4" w:space="0"/>
              <w:right w:val="single" w:color="auto" w:sz="4" w:space="0"/>
            </w:tcBorders>
            <w:vAlign w:val="center"/>
          </w:tcPr>
          <w:p w14:paraId="4E83A8F9">
            <w:pPr>
              <w:spacing w:before="0" w:after="0" w:afterAutospacing="0"/>
              <w:ind w:left="0" w:right="0" w:firstLine="0"/>
              <w:rPr>
                <w:rFonts w:ascii="宋体" w:hAnsi="宋体"/>
                <w:color w:val="auto"/>
                <w:highlight w:val="none"/>
              </w:rPr>
            </w:pPr>
            <w:r>
              <w:rPr>
                <w:rFonts w:hint="eastAsia" w:ascii="宋体" w:hAnsi="宋体"/>
                <w:color w:val="auto"/>
                <w:highlight w:val="none"/>
              </w:rPr>
              <w:t>放弃中选人资格</w:t>
            </w:r>
          </w:p>
        </w:tc>
        <w:tc>
          <w:tcPr>
            <w:tcW w:w="6711" w:type="dxa"/>
            <w:tcBorders>
              <w:top w:val="single" w:color="auto" w:sz="4" w:space="0"/>
              <w:left w:val="nil"/>
              <w:bottom w:val="single" w:color="auto" w:sz="4" w:space="0"/>
              <w:right w:val="single" w:color="auto" w:sz="4" w:space="0"/>
            </w:tcBorders>
            <w:vAlign w:val="center"/>
          </w:tcPr>
          <w:p w14:paraId="0DB23C60">
            <w:pPr>
              <w:widowControl/>
              <w:numPr>
                <w:ilvl w:val="-1"/>
                <w:numId w:val="0"/>
              </w:numPr>
              <w:spacing w:before="0" w:after="0" w:afterAutospacing="0"/>
              <w:ind w:left="0" w:right="0" w:firstLine="0"/>
              <w:jc w:val="left"/>
              <w:rPr>
                <w:rFonts w:hint="default" w:ascii="宋体" w:hAnsi="宋体" w:eastAsia="宋体" w:cs="Times New Roman"/>
                <w:color w:val="auto"/>
                <w:sz w:val="21"/>
                <w:szCs w:val="21"/>
                <w:highlight w:val="none"/>
                <w:lang w:val="en-US" w:eastAsia="zh-CN"/>
              </w:rPr>
            </w:pPr>
            <w:r>
              <w:rPr>
                <w:rFonts w:hint="default" w:ascii="宋体" w:hAnsi="宋体" w:eastAsia="宋体" w:cs="Times New Roman"/>
                <w:color w:val="auto"/>
                <w:sz w:val="21"/>
                <w:szCs w:val="21"/>
                <w:highlight w:val="none"/>
                <w:lang w:val="en-US" w:eastAsia="zh-CN"/>
              </w:rPr>
              <w:t>按比选申请须知第40点执行</w:t>
            </w:r>
          </w:p>
          <w:p w14:paraId="078F3735">
            <w:pPr>
              <w:spacing w:before="0" w:after="0" w:afterAutospacing="0"/>
              <w:ind w:left="0" w:right="0" w:firstLine="0"/>
              <w:rPr>
                <w:rFonts w:ascii="宋体" w:hAnsi="宋体"/>
                <w:color w:val="auto"/>
                <w:highlight w:val="none"/>
              </w:rPr>
            </w:pPr>
          </w:p>
        </w:tc>
      </w:tr>
      <w:tr w14:paraId="4593514C">
        <w:tblPrEx>
          <w:tblCellMar>
            <w:top w:w="0" w:type="dxa"/>
            <w:left w:w="108" w:type="dxa"/>
            <w:bottom w:w="0" w:type="dxa"/>
            <w:right w:w="108" w:type="dxa"/>
          </w:tblCellMar>
        </w:tblPrEx>
        <w:trPr>
          <w:trHeight w:val="1572" w:hRule="atLeast"/>
        </w:trPr>
        <w:tc>
          <w:tcPr>
            <w:tcW w:w="847" w:type="dxa"/>
            <w:tcBorders>
              <w:top w:val="single" w:color="auto" w:sz="4" w:space="0"/>
              <w:left w:val="single" w:color="auto" w:sz="4" w:space="0"/>
              <w:bottom w:val="single" w:color="auto" w:sz="4" w:space="0"/>
              <w:right w:val="single" w:color="auto" w:sz="4" w:space="0"/>
            </w:tcBorders>
            <w:vAlign w:val="center"/>
          </w:tcPr>
          <w:p w14:paraId="6F2A858F">
            <w:pPr>
              <w:spacing w:before="0" w:after="0" w:afterAutospacing="0"/>
              <w:ind w:left="0" w:right="0" w:firstLine="0"/>
              <w:rPr>
                <w:rFonts w:ascii="宋体" w:hAnsi="宋体"/>
                <w:color w:val="auto"/>
                <w:highlight w:val="none"/>
              </w:rPr>
            </w:pPr>
            <w:r>
              <w:rPr>
                <w:rFonts w:hint="eastAsia" w:ascii="宋体" w:hAnsi="宋体"/>
                <w:color w:val="auto"/>
                <w:highlight w:val="none"/>
              </w:rPr>
              <w:t>3.10</w:t>
            </w:r>
          </w:p>
        </w:tc>
        <w:tc>
          <w:tcPr>
            <w:tcW w:w="1559" w:type="dxa"/>
            <w:tcBorders>
              <w:top w:val="single" w:color="auto" w:sz="4" w:space="0"/>
              <w:left w:val="nil"/>
              <w:bottom w:val="single" w:color="auto" w:sz="4" w:space="0"/>
              <w:right w:val="single" w:color="auto" w:sz="4" w:space="0"/>
            </w:tcBorders>
            <w:vAlign w:val="center"/>
          </w:tcPr>
          <w:p w14:paraId="53D2EBF1">
            <w:pPr>
              <w:spacing w:before="0" w:after="0" w:afterAutospacing="0"/>
              <w:ind w:left="0" w:right="0" w:firstLine="0"/>
              <w:rPr>
                <w:rFonts w:ascii="宋体" w:hAnsi="宋体"/>
                <w:color w:val="auto"/>
                <w:highlight w:val="none"/>
              </w:rPr>
            </w:pPr>
            <w:r>
              <w:rPr>
                <w:rFonts w:hint="eastAsia" w:ascii="宋体" w:hAnsi="宋体"/>
                <w:color w:val="auto"/>
                <w:highlight w:val="none"/>
              </w:rPr>
              <w:t>履约担保</w:t>
            </w:r>
          </w:p>
        </w:tc>
        <w:tc>
          <w:tcPr>
            <w:tcW w:w="6711" w:type="dxa"/>
            <w:tcBorders>
              <w:top w:val="single" w:color="auto" w:sz="4" w:space="0"/>
              <w:left w:val="nil"/>
              <w:bottom w:val="single" w:color="auto" w:sz="4" w:space="0"/>
              <w:right w:val="single" w:color="auto" w:sz="4" w:space="0"/>
            </w:tcBorders>
            <w:vAlign w:val="center"/>
          </w:tcPr>
          <w:p w14:paraId="7A3D8CC7">
            <w:pPr>
              <w:spacing w:before="0" w:after="0" w:afterAutospacing="0"/>
              <w:ind w:left="0" w:right="0" w:firstLine="0"/>
              <w:jc w:val="left"/>
              <w:rPr>
                <w:color w:val="auto"/>
                <w:highlight w:val="none"/>
              </w:rPr>
            </w:pPr>
            <w:r>
              <w:rPr>
                <w:rFonts w:hint="eastAsia"/>
                <w:color w:val="auto"/>
                <w:highlight w:val="none"/>
              </w:rPr>
              <w:t>履约担保的金额：无</w:t>
            </w:r>
          </w:p>
          <w:p w14:paraId="1BC9769F">
            <w:pPr>
              <w:spacing w:before="0" w:after="0" w:afterAutospacing="0"/>
              <w:ind w:left="0" w:right="0" w:firstLine="0"/>
              <w:jc w:val="left"/>
              <w:rPr>
                <w:color w:val="auto"/>
                <w:highlight w:val="none"/>
              </w:rPr>
            </w:pPr>
            <w:r>
              <w:rPr>
                <w:rFonts w:hint="eastAsia"/>
                <w:color w:val="auto"/>
                <w:highlight w:val="none"/>
              </w:rPr>
              <w:t>履约担保的形式：无；</w:t>
            </w:r>
          </w:p>
        </w:tc>
      </w:tr>
      <w:tr w14:paraId="0C037E58">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14:paraId="691A3F72">
            <w:pPr>
              <w:spacing w:before="0" w:after="0" w:afterAutospacing="0"/>
              <w:ind w:left="0" w:right="0" w:firstLine="0"/>
              <w:rPr>
                <w:rFonts w:ascii="宋体" w:hAnsi="宋体"/>
                <w:color w:val="auto"/>
                <w:highlight w:val="none"/>
              </w:rPr>
            </w:pPr>
            <w:r>
              <w:rPr>
                <w:rFonts w:hint="eastAsia" w:ascii="宋体" w:hAnsi="宋体"/>
                <w:color w:val="auto"/>
                <w:highlight w:val="none"/>
              </w:rPr>
              <w:t>4.1</w:t>
            </w:r>
          </w:p>
        </w:tc>
        <w:tc>
          <w:tcPr>
            <w:tcW w:w="1559" w:type="dxa"/>
            <w:vMerge w:val="restart"/>
            <w:tcBorders>
              <w:top w:val="single" w:color="auto" w:sz="4" w:space="0"/>
              <w:left w:val="nil"/>
              <w:right w:val="single" w:color="auto" w:sz="4" w:space="0"/>
            </w:tcBorders>
            <w:vAlign w:val="center"/>
          </w:tcPr>
          <w:p w14:paraId="606FE7DF">
            <w:pPr>
              <w:spacing w:before="0" w:after="0" w:afterAutospacing="0"/>
              <w:ind w:left="0" w:right="0" w:firstLine="0"/>
              <w:rPr>
                <w:rFonts w:ascii="宋体" w:hAnsi="宋体"/>
                <w:color w:val="auto"/>
                <w:highlight w:val="none"/>
              </w:rPr>
            </w:pPr>
            <w:r>
              <w:rPr>
                <w:rFonts w:hint="eastAsia" w:ascii="宋体" w:hAnsi="宋体"/>
                <w:color w:val="auto"/>
                <w:highlight w:val="none"/>
              </w:rPr>
              <w:t>需要补充的其他内容</w:t>
            </w:r>
          </w:p>
        </w:tc>
        <w:tc>
          <w:tcPr>
            <w:tcW w:w="6711" w:type="dxa"/>
            <w:tcBorders>
              <w:top w:val="single" w:color="auto" w:sz="4" w:space="0"/>
              <w:left w:val="nil"/>
              <w:bottom w:val="single" w:color="auto" w:sz="4" w:space="0"/>
              <w:right w:val="single" w:color="auto" w:sz="4" w:space="0"/>
            </w:tcBorders>
            <w:vAlign w:val="center"/>
          </w:tcPr>
          <w:p w14:paraId="5FD9F3FF">
            <w:pPr>
              <w:spacing w:before="0" w:after="0" w:afterAutospacing="0"/>
              <w:ind w:left="0" w:right="0" w:firstLine="0"/>
              <w:rPr>
                <w:rFonts w:ascii="宋体" w:hAnsi="宋体"/>
                <w:color w:val="auto"/>
                <w:highlight w:val="none"/>
              </w:rPr>
            </w:pPr>
            <w:r>
              <w:rPr>
                <w:rFonts w:hint="eastAsia" w:ascii="宋体" w:hAnsi="宋体"/>
                <w:color w:val="auto"/>
                <w:highlight w:val="none"/>
              </w:rPr>
              <w:t>1.比选申请人在递交纸质比选申请文件时，同时递交比选申请文件电子版。</w:t>
            </w:r>
          </w:p>
          <w:p w14:paraId="2D3B926E">
            <w:pPr>
              <w:spacing w:before="0" w:after="0" w:afterAutospacing="0"/>
              <w:ind w:left="0" w:right="0" w:firstLine="0"/>
              <w:rPr>
                <w:rFonts w:ascii="宋体" w:hAnsi="宋体" w:cs="Arial"/>
                <w:color w:val="auto"/>
                <w:highlight w:val="none"/>
              </w:rPr>
            </w:pPr>
            <w:r>
              <w:rPr>
                <w:rFonts w:hint="eastAsia" w:ascii="宋体" w:hAnsi="宋体"/>
                <w:color w:val="auto"/>
                <w:highlight w:val="none"/>
              </w:rPr>
              <w:t>2.比选申请文件电子版内容：</w:t>
            </w:r>
            <w:r>
              <w:rPr>
                <w:rFonts w:hint="eastAsia" w:ascii="宋体" w:hAnsi="宋体" w:cs="Arial"/>
                <w:color w:val="auto"/>
                <w:highlight w:val="none"/>
              </w:rPr>
              <w:t>资格审查文件、价格文件和技术文件。</w:t>
            </w:r>
          </w:p>
          <w:p w14:paraId="274ABEE5">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比选申请文件电子版份数：1份。</w:t>
            </w:r>
          </w:p>
          <w:p w14:paraId="3B2B84B1">
            <w:pPr>
              <w:spacing w:before="0" w:after="0" w:afterAutospacing="0"/>
              <w:ind w:left="0" w:right="0" w:firstLine="0"/>
              <w:rPr>
                <w:rFonts w:ascii="宋体" w:hAnsi="宋体"/>
                <w:color w:val="auto"/>
                <w:highlight w:val="none"/>
              </w:rPr>
            </w:pPr>
            <w:r>
              <w:rPr>
                <w:rFonts w:hint="eastAsia" w:ascii="宋体" w:hAnsi="宋体"/>
                <w:color w:val="auto"/>
                <w:highlight w:val="none"/>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70703113">
            <w:pPr>
              <w:spacing w:before="0" w:after="0" w:afterAutospacing="0"/>
              <w:ind w:left="0" w:right="0" w:firstLine="0"/>
              <w:rPr>
                <w:rFonts w:ascii="宋体" w:hAnsi="宋体"/>
                <w:color w:val="auto"/>
                <w:highlight w:val="none"/>
              </w:rPr>
            </w:pPr>
            <w:r>
              <w:rPr>
                <w:rFonts w:ascii="宋体" w:hAnsi="宋体"/>
                <w:color w:val="auto"/>
                <w:highlight w:val="none"/>
              </w:rPr>
              <w:t>5</w:t>
            </w:r>
            <w:r>
              <w:rPr>
                <w:rFonts w:hint="eastAsia" w:ascii="宋体" w:hAnsi="宋体"/>
                <w:color w:val="auto"/>
                <w:highlight w:val="none"/>
              </w:rPr>
              <w:t>.</w:t>
            </w:r>
            <w:r>
              <w:rPr>
                <w:rFonts w:ascii="宋体" w:hAnsi="宋体"/>
                <w:color w:val="auto"/>
                <w:highlight w:val="none"/>
              </w:rPr>
              <w:t>比选申请文件电子版密封方式：比选申请文件电子版与纸质版比选申请文件一并装入比选申请文件袋中。</w:t>
            </w:r>
          </w:p>
        </w:tc>
      </w:tr>
      <w:tr w14:paraId="04C754C9">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14:paraId="6BA7D837">
            <w:pPr>
              <w:spacing w:before="0" w:after="0" w:afterAutospacing="0"/>
              <w:ind w:left="0" w:right="0" w:firstLine="0"/>
              <w:rPr>
                <w:rFonts w:ascii="宋体" w:hAnsi="宋体"/>
                <w:color w:val="auto"/>
                <w:highlight w:val="none"/>
              </w:rPr>
            </w:pPr>
          </w:p>
        </w:tc>
        <w:tc>
          <w:tcPr>
            <w:tcW w:w="1559" w:type="dxa"/>
            <w:vMerge w:val="continue"/>
            <w:tcBorders>
              <w:left w:val="nil"/>
              <w:right w:val="single" w:color="auto" w:sz="4" w:space="0"/>
            </w:tcBorders>
            <w:vAlign w:val="center"/>
          </w:tcPr>
          <w:p w14:paraId="260A2AAF">
            <w:pPr>
              <w:spacing w:before="0" w:after="0" w:afterAutospacing="0"/>
              <w:ind w:left="0" w:right="0" w:firstLine="0"/>
              <w:rPr>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7042DF3A">
            <w:pPr>
              <w:spacing w:before="0" w:after="0" w:afterAutospacing="0"/>
              <w:ind w:left="0" w:right="0" w:firstLine="0"/>
              <w:rPr>
                <w:rFonts w:ascii="宋体" w:hAnsi="宋体"/>
                <w:color w:val="auto"/>
                <w:highlight w:val="none"/>
              </w:rPr>
            </w:pPr>
            <w:r>
              <w:rPr>
                <w:rFonts w:hint="eastAsia" w:ascii="宋体" w:hAnsi="宋体"/>
                <w:color w:val="auto"/>
                <w:highlight w:val="none"/>
              </w:rPr>
              <w:t>1.本比选文件中描述比选申请人的</w:t>
            </w:r>
            <w:r>
              <w:rPr>
                <w:rFonts w:ascii="宋体" w:hAnsi="宋体"/>
                <w:color w:val="auto"/>
                <w:highlight w:val="none"/>
              </w:rPr>
              <w:t>“</w:t>
            </w:r>
            <w:r>
              <w:rPr>
                <w:rFonts w:hint="eastAsia" w:ascii="宋体" w:hAnsi="宋体"/>
                <w:color w:val="auto"/>
                <w:highlight w:val="none"/>
              </w:rPr>
              <w:t>公章</w:t>
            </w:r>
            <w:r>
              <w:rPr>
                <w:rFonts w:ascii="宋体" w:hAnsi="宋体"/>
                <w:color w:val="auto"/>
                <w:highlight w:val="none"/>
              </w:rPr>
              <w:t>”</w:t>
            </w:r>
            <w:r>
              <w:rPr>
                <w:rFonts w:hint="eastAsia" w:ascii="宋体" w:hAnsi="宋体"/>
                <w:color w:val="auto"/>
                <w:highlight w:val="none"/>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01E1DC74">
            <w:pPr>
              <w:spacing w:before="0" w:after="0" w:afterAutospacing="0"/>
              <w:ind w:left="0" w:right="0" w:firstLine="0"/>
              <w:rPr>
                <w:rFonts w:ascii="宋体" w:hAnsi="宋体"/>
                <w:color w:val="auto"/>
                <w:highlight w:val="none"/>
              </w:rPr>
            </w:pPr>
            <w:r>
              <w:rPr>
                <w:rFonts w:hint="eastAsia" w:ascii="宋体" w:hAnsi="宋体"/>
                <w:color w:val="auto"/>
                <w:highlight w:val="none"/>
              </w:rPr>
              <w:t>2.本比选文件中描述比选申请人的</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r>
              <w:rPr>
                <w:rFonts w:hint="eastAsia" w:ascii="宋体" w:hAnsi="宋体"/>
                <w:color w:val="auto"/>
                <w:highlight w:val="none"/>
              </w:rPr>
              <w:t>是指比选申请人的法定代表人或被授权人亲自在比选文件规定签署处亲笔写上个人的名字的行为，私章、签字章、印鉴、影印等其它形式均不能代替亲笔签字。</w:t>
            </w:r>
          </w:p>
        </w:tc>
      </w:tr>
      <w:tr w14:paraId="325E7ED7">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14:paraId="068ABB89">
            <w:pPr>
              <w:spacing w:before="0" w:after="0" w:afterAutospacing="0"/>
              <w:ind w:left="0" w:right="0" w:firstLine="0"/>
              <w:rPr>
                <w:rFonts w:ascii="宋体" w:hAnsi="宋体"/>
                <w:color w:val="auto"/>
                <w:highlight w:val="none"/>
              </w:rPr>
            </w:pPr>
          </w:p>
        </w:tc>
        <w:tc>
          <w:tcPr>
            <w:tcW w:w="1559" w:type="dxa"/>
            <w:vMerge w:val="continue"/>
            <w:tcBorders>
              <w:left w:val="nil"/>
              <w:bottom w:val="single" w:color="auto" w:sz="4" w:space="0"/>
              <w:right w:val="single" w:color="auto" w:sz="4" w:space="0"/>
            </w:tcBorders>
            <w:vAlign w:val="center"/>
          </w:tcPr>
          <w:p w14:paraId="2D2E87B3">
            <w:pPr>
              <w:spacing w:before="0" w:after="0" w:afterAutospacing="0"/>
              <w:ind w:left="0" w:right="0" w:firstLine="0"/>
              <w:rPr>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6C1E0B08">
            <w:pPr>
              <w:spacing w:before="0" w:after="0" w:afterAutospacing="0"/>
              <w:ind w:left="0" w:right="0" w:firstLine="0"/>
              <w:rPr>
                <w:rFonts w:ascii="宋体" w:hAnsi="宋体"/>
                <w:color w:val="auto"/>
                <w:highlight w:val="none"/>
              </w:rPr>
            </w:pPr>
            <w:r>
              <w:rPr>
                <w:rFonts w:hint="eastAsia" w:ascii="宋体" w:hAnsi="宋体"/>
                <w:color w:val="auto"/>
                <w:highlight w:val="none"/>
              </w:rPr>
              <w:t>1.本项目比选文件的最终解释权归比选人。</w:t>
            </w:r>
          </w:p>
        </w:tc>
      </w:tr>
      <w:tr w14:paraId="66BA7411">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4FF76CC1">
            <w:pPr>
              <w:spacing w:before="0" w:after="0" w:afterAutospacing="0"/>
              <w:ind w:left="0" w:right="0" w:firstLine="0"/>
              <w:rPr>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7B753EA0">
            <w:pPr>
              <w:spacing w:before="0" w:after="0" w:afterAutospacing="0"/>
              <w:ind w:left="0" w:right="0" w:firstLine="0"/>
              <w:rPr>
                <w:rFonts w:ascii="宋体" w:hAnsi="宋体"/>
                <w:color w:val="auto"/>
                <w:highlight w:val="none"/>
              </w:rPr>
            </w:pPr>
            <w:r>
              <w:rPr>
                <w:rFonts w:hint="eastAsia" w:ascii="宋体" w:hAnsi="宋体"/>
                <w:color w:val="auto"/>
                <w:highlight w:val="none"/>
              </w:rPr>
              <w:t>其他</w:t>
            </w:r>
          </w:p>
        </w:tc>
        <w:tc>
          <w:tcPr>
            <w:tcW w:w="6711" w:type="dxa"/>
            <w:tcBorders>
              <w:top w:val="single" w:color="auto" w:sz="4" w:space="0"/>
              <w:left w:val="nil"/>
              <w:bottom w:val="single" w:color="auto" w:sz="4" w:space="0"/>
              <w:right w:val="single" w:color="auto" w:sz="4" w:space="0"/>
            </w:tcBorders>
            <w:vAlign w:val="center"/>
          </w:tcPr>
          <w:p w14:paraId="67F0B72C">
            <w:pPr>
              <w:spacing w:before="0" w:after="0" w:afterAutospacing="0"/>
              <w:ind w:left="0" w:right="0" w:firstLine="0"/>
              <w:rPr>
                <w:rFonts w:ascii="宋体" w:hAnsi="宋体"/>
                <w:color w:val="auto"/>
                <w:highlight w:val="none"/>
              </w:rPr>
            </w:pPr>
            <w:r>
              <w:rPr>
                <w:rFonts w:hint="eastAsia" w:ascii="宋体" w:hAnsi="宋体" w:cs="宋体"/>
                <w:color w:val="auto"/>
                <w:highlight w:val="none"/>
              </w:rPr>
              <w:t>中选单位如放弃中选资格，则比选人有权将其列入不良行为记录名单、三年内禁止其参加比选人的任何采购活动。</w:t>
            </w:r>
          </w:p>
        </w:tc>
      </w:tr>
    </w:tbl>
    <w:p w14:paraId="5E6BE3F2">
      <w:pPr>
        <w:pStyle w:val="3"/>
        <w:spacing w:after="0" w:afterAutospacing="0" w:line="360" w:lineRule="auto"/>
        <w:ind w:left="484" w:leftChars="200" w:right="0" w:hanging="64" w:hangingChars="20"/>
        <w:rPr>
          <w:rFonts w:ascii="宋体" w:hAnsi="宋体" w:eastAsia="宋体"/>
          <w:color w:val="auto"/>
          <w:sz w:val="24"/>
          <w:szCs w:val="24"/>
          <w:highlight w:val="none"/>
        </w:rPr>
      </w:pPr>
      <w:r>
        <w:rPr>
          <w:rFonts w:ascii="宋体" w:hAnsi="宋体" w:eastAsia="宋体"/>
          <w:color w:val="auto"/>
          <w:highlight w:val="none"/>
        </w:rPr>
        <w:br w:type="page"/>
      </w:r>
      <w:bookmarkStart w:id="79" w:name="_Toc322528193"/>
      <w:bookmarkEnd w:id="79"/>
      <w:bookmarkStart w:id="80" w:name="_Toc114134607"/>
      <w:r>
        <w:rPr>
          <w:rFonts w:hint="eastAsia" w:ascii="宋体" w:hAnsi="宋体" w:eastAsia="宋体"/>
          <w:color w:val="auto"/>
          <w:sz w:val="24"/>
          <w:szCs w:val="24"/>
          <w:highlight w:val="none"/>
        </w:rPr>
        <w:t>一、</w:t>
      </w:r>
      <w:r>
        <w:rPr>
          <w:rFonts w:ascii="宋体" w:hAnsi="宋体" w:eastAsia="宋体"/>
          <w:color w:val="auto"/>
          <w:sz w:val="24"/>
          <w:szCs w:val="24"/>
          <w:highlight w:val="none"/>
        </w:rPr>
        <w:t>说明</w:t>
      </w:r>
      <w:bookmarkEnd w:id="80"/>
    </w:p>
    <w:p w14:paraId="1EB4CC86">
      <w:pPr>
        <w:pStyle w:val="10"/>
        <w:spacing w:before="0" w:after="0" w:afterAutospacing="0"/>
        <w:ind w:left="0" w:right="0" w:firstLine="422" w:firstLineChars="200"/>
        <w:rPr>
          <w:rFonts w:ascii="宋体" w:hAnsi="宋体"/>
          <w:color w:val="auto"/>
          <w:sz w:val="21"/>
          <w:szCs w:val="21"/>
          <w:highlight w:val="none"/>
        </w:rPr>
      </w:pPr>
      <w:bookmarkStart w:id="81" w:name="_Toc6861"/>
      <w:bookmarkStart w:id="82" w:name="_Toc12526"/>
      <w:bookmarkStart w:id="83" w:name="_Toc11224"/>
      <w:bookmarkStart w:id="84" w:name="_Toc8166"/>
      <w:bookmarkStart w:id="85" w:name="_Toc7778"/>
      <w:bookmarkStart w:id="86" w:name="_Toc21139"/>
      <w:bookmarkStart w:id="87" w:name="_Toc3804"/>
      <w:bookmarkStart w:id="88" w:name="_Toc14066"/>
      <w:bookmarkStart w:id="89" w:name="_Toc390098419"/>
      <w:bookmarkStart w:id="90" w:name="_Toc385427793"/>
      <w:bookmarkStart w:id="91" w:name="_Toc28326"/>
      <w:bookmarkStart w:id="92" w:name="_Toc3364"/>
      <w:bookmarkStart w:id="93" w:name="_Toc383891168"/>
      <w:bookmarkStart w:id="94" w:name="_Toc5495"/>
      <w:bookmarkStart w:id="95" w:name="_Toc30570"/>
      <w:bookmarkStart w:id="96" w:name="_Toc463"/>
      <w:bookmarkStart w:id="97" w:name="_Toc114134608"/>
      <w:bookmarkStart w:id="98" w:name="_Toc375039064"/>
      <w:bookmarkStart w:id="99" w:name="_Toc9366"/>
      <w:bookmarkStart w:id="100" w:name="_Toc25750591"/>
      <w:bookmarkStart w:id="101" w:name="_Toc27079"/>
      <w:bookmarkStart w:id="102" w:name="_Toc17845"/>
      <w:bookmarkStart w:id="103" w:name="_Toc12983505"/>
      <w:bookmarkStart w:id="104" w:name="_Toc31563"/>
      <w:bookmarkStart w:id="105" w:name="_Toc492478718"/>
      <w:r>
        <w:rPr>
          <w:rFonts w:hint="eastAsia" w:ascii="宋体" w:hAnsi="宋体"/>
          <w:color w:val="auto"/>
          <w:sz w:val="21"/>
          <w:szCs w:val="21"/>
          <w:highlight w:val="none"/>
        </w:rPr>
        <w:t xml:space="preserve">1. </w:t>
      </w:r>
      <w:r>
        <w:rPr>
          <w:rFonts w:ascii="宋体" w:hAnsi="宋体"/>
          <w:color w:val="auto"/>
          <w:sz w:val="21"/>
          <w:szCs w:val="21"/>
          <w:highlight w:val="none"/>
        </w:rPr>
        <w:t>项目说明</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C1A317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 比选人</w:t>
      </w:r>
      <w:r>
        <w:rPr>
          <w:rFonts w:ascii="宋体" w:hAnsi="宋体"/>
          <w:color w:val="auto"/>
          <w:highlight w:val="none"/>
        </w:rPr>
        <w:t>：详见比选申请须知前附表。</w:t>
      </w:r>
    </w:p>
    <w:p w14:paraId="5874B8C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 项目名称</w:t>
      </w:r>
      <w:r>
        <w:rPr>
          <w:rFonts w:ascii="宋体" w:hAnsi="宋体"/>
          <w:color w:val="auto"/>
          <w:highlight w:val="none"/>
        </w:rPr>
        <w:t>：详见比选申请须知前附表。</w:t>
      </w:r>
    </w:p>
    <w:p w14:paraId="700BCE0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1.3 项目编号</w:t>
      </w:r>
      <w:r>
        <w:rPr>
          <w:rFonts w:ascii="宋体" w:hAnsi="宋体"/>
          <w:color w:val="auto"/>
          <w:highlight w:val="none"/>
        </w:rPr>
        <w:t>：详见比选申请须知前附表。</w:t>
      </w:r>
    </w:p>
    <w:p w14:paraId="5F2E988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1.4比选范围：</w:t>
      </w:r>
      <w:r>
        <w:rPr>
          <w:rFonts w:ascii="宋体" w:hAnsi="宋体"/>
          <w:color w:val="auto"/>
          <w:highlight w:val="none"/>
        </w:rPr>
        <w:t>详见比选申请须知前附表。</w:t>
      </w:r>
    </w:p>
    <w:p w14:paraId="754501C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1.5合同期：</w:t>
      </w:r>
      <w:r>
        <w:rPr>
          <w:rFonts w:ascii="宋体" w:hAnsi="宋体"/>
          <w:color w:val="auto"/>
          <w:highlight w:val="none"/>
        </w:rPr>
        <w:t>详见比选申请须知前附表。</w:t>
      </w:r>
    </w:p>
    <w:p w14:paraId="0B57658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1.6 资金来源情况：</w:t>
      </w:r>
      <w:r>
        <w:rPr>
          <w:rFonts w:ascii="宋体" w:hAnsi="宋体"/>
          <w:color w:val="auto"/>
          <w:highlight w:val="none"/>
        </w:rPr>
        <w:t>详见比选申请须知前附表。</w:t>
      </w:r>
    </w:p>
    <w:p w14:paraId="24346BA2">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1.7上限控制价</w:t>
      </w:r>
      <w:r>
        <w:rPr>
          <w:rFonts w:ascii="宋体" w:hAnsi="宋体"/>
          <w:color w:val="auto"/>
          <w:highlight w:val="none"/>
        </w:rPr>
        <w:t>：详见比选申请须知前附表。</w:t>
      </w:r>
    </w:p>
    <w:p w14:paraId="5E93AF22">
      <w:pPr>
        <w:pStyle w:val="10"/>
        <w:spacing w:before="0" w:after="0" w:afterAutospacing="0"/>
        <w:ind w:left="0" w:right="0" w:firstLine="422" w:firstLineChars="200"/>
        <w:rPr>
          <w:rFonts w:ascii="宋体" w:hAnsi="宋体"/>
          <w:color w:val="auto"/>
          <w:sz w:val="21"/>
          <w:szCs w:val="21"/>
          <w:highlight w:val="none"/>
        </w:rPr>
      </w:pPr>
      <w:bookmarkStart w:id="106" w:name="_Toc31314"/>
      <w:bookmarkStart w:id="107" w:name="_Toc383891169"/>
      <w:bookmarkStart w:id="108" w:name="_Toc12983506"/>
      <w:bookmarkStart w:id="109" w:name="_Toc492478719"/>
      <w:bookmarkStart w:id="110" w:name="_Toc16860"/>
      <w:bookmarkStart w:id="111" w:name="_Toc25750592"/>
      <w:bookmarkStart w:id="112" w:name="_Toc10907"/>
      <w:bookmarkStart w:id="113" w:name="_Toc375039065"/>
      <w:bookmarkStart w:id="114" w:name="_Toc27845"/>
      <w:bookmarkStart w:id="115" w:name="_Toc4780"/>
      <w:bookmarkStart w:id="116" w:name="_Toc27847"/>
      <w:bookmarkStart w:id="117" w:name="_Toc24429"/>
      <w:bookmarkStart w:id="118" w:name="_Toc114134609"/>
      <w:bookmarkStart w:id="119" w:name="_Toc385427794"/>
      <w:bookmarkStart w:id="120" w:name="_Toc21874"/>
      <w:bookmarkStart w:id="121" w:name="_Toc1552"/>
      <w:bookmarkStart w:id="122" w:name="_Toc8052"/>
      <w:bookmarkStart w:id="123" w:name="_Toc6038"/>
      <w:bookmarkStart w:id="124" w:name="_Toc22987"/>
      <w:bookmarkStart w:id="125" w:name="_Toc390098420"/>
      <w:bookmarkStart w:id="126" w:name="_Toc6985"/>
      <w:r>
        <w:rPr>
          <w:rFonts w:hint="eastAsia" w:ascii="宋体" w:hAnsi="宋体"/>
          <w:color w:val="auto"/>
          <w:sz w:val="21"/>
          <w:szCs w:val="21"/>
          <w:highlight w:val="none"/>
        </w:rPr>
        <w:t>2. 定义</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B4B292E">
      <w:pPr>
        <w:spacing w:before="0" w:after="0" w:afterAutospacing="0"/>
        <w:ind w:left="0" w:right="0" w:firstLine="420" w:firstLineChars="200"/>
        <w:rPr>
          <w:rFonts w:ascii="宋体" w:hAnsi="宋体"/>
          <w:color w:val="auto"/>
          <w:highlight w:val="none"/>
        </w:rPr>
      </w:pPr>
      <w:r>
        <w:rPr>
          <w:rFonts w:ascii="宋体" w:hAnsi="宋体"/>
          <w:color w:val="auto"/>
          <w:highlight w:val="none"/>
        </w:rPr>
        <w:t>本比选文件使用的下列词汇具有如下规定的意义。</w:t>
      </w:r>
    </w:p>
    <w:p w14:paraId="3EE763D7">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2.1 </w:t>
      </w:r>
      <w:r>
        <w:rPr>
          <w:rFonts w:ascii="宋体" w:hAnsi="宋体"/>
          <w:color w:val="auto"/>
          <w:highlight w:val="none"/>
        </w:rPr>
        <w:t>“比选人”系指提出</w:t>
      </w:r>
      <w:r>
        <w:rPr>
          <w:rFonts w:hint="eastAsia" w:ascii="宋体" w:hAnsi="宋体"/>
          <w:color w:val="auto"/>
          <w:highlight w:val="none"/>
        </w:rPr>
        <w:t>比选</w:t>
      </w:r>
      <w:r>
        <w:rPr>
          <w:rFonts w:ascii="宋体" w:hAnsi="宋体"/>
          <w:color w:val="auto"/>
          <w:highlight w:val="none"/>
        </w:rPr>
        <w:t>采购</w:t>
      </w:r>
      <w:r>
        <w:rPr>
          <w:rFonts w:hint="eastAsia" w:ascii="宋体" w:hAnsi="宋体"/>
          <w:color w:val="auto"/>
          <w:highlight w:val="none"/>
        </w:rPr>
        <w:t>项目</w:t>
      </w:r>
      <w:r>
        <w:rPr>
          <w:rFonts w:ascii="宋体" w:hAnsi="宋体"/>
          <w:color w:val="auto"/>
          <w:highlight w:val="none"/>
        </w:rPr>
        <w:t>的国家机关、企业、事业单位或其它组织。本比选文件中比选人是指</w:t>
      </w:r>
      <w:r>
        <w:rPr>
          <w:rFonts w:hint="eastAsia" w:ascii="宋体" w:hAnsi="宋体"/>
          <w:b/>
          <w:color w:val="auto"/>
          <w:highlight w:val="none"/>
          <w:lang w:eastAsia="zh-CN"/>
        </w:rPr>
        <w:t>南宁兴邕城市更新有限责任公司</w:t>
      </w:r>
      <w:r>
        <w:rPr>
          <w:rFonts w:ascii="宋体" w:hAnsi="宋体"/>
          <w:color w:val="auto"/>
          <w:highlight w:val="none"/>
        </w:rPr>
        <w:t>。如无特别说明本比选文件中的“</w:t>
      </w:r>
      <w:r>
        <w:rPr>
          <w:rFonts w:hint="eastAsia" w:ascii="宋体" w:hAnsi="宋体"/>
          <w:color w:val="auto"/>
          <w:highlight w:val="none"/>
        </w:rPr>
        <w:t>采购方</w:t>
      </w:r>
      <w:r>
        <w:rPr>
          <w:rFonts w:ascii="宋体" w:hAnsi="宋体"/>
          <w:color w:val="auto"/>
          <w:highlight w:val="none"/>
        </w:rPr>
        <w:t>、业主、甲方和比选人”均指：</w:t>
      </w:r>
      <w:r>
        <w:rPr>
          <w:rFonts w:hint="eastAsia" w:ascii="宋体" w:hAnsi="宋体"/>
          <w:b/>
          <w:color w:val="auto"/>
          <w:highlight w:val="none"/>
          <w:lang w:val="en-US" w:eastAsia="zh-CN"/>
        </w:rPr>
        <w:t>南宁兴邕城市更新有限责任公司</w:t>
      </w:r>
      <w:r>
        <w:rPr>
          <w:rFonts w:ascii="宋体" w:hAnsi="宋体"/>
          <w:color w:val="auto"/>
          <w:highlight w:val="none"/>
        </w:rPr>
        <w:t>。</w:t>
      </w:r>
    </w:p>
    <w:p w14:paraId="21AF92FC">
      <w:pPr>
        <w:tabs>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2.</w:t>
      </w:r>
      <w:r>
        <w:rPr>
          <w:rFonts w:hint="eastAsia" w:ascii="宋体" w:hAnsi="宋体"/>
          <w:color w:val="auto"/>
          <w:highlight w:val="none"/>
        </w:rPr>
        <w:t>2</w:t>
      </w:r>
      <w:r>
        <w:rPr>
          <w:rFonts w:ascii="宋体" w:hAnsi="宋体"/>
          <w:color w:val="auto"/>
          <w:highlight w:val="none"/>
        </w:rPr>
        <w:t xml:space="preserve"> “比选申请人”</w:t>
      </w:r>
      <w:r>
        <w:rPr>
          <w:rFonts w:hint="eastAsia" w:ascii="宋体" w:hAnsi="宋体"/>
          <w:color w:val="auto"/>
          <w:highlight w:val="none"/>
        </w:rPr>
        <w:t>系指响应比选、参加比选申请竞争的法人或其他组织</w:t>
      </w:r>
      <w:r>
        <w:rPr>
          <w:rFonts w:ascii="宋体" w:hAnsi="宋体"/>
          <w:color w:val="auto"/>
          <w:highlight w:val="none"/>
        </w:rPr>
        <w:t>。</w:t>
      </w:r>
    </w:p>
    <w:p w14:paraId="04F08779">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2.3</w:t>
      </w:r>
      <w:r>
        <w:rPr>
          <w:rFonts w:ascii="宋体" w:hAnsi="宋体"/>
          <w:color w:val="auto"/>
          <w:highlight w:val="none"/>
        </w:rPr>
        <w:t>“</w:t>
      </w:r>
      <w:r>
        <w:rPr>
          <w:rFonts w:hint="eastAsia" w:ascii="宋体" w:hAnsi="宋体"/>
          <w:color w:val="auto"/>
          <w:highlight w:val="none"/>
        </w:rPr>
        <w:t>服务</w:t>
      </w:r>
      <w:r>
        <w:rPr>
          <w:rFonts w:ascii="宋体" w:hAnsi="宋体"/>
          <w:color w:val="auto"/>
          <w:highlight w:val="none"/>
        </w:rPr>
        <w:t>”</w:t>
      </w:r>
      <w:r>
        <w:rPr>
          <w:rFonts w:hint="eastAsia" w:ascii="宋体" w:hAnsi="宋体"/>
          <w:color w:val="auto"/>
          <w:highlight w:val="none"/>
        </w:rPr>
        <w:t>系指比选文件规定比选申请人须承担的一切合同标的内容及配套工作。</w:t>
      </w:r>
    </w:p>
    <w:p w14:paraId="376A807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auto"/>
          <w:highlight w:val="none"/>
        </w:rPr>
        <w:t>。</w:t>
      </w:r>
    </w:p>
    <w:p w14:paraId="6B5415BD">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2.5</w:t>
      </w:r>
      <w:r>
        <w:rPr>
          <w:rFonts w:ascii="宋体" w:hAnsi="宋体"/>
          <w:color w:val="auto"/>
          <w:highlight w:val="none"/>
        </w:rPr>
        <w:t>“书面形式”系指打字或印刷的函件，包括传真、电报等。</w:t>
      </w:r>
    </w:p>
    <w:p w14:paraId="63D68C87">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2.6</w:t>
      </w:r>
      <w:r>
        <w:rPr>
          <w:rFonts w:ascii="宋体" w:hAnsi="宋体"/>
          <w:color w:val="auto"/>
          <w:highlight w:val="none"/>
        </w:rPr>
        <w:t>“日”、“天”系指日历天。</w:t>
      </w:r>
    </w:p>
    <w:p w14:paraId="5DBE06BB">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2.7“保质期”系指质量三包的期限。</w:t>
      </w:r>
    </w:p>
    <w:p w14:paraId="274772F9">
      <w:pPr>
        <w:pStyle w:val="10"/>
        <w:spacing w:before="0" w:after="0" w:afterAutospacing="0"/>
        <w:ind w:left="0" w:right="0" w:firstLine="422" w:firstLineChars="200"/>
        <w:rPr>
          <w:rFonts w:ascii="宋体" w:hAnsi="宋体"/>
          <w:color w:val="auto"/>
          <w:sz w:val="21"/>
          <w:szCs w:val="21"/>
          <w:highlight w:val="none"/>
        </w:rPr>
      </w:pPr>
      <w:bookmarkStart w:id="127" w:name="_Toc375039066"/>
      <w:bookmarkStart w:id="128" w:name="_Toc492478720"/>
      <w:bookmarkStart w:id="129" w:name="_Toc383891170"/>
      <w:bookmarkStart w:id="130" w:name="_Toc385427795"/>
      <w:bookmarkStart w:id="131" w:name="_Toc390098421"/>
      <w:bookmarkStart w:id="132" w:name="_Toc22845"/>
      <w:bookmarkStart w:id="133" w:name="_Toc22115"/>
      <w:bookmarkStart w:id="134" w:name="_Toc29859"/>
      <w:bookmarkStart w:id="135" w:name="_Toc7797"/>
      <w:bookmarkStart w:id="136" w:name="_Toc10653"/>
      <w:bookmarkStart w:id="137" w:name="_Toc12983507"/>
      <w:bookmarkStart w:id="138" w:name="_Toc7306"/>
      <w:bookmarkStart w:id="139" w:name="_Toc30498"/>
      <w:bookmarkStart w:id="140" w:name="_Toc29401"/>
      <w:bookmarkStart w:id="141" w:name="_Toc24844"/>
      <w:bookmarkStart w:id="142" w:name="_Toc9929"/>
      <w:bookmarkStart w:id="143" w:name="_Toc12940"/>
      <w:bookmarkStart w:id="144" w:name="_Toc25786"/>
      <w:bookmarkStart w:id="145" w:name="_Toc17568"/>
      <w:bookmarkStart w:id="146" w:name="_Toc307"/>
      <w:bookmarkStart w:id="147" w:name="_Toc25750593"/>
      <w:bookmarkStart w:id="148" w:name="_Toc17075"/>
      <w:bookmarkStart w:id="149" w:name="_Toc114134610"/>
      <w:bookmarkStart w:id="150" w:name="_Toc31477"/>
      <w:bookmarkStart w:id="151" w:name="_Toc8288"/>
      <w:r>
        <w:rPr>
          <w:rFonts w:ascii="宋体" w:hAnsi="宋体"/>
          <w:color w:val="auto"/>
          <w:sz w:val="21"/>
          <w:szCs w:val="21"/>
          <w:highlight w:val="none"/>
        </w:rPr>
        <w:t>3. 比选申请人</w:t>
      </w:r>
      <w:bookmarkEnd w:id="127"/>
      <w:bookmarkEnd w:id="128"/>
      <w:bookmarkEnd w:id="129"/>
      <w:bookmarkEnd w:id="130"/>
      <w:bookmarkEnd w:id="131"/>
      <w:r>
        <w:rPr>
          <w:rFonts w:hint="eastAsia" w:ascii="宋体" w:hAnsi="宋体"/>
          <w:color w:val="auto"/>
          <w:sz w:val="21"/>
          <w:szCs w:val="21"/>
          <w:highlight w:val="none"/>
        </w:rPr>
        <w:t>应具备的资格条件</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BF89AF6">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3.1 </w:t>
      </w:r>
      <w:r>
        <w:rPr>
          <w:rFonts w:ascii="宋体" w:hAnsi="宋体"/>
          <w:color w:val="auto"/>
          <w:highlight w:val="none"/>
        </w:rPr>
        <w:t>详见比选申请须知前附表。</w:t>
      </w:r>
    </w:p>
    <w:p w14:paraId="3C1544CD">
      <w:pPr>
        <w:spacing w:before="0" w:after="0" w:afterAutospacing="0"/>
        <w:ind w:left="0" w:right="0" w:firstLine="420" w:firstLineChars="200"/>
        <w:rPr>
          <w:rFonts w:ascii="宋体" w:hAnsi="宋体"/>
          <w:color w:val="auto"/>
          <w:highlight w:val="none"/>
        </w:rPr>
      </w:pPr>
      <w:r>
        <w:rPr>
          <w:rFonts w:ascii="宋体" w:hAnsi="宋体"/>
          <w:color w:val="auto"/>
          <w:highlight w:val="none"/>
        </w:rPr>
        <w:t xml:space="preserve">3.2 </w:t>
      </w:r>
      <w:r>
        <w:rPr>
          <w:rFonts w:hint="eastAsia" w:ascii="宋体" w:hAnsi="宋体"/>
          <w:color w:val="auto"/>
          <w:highlight w:val="none"/>
        </w:rPr>
        <w:t>比选申请人不得存在以下情况之一，否则其比选申请将被否决：</w:t>
      </w:r>
    </w:p>
    <w:p w14:paraId="07DA0AA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）为比选人不具有独立法人资格的附属机构（单位）；</w:t>
      </w:r>
    </w:p>
    <w:p w14:paraId="534148E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（2）处于被责令停业，或比选申请资格被行政主管部门取消，或财产被接管、冻结、破产状态；</w:t>
      </w:r>
    </w:p>
    <w:p w14:paraId="7701ED3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（3）有骗取中选、严重违约或重大质量安全责任事故；</w:t>
      </w:r>
    </w:p>
    <w:p w14:paraId="075D5C5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（4）单位负责人为同一人或者存在控股、管理关系的不同单位，不得同时参加同一标段比选申请或者未划分标段的同一比选项目比选申请；</w:t>
      </w:r>
    </w:p>
    <w:p w14:paraId="06225C2F">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（5）比选申请人向比选人或评审委员会成员以行贿的手段谋取中选的；</w:t>
      </w:r>
    </w:p>
    <w:p w14:paraId="201D29E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（6）串通比选申请或弄虚作假或有其他违法行为的；</w:t>
      </w:r>
    </w:p>
    <w:p w14:paraId="3C1830DF">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（7）在比选申请文件中提供虚假文件或资料的。</w:t>
      </w:r>
    </w:p>
    <w:p w14:paraId="58C4410E">
      <w:pPr>
        <w:pStyle w:val="10"/>
        <w:spacing w:before="0" w:after="0" w:afterAutospacing="0"/>
        <w:ind w:left="0" w:right="0" w:firstLine="422" w:firstLineChars="200"/>
        <w:rPr>
          <w:rFonts w:ascii="宋体" w:hAnsi="宋体"/>
          <w:color w:val="auto"/>
          <w:sz w:val="21"/>
          <w:szCs w:val="21"/>
          <w:highlight w:val="none"/>
        </w:rPr>
      </w:pPr>
      <w:bookmarkStart w:id="152" w:name="_Toc19081"/>
      <w:bookmarkStart w:id="153" w:name="_Toc21602"/>
      <w:bookmarkStart w:id="154" w:name="_Toc19709"/>
      <w:bookmarkStart w:id="155" w:name="_Toc18668"/>
      <w:bookmarkStart w:id="156" w:name="_Toc385427796"/>
      <w:bookmarkStart w:id="157" w:name="_Toc616"/>
      <w:bookmarkStart w:id="158" w:name="_Toc4438"/>
      <w:bookmarkStart w:id="159" w:name="_Toc25750594"/>
      <w:bookmarkStart w:id="160" w:name="_Toc492478721"/>
      <w:bookmarkStart w:id="161" w:name="_Toc375039067"/>
      <w:bookmarkStart w:id="162" w:name="_Toc7103"/>
      <w:bookmarkStart w:id="163" w:name="_Toc1125"/>
      <w:bookmarkStart w:id="164" w:name="_Toc383891171"/>
      <w:bookmarkStart w:id="165" w:name="_Toc390098422"/>
      <w:bookmarkStart w:id="166" w:name="_Toc24103"/>
      <w:bookmarkStart w:id="167" w:name="_Toc3292"/>
      <w:bookmarkStart w:id="168" w:name="_Toc23146"/>
      <w:bookmarkStart w:id="169" w:name="_Toc114134611"/>
      <w:bookmarkStart w:id="170" w:name="_Toc7832"/>
      <w:bookmarkStart w:id="171" w:name="_Toc31789"/>
      <w:bookmarkStart w:id="172" w:name="_Toc12983508"/>
      <w:bookmarkStart w:id="173" w:name="_Toc1737"/>
      <w:bookmarkStart w:id="174" w:name="_Toc25914"/>
      <w:bookmarkStart w:id="175" w:name="_Toc21215"/>
      <w:bookmarkStart w:id="176" w:name="_Toc30752"/>
      <w:r>
        <w:rPr>
          <w:rFonts w:hint="eastAsia" w:ascii="宋体" w:hAnsi="宋体"/>
          <w:color w:val="auto"/>
          <w:sz w:val="21"/>
          <w:szCs w:val="21"/>
          <w:highlight w:val="none"/>
        </w:rPr>
        <w:t xml:space="preserve">4. </w:t>
      </w:r>
      <w:r>
        <w:rPr>
          <w:rFonts w:ascii="宋体" w:hAnsi="宋体"/>
          <w:color w:val="auto"/>
          <w:sz w:val="21"/>
          <w:szCs w:val="21"/>
          <w:highlight w:val="none"/>
        </w:rPr>
        <w:t>比选申请费用</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F2D6034">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比选申请人准备和参加比选申请活动发生的费用自理</w:t>
      </w:r>
      <w:r>
        <w:rPr>
          <w:rFonts w:ascii="宋体" w:hAnsi="宋体"/>
          <w:color w:val="auto"/>
          <w:highlight w:val="none"/>
        </w:rPr>
        <w:t>。</w:t>
      </w:r>
    </w:p>
    <w:p w14:paraId="48D76FA5">
      <w:pPr>
        <w:pStyle w:val="3"/>
        <w:spacing w:after="0" w:afterAutospacing="0" w:line="360" w:lineRule="auto"/>
        <w:ind w:left="0" w:right="0" w:firstLine="482" w:firstLineChars="200"/>
        <w:rPr>
          <w:rFonts w:ascii="宋体" w:hAnsi="宋体" w:eastAsia="宋体"/>
          <w:color w:val="auto"/>
          <w:sz w:val="24"/>
          <w:szCs w:val="24"/>
          <w:highlight w:val="none"/>
        </w:rPr>
      </w:pPr>
      <w:bookmarkStart w:id="177" w:name="_Toc28220"/>
      <w:bookmarkStart w:id="178" w:name="_Toc5487"/>
      <w:bookmarkStart w:id="179" w:name="_Toc390098423"/>
      <w:bookmarkStart w:id="180" w:name="_Toc2986"/>
      <w:bookmarkStart w:id="181" w:name="_Toc385427797"/>
      <w:bookmarkStart w:id="182" w:name="_Toc2609"/>
      <w:bookmarkStart w:id="183" w:name="_Toc8562"/>
      <w:bookmarkStart w:id="184" w:name="_Toc375039068"/>
      <w:bookmarkStart w:id="185" w:name="_Toc16131"/>
      <w:bookmarkStart w:id="186" w:name="_Toc16530"/>
      <w:bookmarkStart w:id="187" w:name="_Toc12983509"/>
      <w:bookmarkStart w:id="188" w:name="_Toc7339"/>
      <w:bookmarkStart w:id="189" w:name="_Toc16608"/>
      <w:bookmarkStart w:id="190" w:name="_Toc5160"/>
      <w:bookmarkStart w:id="191" w:name="_Toc29160"/>
      <w:bookmarkStart w:id="192" w:name="_Toc19617"/>
      <w:bookmarkStart w:id="193" w:name="_Toc383891172"/>
      <w:bookmarkStart w:id="194" w:name="_Toc6528"/>
      <w:bookmarkStart w:id="195" w:name="_Toc3854"/>
      <w:bookmarkStart w:id="196" w:name="_Toc15763"/>
      <w:bookmarkStart w:id="197" w:name="_Toc492478722"/>
      <w:bookmarkStart w:id="198" w:name="_Toc18528"/>
      <w:bookmarkStart w:id="199" w:name="_Toc9677"/>
      <w:bookmarkStart w:id="200" w:name="_Toc114134612"/>
      <w:r>
        <w:rPr>
          <w:rFonts w:hint="eastAsia" w:ascii="宋体" w:hAnsi="宋体" w:eastAsia="宋体"/>
          <w:color w:val="auto"/>
          <w:sz w:val="24"/>
          <w:szCs w:val="24"/>
          <w:highlight w:val="none"/>
        </w:rPr>
        <w:t>二、</w:t>
      </w:r>
      <w:r>
        <w:rPr>
          <w:rFonts w:ascii="宋体" w:hAnsi="宋体" w:eastAsia="宋体"/>
          <w:color w:val="auto"/>
          <w:sz w:val="24"/>
          <w:szCs w:val="24"/>
          <w:highlight w:val="none"/>
        </w:rPr>
        <w:t>比选文件</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0786DDB">
      <w:pPr>
        <w:pStyle w:val="10"/>
        <w:spacing w:before="0" w:after="0" w:afterAutospacing="0"/>
        <w:ind w:left="0" w:right="0" w:firstLine="422" w:firstLineChars="200"/>
        <w:rPr>
          <w:rFonts w:ascii="宋体" w:hAnsi="宋体"/>
          <w:color w:val="auto"/>
          <w:sz w:val="21"/>
          <w:szCs w:val="21"/>
          <w:highlight w:val="none"/>
        </w:rPr>
      </w:pPr>
      <w:bookmarkStart w:id="201" w:name="_Toc4157"/>
      <w:bookmarkStart w:id="202" w:name="_Toc492478723"/>
      <w:bookmarkStart w:id="203" w:name="_Toc19561"/>
      <w:bookmarkStart w:id="204" w:name="_Toc25750596"/>
      <w:bookmarkStart w:id="205" w:name="_Toc390098424"/>
      <w:bookmarkStart w:id="206" w:name="_Toc114134613"/>
      <w:bookmarkStart w:id="207" w:name="_Toc30401"/>
      <w:bookmarkStart w:id="208" w:name="_Toc32710"/>
      <w:bookmarkStart w:id="209" w:name="_Toc13114"/>
      <w:bookmarkStart w:id="210" w:name="_Toc839"/>
      <w:bookmarkStart w:id="211" w:name="_Toc25378"/>
      <w:bookmarkStart w:id="212" w:name="_Toc29225"/>
      <w:bookmarkStart w:id="213" w:name="_Toc12983510"/>
      <w:bookmarkStart w:id="214" w:name="_Toc29472"/>
      <w:bookmarkStart w:id="215" w:name="_Toc383891173"/>
      <w:bookmarkStart w:id="216" w:name="_Toc26333"/>
      <w:bookmarkStart w:id="217" w:name="_Toc21811"/>
      <w:bookmarkStart w:id="218" w:name="_Toc18436"/>
      <w:bookmarkStart w:id="219" w:name="_Toc5877"/>
      <w:bookmarkStart w:id="220" w:name="_Toc9756"/>
      <w:bookmarkStart w:id="221" w:name="_Toc27870"/>
      <w:bookmarkStart w:id="222" w:name="_Toc375039069"/>
      <w:bookmarkStart w:id="223" w:name="_Toc6637"/>
      <w:bookmarkStart w:id="224" w:name="_Toc385427798"/>
      <w:bookmarkStart w:id="225" w:name="_Toc6764"/>
      <w:r>
        <w:rPr>
          <w:rFonts w:hint="eastAsia" w:ascii="宋体" w:hAnsi="宋体"/>
          <w:color w:val="auto"/>
          <w:sz w:val="21"/>
          <w:szCs w:val="21"/>
          <w:highlight w:val="none"/>
        </w:rPr>
        <w:t xml:space="preserve">5. </w:t>
      </w:r>
      <w:r>
        <w:rPr>
          <w:rFonts w:ascii="宋体" w:hAnsi="宋体"/>
          <w:color w:val="auto"/>
          <w:sz w:val="21"/>
          <w:szCs w:val="21"/>
          <w:highlight w:val="none"/>
        </w:rPr>
        <w:t>比选文件构成</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225307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5.1 </w:t>
      </w:r>
      <w:r>
        <w:rPr>
          <w:rFonts w:ascii="宋体" w:hAnsi="宋体"/>
          <w:color w:val="auto"/>
          <w:highlight w:val="none"/>
        </w:rPr>
        <w:t>比选文件包括下列内容：</w:t>
      </w:r>
    </w:p>
    <w:p w14:paraId="59ED9036">
      <w:pPr>
        <w:numPr>
          <w:ilvl w:val="0"/>
          <w:numId w:val="2"/>
        </w:numPr>
        <w:spacing w:before="0"/>
        <w:ind w:right="0" w:firstLine="200"/>
        <w:rPr>
          <w:rFonts w:ascii="宋体" w:hAnsi="宋体"/>
          <w:color w:val="auto"/>
          <w:highlight w:val="none"/>
        </w:rPr>
      </w:pPr>
      <w:r>
        <w:rPr>
          <w:rFonts w:ascii="宋体" w:hAnsi="宋体"/>
          <w:color w:val="auto"/>
          <w:highlight w:val="none"/>
        </w:rPr>
        <w:t>比选公告</w:t>
      </w:r>
    </w:p>
    <w:p w14:paraId="39188152">
      <w:pPr>
        <w:numPr>
          <w:ilvl w:val="0"/>
          <w:numId w:val="2"/>
        </w:numPr>
        <w:spacing w:before="0"/>
        <w:ind w:right="0" w:firstLine="200"/>
        <w:rPr>
          <w:rFonts w:ascii="宋体" w:hAnsi="宋体"/>
          <w:color w:val="auto"/>
          <w:highlight w:val="none"/>
        </w:rPr>
      </w:pPr>
      <w:r>
        <w:rPr>
          <w:rFonts w:ascii="宋体" w:hAnsi="宋体"/>
          <w:color w:val="auto"/>
          <w:highlight w:val="none"/>
        </w:rPr>
        <w:t>比选申请人须知</w:t>
      </w:r>
    </w:p>
    <w:p w14:paraId="0D64ADA6">
      <w:pPr>
        <w:numPr>
          <w:ilvl w:val="0"/>
          <w:numId w:val="2"/>
        </w:numPr>
        <w:spacing w:before="0"/>
        <w:ind w:right="0" w:firstLine="200"/>
        <w:rPr>
          <w:rFonts w:ascii="宋体" w:hAnsi="宋体"/>
          <w:color w:val="auto"/>
          <w:highlight w:val="none"/>
        </w:rPr>
      </w:pPr>
      <w:r>
        <w:rPr>
          <w:rFonts w:ascii="宋体" w:hAnsi="宋体"/>
          <w:color w:val="auto"/>
          <w:highlight w:val="none"/>
        </w:rPr>
        <w:t>合同条款</w:t>
      </w:r>
      <w:r>
        <w:rPr>
          <w:rFonts w:hint="eastAsia" w:ascii="宋体" w:hAnsi="宋体"/>
          <w:color w:val="auto"/>
          <w:highlight w:val="none"/>
        </w:rPr>
        <w:t>及格式</w:t>
      </w:r>
    </w:p>
    <w:p w14:paraId="19A17382">
      <w:pPr>
        <w:numPr>
          <w:ilvl w:val="0"/>
          <w:numId w:val="2"/>
        </w:numPr>
        <w:spacing w:before="0"/>
        <w:ind w:right="0" w:firstLine="200"/>
        <w:rPr>
          <w:rFonts w:ascii="宋体" w:hAnsi="宋体"/>
          <w:color w:val="auto"/>
          <w:highlight w:val="none"/>
        </w:rPr>
      </w:pPr>
      <w:r>
        <w:rPr>
          <w:rFonts w:ascii="宋体" w:hAnsi="宋体"/>
          <w:color w:val="auto"/>
          <w:highlight w:val="none"/>
        </w:rPr>
        <w:t>比选申请文件格式</w:t>
      </w:r>
    </w:p>
    <w:p w14:paraId="4E08FD41">
      <w:pPr>
        <w:numPr>
          <w:ilvl w:val="0"/>
          <w:numId w:val="2"/>
        </w:numPr>
        <w:spacing w:before="0" w:after="0" w:afterAutospacing="0"/>
        <w:ind w:right="0" w:firstLine="198"/>
        <w:rPr>
          <w:rFonts w:ascii="宋体" w:hAnsi="宋体"/>
          <w:color w:val="auto"/>
          <w:highlight w:val="none"/>
        </w:rPr>
      </w:pPr>
      <w:r>
        <w:rPr>
          <w:rFonts w:ascii="宋体" w:hAnsi="宋体"/>
          <w:color w:val="auto"/>
          <w:highlight w:val="none"/>
        </w:rPr>
        <w:t>评</w:t>
      </w:r>
      <w:r>
        <w:rPr>
          <w:rFonts w:hint="eastAsia" w:ascii="宋体" w:hAnsi="宋体"/>
          <w:color w:val="auto"/>
          <w:highlight w:val="none"/>
        </w:rPr>
        <w:t>分</w:t>
      </w:r>
      <w:r>
        <w:rPr>
          <w:rFonts w:ascii="宋体" w:hAnsi="宋体"/>
          <w:color w:val="auto"/>
          <w:highlight w:val="none"/>
        </w:rPr>
        <w:t>办法</w:t>
      </w:r>
    </w:p>
    <w:p w14:paraId="4381916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5.2 </w:t>
      </w:r>
      <w:r>
        <w:rPr>
          <w:rFonts w:ascii="宋体" w:hAnsi="宋体"/>
          <w:color w:val="auto"/>
          <w:highlight w:val="none"/>
        </w:rPr>
        <w:t>比选申请人应认真检阅比选文件中所有的章节、条款、格式、图纸、附表和附件等。如果在收到比选文件后发现有缺页、印刷不清楚或对其中内容不理解而未向</w:t>
      </w:r>
      <w:r>
        <w:rPr>
          <w:rFonts w:hint="eastAsia" w:ascii="宋体" w:hAnsi="宋体"/>
          <w:color w:val="auto"/>
          <w:highlight w:val="none"/>
        </w:rPr>
        <w:t>比选人</w:t>
      </w:r>
      <w:r>
        <w:rPr>
          <w:rFonts w:ascii="宋体" w:hAnsi="宋体"/>
          <w:color w:val="auto"/>
          <w:highlight w:val="none"/>
        </w:rPr>
        <w:t>提出，由此导致的比选申请失误，其责任由比选申请人自负。</w:t>
      </w:r>
    </w:p>
    <w:p w14:paraId="7DD88BA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5.3 </w:t>
      </w:r>
      <w:r>
        <w:rPr>
          <w:rFonts w:ascii="宋体" w:hAnsi="宋体"/>
          <w:color w:val="auto"/>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45BD3053">
      <w:pPr>
        <w:pStyle w:val="10"/>
        <w:spacing w:before="0" w:after="0" w:afterAutospacing="0"/>
        <w:ind w:left="0" w:right="0" w:firstLine="422" w:firstLineChars="200"/>
        <w:rPr>
          <w:rFonts w:ascii="宋体" w:hAnsi="宋体"/>
          <w:color w:val="auto"/>
          <w:sz w:val="21"/>
          <w:szCs w:val="21"/>
          <w:highlight w:val="none"/>
        </w:rPr>
      </w:pPr>
      <w:bookmarkStart w:id="226" w:name="_Toc15154"/>
      <w:bookmarkStart w:id="227" w:name="_Toc29001"/>
      <w:bookmarkStart w:id="228" w:name="_Toc375039070"/>
      <w:bookmarkStart w:id="229" w:name="_Toc385427799"/>
      <w:bookmarkStart w:id="230" w:name="_Toc26811"/>
      <w:bookmarkStart w:id="231" w:name="_Toc114134614"/>
      <w:bookmarkStart w:id="232" w:name="_Toc492478724"/>
      <w:bookmarkStart w:id="233" w:name="_Toc17279"/>
      <w:bookmarkStart w:id="234" w:name="_Toc18631"/>
      <w:bookmarkStart w:id="235" w:name="_Toc28270"/>
      <w:bookmarkStart w:id="236" w:name="_Toc14426"/>
      <w:bookmarkStart w:id="237" w:name="_Toc2664"/>
      <w:bookmarkStart w:id="238" w:name="_Toc20903"/>
      <w:bookmarkStart w:id="239" w:name="_Toc21365"/>
      <w:bookmarkStart w:id="240" w:name="_Toc12983511"/>
      <w:bookmarkStart w:id="241" w:name="_Toc31848"/>
      <w:bookmarkStart w:id="242" w:name="_Toc2789"/>
      <w:bookmarkStart w:id="243" w:name="_Toc10162"/>
      <w:bookmarkStart w:id="244" w:name="_Toc383891174"/>
      <w:bookmarkStart w:id="245" w:name="_Toc31386"/>
      <w:bookmarkStart w:id="246" w:name="_Toc390098425"/>
      <w:bookmarkStart w:id="247" w:name="_Toc2489"/>
      <w:bookmarkStart w:id="248" w:name="_Toc26909"/>
      <w:bookmarkStart w:id="249" w:name="_Toc11896"/>
      <w:bookmarkStart w:id="250" w:name="_Toc25750597"/>
      <w:r>
        <w:rPr>
          <w:rFonts w:hint="eastAsia" w:ascii="宋体" w:hAnsi="宋体"/>
          <w:color w:val="auto"/>
          <w:sz w:val="21"/>
          <w:szCs w:val="21"/>
          <w:highlight w:val="none"/>
        </w:rPr>
        <w:t>6.</w:t>
      </w:r>
      <w:r>
        <w:rPr>
          <w:rFonts w:ascii="宋体" w:hAnsi="宋体"/>
          <w:color w:val="auto"/>
          <w:sz w:val="21"/>
          <w:szCs w:val="21"/>
          <w:highlight w:val="none"/>
        </w:rPr>
        <w:t>比选文件的澄清</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2201DDF">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6.1 </w:t>
      </w:r>
      <w:r>
        <w:rPr>
          <w:rFonts w:ascii="宋体" w:hAnsi="宋体"/>
          <w:color w:val="auto"/>
          <w:highlight w:val="none"/>
        </w:rPr>
        <w:t>任何要求对比选文件进行澄清的比选申请人，应在比选申请须知前附表所规定的时间</w:t>
      </w:r>
      <w:r>
        <w:rPr>
          <w:rFonts w:hint="eastAsia" w:ascii="宋体" w:hAnsi="宋体"/>
          <w:color w:val="auto"/>
          <w:highlight w:val="none"/>
        </w:rPr>
        <w:t>及形式向比选人提出。</w:t>
      </w:r>
    </w:p>
    <w:p w14:paraId="46F302A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6.2 比选申请人应仔细阅读和检查比选文件的全部内容。如发现缺页或附件不全，应及时向比选人提出，以便补齐。任何要求对比选文件进行澄清的比选申请人，应在比选申请须知前附表所规定的时间之前，以书面形式通知比选人，同时以发电子邮件的形式提供电子版本文件。否则，比选人有权</w:t>
      </w:r>
      <w:r>
        <w:rPr>
          <w:rFonts w:ascii="宋体" w:hAnsi="宋体"/>
          <w:color w:val="auto"/>
          <w:highlight w:val="none"/>
        </w:rPr>
        <w:t>有权不予答复</w:t>
      </w:r>
      <w:r>
        <w:rPr>
          <w:rFonts w:hint="eastAsia" w:ascii="宋体" w:hAnsi="宋体"/>
          <w:color w:val="auto"/>
          <w:highlight w:val="none"/>
        </w:rPr>
        <w:t>，</w:t>
      </w:r>
      <w:r>
        <w:rPr>
          <w:rFonts w:ascii="宋体" w:hAnsi="宋体"/>
          <w:color w:val="auto"/>
          <w:highlight w:val="none"/>
        </w:rPr>
        <w:t>或答复后</w:t>
      </w:r>
      <w:r>
        <w:rPr>
          <w:rFonts w:hint="eastAsia" w:ascii="宋体" w:hAnsi="宋体"/>
          <w:color w:val="auto"/>
          <w:highlight w:val="none"/>
        </w:rPr>
        <w:t>比选文件递交</w:t>
      </w:r>
      <w:r>
        <w:rPr>
          <w:rFonts w:ascii="宋体" w:hAnsi="宋体"/>
          <w:color w:val="auto"/>
          <w:highlight w:val="none"/>
        </w:rPr>
        <w:t>截止时间由</w:t>
      </w:r>
      <w:r>
        <w:rPr>
          <w:rFonts w:hint="eastAsia" w:ascii="宋体" w:hAnsi="宋体"/>
          <w:color w:val="auto"/>
          <w:highlight w:val="none"/>
        </w:rPr>
        <w:t>比选</w:t>
      </w:r>
      <w:r>
        <w:rPr>
          <w:rFonts w:ascii="宋体" w:hAnsi="宋体"/>
          <w:color w:val="auto"/>
          <w:highlight w:val="none"/>
        </w:rPr>
        <w:t>人确定是否顺延</w:t>
      </w:r>
      <w:r>
        <w:rPr>
          <w:rFonts w:hint="eastAsia" w:ascii="宋体" w:hAnsi="宋体"/>
          <w:color w:val="auto"/>
          <w:highlight w:val="none"/>
        </w:rPr>
        <w:t>。比选人</w:t>
      </w:r>
      <w:r>
        <w:rPr>
          <w:rFonts w:ascii="宋体" w:hAnsi="宋体"/>
          <w:color w:val="auto"/>
          <w:highlight w:val="none"/>
        </w:rPr>
        <w:t>将根据比选申请人的</w:t>
      </w:r>
      <w:r>
        <w:rPr>
          <w:rFonts w:hint="eastAsia" w:ascii="宋体" w:hAnsi="宋体"/>
          <w:color w:val="auto"/>
          <w:highlight w:val="none"/>
        </w:rPr>
        <w:t>书面</w:t>
      </w:r>
      <w:r>
        <w:rPr>
          <w:rFonts w:ascii="宋体" w:hAnsi="宋体"/>
          <w:color w:val="auto"/>
          <w:highlight w:val="none"/>
        </w:rPr>
        <w:t>澄清要求</w:t>
      </w:r>
      <w:r>
        <w:rPr>
          <w:rFonts w:hint="eastAsia" w:ascii="宋体" w:hAnsi="宋体"/>
          <w:color w:val="auto"/>
          <w:highlight w:val="none"/>
        </w:rPr>
        <w:t>进行澄清答复，答复的方式及比选申请人确认的方式详见比选申请须知前附表，比选人</w:t>
      </w:r>
      <w:r>
        <w:rPr>
          <w:rFonts w:ascii="宋体" w:hAnsi="宋体"/>
          <w:color w:val="auto"/>
          <w:highlight w:val="none"/>
        </w:rPr>
        <w:t>只答复与比选文件内容有关的问题，并有权对任何与比选文件无关的问题不作回答。</w:t>
      </w:r>
    </w:p>
    <w:p w14:paraId="0FE57C0A">
      <w:pPr>
        <w:pStyle w:val="10"/>
        <w:spacing w:before="0" w:after="0" w:afterAutospacing="0"/>
        <w:ind w:left="0" w:right="0" w:firstLine="422" w:firstLineChars="200"/>
        <w:rPr>
          <w:rFonts w:ascii="宋体" w:hAnsi="宋体"/>
          <w:color w:val="auto"/>
          <w:sz w:val="21"/>
          <w:szCs w:val="21"/>
          <w:highlight w:val="none"/>
        </w:rPr>
      </w:pPr>
      <w:bookmarkStart w:id="251" w:name="_Toc390098426"/>
      <w:bookmarkStart w:id="252" w:name="_Toc15137"/>
      <w:bookmarkStart w:id="253" w:name="_Toc29795"/>
      <w:bookmarkStart w:id="254" w:name="_Toc2976"/>
      <w:bookmarkStart w:id="255" w:name="_Toc2072"/>
      <w:bookmarkStart w:id="256" w:name="_Toc19345"/>
      <w:bookmarkStart w:id="257" w:name="_Toc375039071"/>
      <w:bookmarkStart w:id="258" w:name="_Toc385427800"/>
      <w:bookmarkStart w:id="259" w:name="_Toc27124"/>
      <w:bookmarkStart w:id="260" w:name="_Toc7063"/>
      <w:bookmarkStart w:id="261" w:name="_Toc114134615"/>
      <w:bookmarkStart w:id="262" w:name="_Toc5364"/>
      <w:bookmarkStart w:id="263" w:name="_Toc15674"/>
      <w:bookmarkStart w:id="264" w:name="_Toc15498"/>
      <w:bookmarkStart w:id="265" w:name="_Toc383891175"/>
      <w:bookmarkStart w:id="266" w:name="_Toc22529"/>
      <w:bookmarkStart w:id="267" w:name="_Toc24191"/>
      <w:bookmarkStart w:id="268" w:name="_Toc30378"/>
      <w:bookmarkStart w:id="269" w:name="_Toc12983512"/>
      <w:bookmarkStart w:id="270" w:name="_Toc26952"/>
      <w:bookmarkStart w:id="271" w:name="_Toc25750598"/>
      <w:bookmarkStart w:id="272" w:name="_Toc14181"/>
      <w:bookmarkStart w:id="273" w:name="_Toc24583"/>
      <w:bookmarkStart w:id="274" w:name="_Toc24128"/>
      <w:bookmarkStart w:id="275" w:name="_Toc492478725"/>
      <w:r>
        <w:rPr>
          <w:rFonts w:hint="eastAsia" w:ascii="宋体" w:hAnsi="宋体"/>
          <w:color w:val="auto"/>
          <w:sz w:val="21"/>
          <w:szCs w:val="21"/>
          <w:highlight w:val="none"/>
        </w:rPr>
        <w:t xml:space="preserve">7. </w:t>
      </w:r>
      <w:r>
        <w:rPr>
          <w:rFonts w:ascii="宋体" w:hAnsi="宋体"/>
          <w:color w:val="auto"/>
          <w:sz w:val="21"/>
          <w:szCs w:val="21"/>
          <w:highlight w:val="none"/>
        </w:rPr>
        <w:t>比选文件的补遗或修改</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088F8D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7.1 </w:t>
      </w:r>
      <w:r>
        <w:rPr>
          <w:rFonts w:ascii="宋体" w:hAnsi="宋体"/>
          <w:color w:val="auto"/>
          <w:highlight w:val="none"/>
        </w:rPr>
        <w:t>在比选申请截止期前，无论出于何种原因，</w:t>
      </w:r>
      <w:r>
        <w:rPr>
          <w:rFonts w:hint="eastAsia" w:ascii="宋体" w:hAnsi="宋体"/>
          <w:color w:val="auto"/>
          <w:highlight w:val="none"/>
        </w:rPr>
        <w:t>比选人</w:t>
      </w:r>
      <w:r>
        <w:rPr>
          <w:rFonts w:ascii="宋体" w:hAnsi="宋体"/>
          <w:color w:val="auto"/>
          <w:highlight w:val="none"/>
        </w:rPr>
        <w:t>可以主动或应比选申请人澄清要求对比选文件进行必要的补遗或修改。</w:t>
      </w:r>
    </w:p>
    <w:p w14:paraId="084A2A6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7.2 </w:t>
      </w:r>
      <w:r>
        <w:rPr>
          <w:rFonts w:ascii="宋体" w:hAnsi="宋体"/>
          <w:color w:val="auto"/>
          <w:highlight w:val="none"/>
        </w:rPr>
        <w:t>比选文件的补遗或修改通知是比选文件的组成部分，补充比选文件在</w:t>
      </w:r>
      <w:r>
        <w:rPr>
          <w:rFonts w:hint="eastAsia" w:ascii="宋体" w:hAnsi="宋体"/>
          <w:b/>
          <w:bCs/>
          <w:color w:val="auto"/>
          <w:highlight w:val="none"/>
        </w:rPr>
        <w:t>南宁轨道地产集团有限责任公司</w:t>
      </w:r>
      <w:r>
        <w:rPr>
          <w:rFonts w:hint="eastAsia" w:ascii="宋体" w:hAnsi="宋体"/>
          <w:color w:val="auto"/>
          <w:highlight w:val="none"/>
        </w:rPr>
        <w:t>官网</w:t>
      </w:r>
      <w:r>
        <w:rPr>
          <w:rFonts w:ascii="宋体" w:hAnsi="宋体"/>
          <w:color w:val="auto"/>
          <w:highlight w:val="none"/>
        </w:rPr>
        <w:t>上发布之日起，视为比选申请人已收到该补充比选文件。比选申请人未及时关注</w:t>
      </w:r>
      <w:r>
        <w:rPr>
          <w:rFonts w:hint="eastAsia" w:ascii="宋体" w:hAnsi="宋体"/>
          <w:b/>
          <w:bCs/>
          <w:color w:val="auto"/>
          <w:highlight w:val="none"/>
        </w:rPr>
        <w:t>南宁轨道地产集团有限责任公司</w:t>
      </w:r>
      <w:r>
        <w:rPr>
          <w:rFonts w:hint="eastAsia" w:ascii="宋体" w:hAnsi="宋体"/>
          <w:color w:val="auto"/>
          <w:highlight w:val="none"/>
        </w:rPr>
        <w:t>官网</w:t>
      </w:r>
      <w:r>
        <w:rPr>
          <w:rFonts w:ascii="宋体" w:hAnsi="宋体"/>
          <w:color w:val="auto"/>
          <w:highlight w:val="none"/>
        </w:rPr>
        <w:t>上发布的补充比选文件造成的损失，由比选申请人自行负责。</w:t>
      </w:r>
    </w:p>
    <w:p w14:paraId="7D1C360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7.3 </w:t>
      </w:r>
      <w:r>
        <w:rPr>
          <w:rFonts w:ascii="宋体" w:hAnsi="宋体"/>
          <w:color w:val="auto"/>
          <w:highlight w:val="none"/>
        </w:rPr>
        <w:t>当后发的补遗或修改通知与原比选文件或此前发出的补遗或修改通知之间存有不一致时，应以后发的补遗或修改通知为准。</w:t>
      </w:r>
    </w:p>
    <w:p w14:paraId="1FC14CF6">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7.4 </w:t>
      </w:r>
      <w:r>
        <w:rPr>
          <w:rFonts w:ascii="宋体" w:hAnsi="宋体"/>
          <w:color w:val="auto"/>
          <w:highlight w:val="none"/>
        </w:rPr>
        <w:t>为使比选申请人准备比选申请时有充分时间对比选文件的补遗或修改部分进行研究，</w:t>
      </w:r>
      <w:r>
        <w:rPr>
          <w:rFonts w:hint="eastAsia" w:ascii="宋体" w:hAnsi="宋体"/>
          <w:color w:val="auto"/>
          <w:highlight w:val="none"/>
        </w:rPr>
        <w:t>比选人</w:t>
      </w:r>
      <w:r>
        <w:rPr>
          <w:rFonts w:ascii="宋体" w:hAnsi="宋体"/>
          <w:color w:val="auto"/>
          <w:highlight w:val="none"/>
        </w:rPr>
        <w:t>可适当推迟比选申请截止</w:t>
      </w:r>
      <w:r>
        <w:rPr>
          <w:rFonts w:hint="eastAsia" w:ascii="宋体" w:hAnsi="宋体"/>
          <w:color w:val="auto"/>
          <w:highlight w:val="none"/>
        </w:rPr>
        <w:t>时间</w:t>
      </w:r>
      <w:r>
        <w:rPr>
          <w:rFonts w:ascii="宋体" w:hAnsi="宋体"/>
          <w:color w:val="auto"/>
          <w:highlight w:val="none"/>
        </w:rPr>
        <w:t>。</w:t>
      </w:r>
    </w:p>
    <w:p w14:paraId="1BA1F8D1">
      <w:pPr>
        <w:pStyle w:val="3"/>
        <w:spacing w:after="0" w:afterAutospacing="0" w:line="360" w:lineRule="auto"/>
        <w:ind w:left="0" w:right="0" w:firstLine="482" w:firstLineChars="200"/>
        <w:rPr>
          <w:rFonts w:ascii="宋体" w:hAnsi="宋体" w:eastAsia="宋体"/>
          <w:color w:val="auto"/>
          <w:sz w:val="24"/>
          <w:szCs w:val="24"/>
          <w:highlight w:val="none"/>
        </w:rPr>
      </w:pPr>
      <w:bookmarkStart w:id="276" w:name="_Toc7604"/>
      <w:bookmarkStart w:id="277" w:name="_Toc10869"/>
      <w:bookmarkStart w:id="278" w:name="_Toc27913"/>
      <w:bookmarkStart w:id="279" w:name="_Toc24759"/>
      <w:bookmarkStart w:id="280" w:name="_Toc385427801"/>
      <w:bookmarkStart w:id="281" w:name="_Toc30363"/>
      <w:bookmarkStart w:id="282" w:name="_Toc28044"/>
      <w:bookmarkStart w:id="283" w:name="_Toc5805"/>
      <w:bookmarkStart w:id="284" w:name="_Toc492478726"/>
      <w:bookmarkStart w:id="285" w:name="_Toc14185"/>
      <w:bookmarkStart w:id="286" w:name="_Toc16406"/>
      <w:bookmarkStart w:id="287" w:name="_Toc95"/>
      <w:bookmarkStart w:id="288" w:name="_Toc114134616"/>
      <w:bookmarkStart w:id="289" w:name="_Toc24557"/>
      <w:bookmarkStart w:id="290" w:name="_Toc4718"/>
      <w:bookmarkStart w:id="291" w:name="_Toc17335"/>
      <w:bookmarkStart w:id="292" w:name="_Toc18679"/>
      <w:bookmarkStart w:id="293" w:name="_Toc375039072"/>
      <w:bookmarkStart w:id="294" w:name="_Toc2902"/>
      <w:bookmarkStart w:id="295" w:name="_Toc17692"/>
      <w:bookmarkStart w:id="296" w:name="_Toc25361"/>
      <w:bookmarkStart w:id="297" w:name="_Toc390098427"/>
      <w:bookmarkStart w:id="298" w:name="_Toc383891176"/>
      <w:bookmarkStart w:id="299" w:name="_Toc12983513"/>
      <w:r>
        <w:rPr>
          <w:rFonts w:hint="eastAsia" w:ascii="宋体" w:hAnsi="宋体" w:eastAsia="宋体"/>
          <w:color w:val="auto"/>
          <w:sz w:val="24"/>
          <w:szCs w:val="24"/>
          <w:highlight w:val="none"/>
        </w:rPr>
        <w:t>三、</w:t>
      </w:r>
      <w:r>
        <w:rPr>
          <w:rFonts w:ascii="宋体" w:hAnsi="宋体" w:eastAsia="宋体"/>
          <w:color w:val="auto"/>
          <w:sz w:val="24"/>
          <w:szCs w:val="24"/>
          <w:highlight w:val="none"/>
        </w:rPr>
        <w:t>比选申请文件的编制</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961C67D">
      <w:pPr>
        <w:pStyle w:val="10"/>
        <w:spacing w:before="0" w:after="0" w:afterAutospacing="0"/>
        <w:ind w:left="0" w:right="0" w:firstLine="422" w:firstLineChars="200"/>
        <w:rPr>
          <w:rFonts w:ascii="宋体" w:hAnsi="宋体"/>
          <w:color w:val="auto"/>
          <w:sz w:val="21"/>
          <w:szCs w:val="21"/>
          <w:highlight w:val="none"/>
        </w:rPr>
      </w:pPr>
      <w:bookmarkStart w:id="300" w:name="_Toc23794"/>
      <w:bookmarkStart w:id="301" w:name="_Toc1733"/>
      <w:bookmarkStart w:id="302" w:name="_Toc390098428"/>
      <w:bookmarkStart w:id="303" w:name="_Toc12983514"/>
      <w:bookmarkStart w:id="304" w:name="_Toc492478727"/>
      <w:bookmarkStart w:id="305" w:name="_Toc18350"/>
      <w:bookmarkStart w:id="306" w:name="_Toc21673"/>
      <w:bookmarkStart w:id="307" w:name="_Toc20025"/>
      <w:bookmarkStart w:id="308" w:name="_Toc114134617"/>
      <w:bookmarkStart w:id="309" w:name="_Toc16186"/>
      <w:bookmarkStart w:id="310" w:name="_Toc16435"/>
      <w:bookmarkStart w:id="311" w:name="_Toc2819"/>
      <w:bookmarkStart w:id="312" w:name="_Toc13418"/>
      <w:bookmarkStart w:id="313" w:name="_Toc4384"/>
      <w:bookmarkStart w:id="314" w:name="_Toc29862"/>
      <w:bookmarkStart w:id="315" w:name="_Toc383891177"/>
      <w:bookmarkStart w:id="316" w:name="_Toc9592"/>
      <w:bookmarkStart w:id="317" w:name="_Toc11259"/>
      <w:bookmarkStart w:id="318" w:name="_Toc12074"/>
      <w:bookmarkStart w:id="319" w:name="_Toc26150"/>
      <w:bookmarkStart w:id="320" w:name="_Toc25750600"/>
      <w:bookmarkStart w:id="321" w:name="_Toc385427802"/>
      <w:bookmarkStart w:id="322" w:name="_Toc26680"/>
      <w:bookmarkStart w:id="323" w:name="_Toc375039073"/>
      <w:bookmarkStart w:id="324" w:name="_Toc12456"/>
      <w:r>
        <w:rPr>
          <w:rFonts w:hint="eastAsia" w:ascii="宋体" w:hAnsi="宋体"/>
          <w:color w:val="auto"/>
          <w:sz w:val="21"/>
          <w:szCs w:val="21"/>
          <w:highlight w:val="none"/>
        </w:rPr>
        <w:t xml:space="preserve">8. </w:t>
      </w:r>
      <w:r>
        <w:rPr>
          <w:rFonts w:ascii="宋体" w:hAnsi="宋体"/>
          <w:color w:val="auto"/>
          <w:sz w:val="21"/>
          <w:szCs w:val="21"/>
          <w:highlight w:val="none"/>
        </w:rPr>
        <w:t>编制要求</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27F818A">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5772BFF5">
      <w:pPr>
        <w:pStyle w:val="10"/>
        <w:numPr>
          <w:ilvl w:val="0"/>
          <w:numId w:val="3"/>
        </w:numPr>
        <w:spacing w:before="0" w:after="0" w:afterAutospacing="0"/>
        <w:ind w:left="0" w:right="0" w:firstLine="422" w:firstLineChars="200"/>
        <w:rPr>
          <w:rFonts w:ascii="宋体" w:hAnsi="宋体"/>
          <w:color w:val="auto"/>
          <w:sz w:val="21"/>
          <w:szCs w:val="21"/>
          <w:highlight w:val="none"/>
        </w:rPr>
      </w:pPr>
      <w:bookmarkStart w:id="325" w:name="_Toc375039074"/>
      <w:bookmarkStart w:id="326" w:name="_Toc385427803"/>
      <w:bookmarkStart w:id="327" w:name="_Toc6261"/>
      <w:bookmarkStart w:id="328" w:name="_Toc28065"/>
      <w:bookmarkStart w:id="329" w:name="_Toc19885"/>
      <w:bookmarkStart w:id="330" w:name="_Toc15570"/>
      <w:bookmarkStart w:id="331" w:name="_Toc26753"/>
      <w:bookmarkStart w:id="332" w:name="_Toc9887"/>
      <w:bookmarkStart w:id="333" w:name="_Toc12983515"/>
      <w:bookmarkStart w:id="334" w:name="_Toc24935"/>
      <w:bookmarkStart w:id="335" w:name="_Toc3492"/>
      <w:bookmarkStart w:id="336" w:name="_Toc25750601"/>
      <w:bookmarkStart w:id="337" w:name="_Toc11161"/>
      <w:bookmarkStart w:id="338" w:name="_Toc25770"/>
      <w:bookmarkStart w:id="339" w:name="_Toc114134618"/>
      <w:bookmarkStart w:id="340" w:name="_Toc1047"/>
      <w:bookmarkStart w:id="341" w:name="_Toc22026"/>
      <w:bookmarkStart w:id="342" w:name="_Toc390098429"/>
      <w:bookmarkStart w:id="343" w:name="_Toc28296"/>
      <w:bookmarkStart w:id="344" w:name="_Toc12207"/>
      <w:bookmarkStart w:id="345" w:name="_Toc24857"/>
      <w:bookmarkStart w:id="346" w:name="_Toc492478728"/>
      <w:bookmarkStart w:id="347" w:name="_Toc383891178"/>
      <w:bookmarkStart w:id="348" w:name="_Toc11040"/>
      <w:bookmarkStart w:id="349" w:name="_Toc16237"/>
      <w:r>
        <w:rPr>
          <w:rFonts w:ascii="宋体" w:hAnsi="宋体"/>
          <w:color w:val="auto"/>
          <w:sz w:val="21"/>
          <w:szCs w:val="21"/>
          <w:highlight w:val="none"/>
        </w:rPr>
        <w:t>比选申请语言及计量单位</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0E2A0E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9.1 </w:t>
      </w:r>
      <w:r>
        <w:rPr>
          <w:rFonts w:ascii="宋体" w:hAnsi="宋体"/>
          <w:color w:val="auto"/>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18FF32A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9.2 </w:t>
      </w:r>
      <w:r>
        <w:rPr>
          <w:rFonts w:ascii="宋体" w:hAnsi="宋体"/>
          <w:color w:val="auto"/>
          <w:highlight w:val="none"/>
        </w:rPr>
        <w:t>除在比选文件另有规定外，计量单位应使用中华人民共和国法定计量单位。</w:t>
      </w:r>
    </w:p>
    <w:p w14:paraId="1B0EBAA1">
      <w:pPr>
        <w:pStyle w:val="10"/>
        <w:numPr>
          <w:ilvl w:val="0"/>
          <w:numId w:val="3"/>
        </w:numPr>
        <w:spacing w:before="0" w:after="0" w:afterAutospacing="0"/>
        <w:ind w:left="0" w:right="0" w:firstLine="422" w:firstLineChars="200"/>
        <w:rPr>
          <w:rFonts w:ascii="宋体" w:hAnsi="宋体"/>
          <w:color w:val="auto"/>
          <w:sz w:val="21"/>
          <w:szCs w:val="21"/>
          <w:highlight w:val="none"/>
        </w:rPr>
      </w:pPr>
      <w:bookmarkStart w:id="350" w:name="_Toc14323"/>
      <w:bookmarkStart w:id="351" w:name="_Toc3464"/>
      <w:bookmarkStart w:id="352" w:name="_Toc29881"/>
      <w:bookmarkStart w:id="353" w:name="_Toc30991"/>
      <w:bookmarkStart w:id="354" w:name="_Toc24760"/>
      <w:bookmarkStart w:id="355" w:name="_Toc385427804"/>
      <w:bookmarkStart w:id="356" w:name="_Toc15809"/>
      <w:bookmarkStart w:id="357" w:name="_Toc390098430"/>
      <w:bookmarkStart w:id="358" w:name="_Toc3411"/>
      <w:bookmarkStart w:id="359" w:name="_Toc114134619"/>
      <w:bookmarkStart w:id="360" w:name="_Toc53"/>
      <w:bookmarkStart w:id="361" w:name="_Toc12983516"/>
      <w:bookmarkStart w:id="362" w:name="_Toc16307"/>
      <w:bookmarkStart w:id="363" w:name="_Toc25750602"/>
      <w:bookmarkStart w:id="364" w:name="_Toc19681"/>
      <w:bookmarkStart w:id="365" w:name="_Toc23229"/>
      <w:bookmarkStart w:id="366" w:name="_Toc375039075"/>
      <w:bookmarkStart w:id="367" w:name="_Toc492478729"/>
      <w:bookmarkStart w:id="368" w:name="_Toc23364"/>
      <w:bookmarkStart w:id="369" w:name="_Toc22476"/>
      <w:bookmarkStart w:id="370" w:name="_Toc383891179"/>
      <w:bookmarkStart w:id="371" w:name="_Toc18149"/>
      <w:bookmarkStart w:id="372" w:name="_Toc3877"/>
      <w:bookmarkStart w:id="373" w:name="_Toc30356"/>
      <w:bookmarkStart w:id="374" w:name="_Toc28164"/>
      <w:r>
        <w:rPr>
          <w:rFonts w:ascii="宋体" w:hAnsi="宋体"/>
          <w:color w:val="auto"/>
          <w:sz w:val="21"/>
          <w:szCs w:val="21"/>
          <w:highlight w:val="none"/>
        </w:rPr>
        <w:t>比选申请文件组成</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1BE5BD9">
      <w:pPr>
        <w:tabs>
          <w:tab w:val="left" w:pos="1134"/>
          <w:tab w:val="left" w:pos="1701"/>
          <w:tab w:val="left" w:pos="1843"/>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10.1 </w:t>
      </w:r>
      <w:r>
        <w:rPr>
          <w:rFonts w:ascii="宋体" w:hAnsi="宋体"/>
          <w:color w:val="auto"/>
          <w:highlight w:val="none"/>
        </w:rPr>
        <w:t>比选申请文件应提供足够、准确和真实的信息，以供评审委员会判断比选申请人是否具备承担本项目的能力。比选申请人递交的比选申请文件</w:t>
      </w:r>
      <w:r>
        <w:rPr>
          <w:rFonts w:hint="eastAsia" w:ascii="宋体" w:hAnsi="宋体"/>
          <w:color w:val="auto"/>
          <w:highlight w:val="none"/>
        </w:rPr>
        <w:t>组成详见比选申请须知前附表</w:t>
      </w:r>
      <w:r>
        <w:rPr>
          <w:rFonts w:ascii="宋体" w:hAnsi="宋体"/>
          <w:color w:val="auto"/>
          <w:highlight w:val="none"/>
        </w:rPr>
        <w:t>。</w:t>
      </w:r>
    </w:p>
    <w:p w14:paraId="529BFA66">
      <w:pPr>
        <w:tabs>
          <w:tab w:val="left" w:pos="1134"/>
          <w:tab w:val="left" w:pos="1701"/>
          <w:tab w:val="left" w:pos="1843"/>
        </w:tabs>
        <w:spacing w:before="0" w:after="0" w:afterAutospacing="0"/>
        <w:ind w:left="0" w:right="0" w:firstLine="422" w:firstLineChars="200"/>
        <w:rPr>
          <w:rFonts w:ascii="宋体" w:hAnsi="宋体"/>
          <w:color w:val="auto"/>
          <w:highlight w:val="none"/>
        </w:rPr>
      </w:pPr>
      <w:r>
        <w:rPr>
          <w:rFonts w:hint="eastAsia" w:ascii="宋体" w:hAnsi="宋体"/>
          <w:b/>
          <w:color w:val="auto"/>
          <w:highlight w:val="none"/>
        </w:rPr>
        <w:t>10.2资格审查文件和技术文件不得透露有关报价的任何信息，否则其比选申请将被否决。</w:t>
      </w:r>
    </w:p>
    <w:p w14:paraId="4819ABAA">
      <w:pPr>
        <w:pStyle w:val="10"/>
        <w:spacing w:before="0" w:after="0" w:afterAutospacing="0"/>
        <w:ind w:left="0" w:right="0" w:firstLine="422" w:firstLineChars="200"/>
        <w:rPr>
          <w:rFonts w:ascii="宋体" w:hAnsi="宋体"/>
          <w:color w:val="auto"/>
          <w:sz w:val="21"/>
          <w:szCs w:val="21"/>
          <w:highlight w:val="none"/>
        </w:rPr>
      </w:pPr>
      <w:bookmarkStart w:id="375" w:name="_Toc14308"/>
      <w:bookmarkStart w:id="376" w:name="_Toc2395"/>
      <w:bookmarkStart w:id="377" w:name="_Toc20248"/>
      <w:bookmarkStart w:id="378" w:name="_Toc492478730"/>
      <w:bookmarkStart w:id="379" w:name="_Toc375039076"/>
      <w:bookmarkStart w:id="380" w:name="_Toc14630"/>
      <w:bookmarkStart w:id="381" w:name="_Toc390098431"/>
      <w:bookmarkStart w:id="382" w:name="_Toc7608"/>
      <w:bookmarkStart w:id="383" w:name="_Toc3670"/>
      <w:bookmarkStart w:id="384" w:name="_Toc114134620"/>
      <w:bookmarkStart w:id="385" w:name="_Toc20490"/>
      <w:bookmarkStart w:id="386" w:name="_Toc15919"/>
      <w:bookmarkStart w:id="387" w:name="_Toc385427805"/>
      <w:bookmarkStart w:id="388" w:name="_Toc12983517"/>
      <w:bookmarkStart w:id="389" w:name="_Toc16783"/>
      <w:bookmarkStart w:id="390" w:name="_Toc23002"/>
      <w:bookmarkStart w:id="391" w:name="_Toc27019"/>
      <w:bookmarkStart w:id="392" w:name="_Toc8151"/>
      <w:bookmarkStart w:id="393" w:name="_Toc25750603"/>
      <w:bookmarkStart w:id="394" w:name="_Toc15448"/>
      <w:bookmarkStart w:id="395" w:name="_Toc27194"/>
      <w:bookmarkStart w:id="396" w:name="_Toc21144"/>
      <w:bookmarkStart w:id="397" w:name="_Toc11211"/>
      <w:bookmarkStart w:id="398" w:name="_Toc383891180"/>
      <w:bookmarkStart w:id="399" w:name="_Toc675"/>
      <w:r>
        <w:rPr>
          <w:rFonts w:hint="eastAsia" w:ascii="宋体" w:hAnsi="宋体"/>
          <w:color w:val="auto"/>
          <w:sz w:val="21"/>
          <w:szCs w:val="21"/>
          <w:highlight w:val="none"/>
        </w:rPr>
        <w:t xml:space="preserve">11. </w:t>
      </w:r>
      <w:r>
        <w:rPr>
          <w:rFonts w:ascii="宋体" w:hAnsi="宋体"/>
          <w:color w:val="auto"/>
          <w:sz w:val="21"/>
          <w:szCs w:val="21"/>
          <w:highlight w:val="none"/>
        </w:rPr>
        <w:t>比选申请文件格式</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2B7D00C6">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11.1 </w:t>
      </w:r>
      <w:r>
        <w:rPr>
          <w:rFonts w:ascii="宋体" w:hAnsi="宋体"/>
          <w:color w:val="auto"/>
          <w:highlight w:val="none"/>
        </w:rPr>
        <w:t>比选申请人应按本比选申请须知第10条的内容与要求和提供的格式编写其比选申请文件，比选申请人不得缺少或留空任何比选文件要求填写的表格或提交的资料。</w:t>
      </w:r>
    </w:p>
    <w:p w14:paraId="71C17A7A">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11.2 </w:t>
      </w:r>
      <w:r>
        <w:rPr>
          <w:rFonts w:ascii="宋体" w:hAnsi="宋体"/>
          <w:color w:val="auto"/>
          <w:highlight w:val="none"/>
        </w:rPr>
        <w:t>比选申请人应将比选申请文件按本比选申请须知第10条规定的顺序编排、编制目录、逐页标注连续页码、并装订成册，各分册前须有分册目录。</w:t>
      </w:r>
    </w:p>
    <w:p w14:paraId="75FB0D8D">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11.3 </w:t>
      </w:r>
      <w:r>
        <w:rPr>
          <w:rFonts w:ascii="宋体" w:hAnsi="宋体"/>
          <w:color w:val="auto"/>
          <w:highlight w:val="none"/>
        </w:rPr>
        <w:t>比选申请文件的规格：统一为A4印刷本，纸质封面，印刷本厚度</w:t>
      </w:r>
      <w:r>
        <w:rPr>
          <w:rFonts w:hint="eastAsia" w:ascii="宋体" w:hAnsi="宋体"/>
          <w:color w:val="auto"/>
          <w:highlight w:val="none"/>
        </w:rPr>
        <w:t>宜</w:t>
      </w:r>
      <w:r>
        <w:rPr>
          <w:rFonts w:ascii="宋体" w:hAnsi="宋体"/>
          <w:color w:val="auto"/>
          <w:highlight w:val="none"/>
        </w:rPr>
        <w:t>控制在</w:t>
      </w:r>
      <w:r>
        <w:rPr>
          <w:rFonts w:hint="eastAsia" w:ascii="宋体" w:hAnsi="宋体"/>
          <w:color w:val="auto"/>
          <w:highlight w:val="none"/>
        </w:rPr>
        <w:t>5</w:t>
      </w:r>
      <w:r>
        <w:rPr>
          <w:rFonts w:ascii="宋体" w:hAnsi="宋体"/>
          <w:color w:val="auto"/>
          <w:highlight w:val="none"/>
        </w:rPr>
        <w:t>公分以内，超过厚度</w:t>
      </w:r>
      <w:r>
        <w:rPr>
          <w:rFonts w:hint="eastAsia" w:ascii="宋体" w:hAnsi="宋体"/>
          <w:color w:val="auto"/>
          <w:highlight w:val="none"/>
        </w:rPr>
        <w:t>可</w:t>
      </w:r>
      <w:r>
        <w:rPr>
          <w:rFonts w:ascii="宋体" w:hAnsi="宋体"/>
          <w:color w:val="auto"/>
          <w:highlight w:val="none"/>
        </w:rPr>
        <w:t>分册装订。封面标明文件题名、编号、比选申请人名称、比选申请时间，</w:t>
      </w:r>
      <w:r>
        <w:rPr>
          <w:rFonts w:hint="eastAsia" w:ascii="宋体" w:hAnsi="宋体"/>
          <w:color w:val="auto"/>
          <w:highlight w:val="none"/>
        </w:rPr>
        <w:t>封面上标明</w:t>
      </w:r>
      <w:r>
        <w:rPr>
          <w:rFonts w:ascii="宋体" w:hAnsi="宋体"/>
          <w:color w:val="auto"/>
          <w:highlight w:val="none"/>
        </w:rPr>
        <w:t>正本（或副本）。</w:t>
      </w:r>
      <w:r>
        <w:rPr>
          <w:rFonts w:hint="eastAsia" w:ascii="宋体" w:hAnsi="宋体"/>
          <w:color w:val="auto"/>
          <w:highlight w:val="none"/>
        </w:rPr>
        <w:t>使用不锈钢书钉或拉线装订或无线胶装</w:t>
      </w:r>
      <w:r>
        <w:rPr>
          <w:rFonts w:ascii="宋体" w:hAnsi="宋体"/>
          <w:color w:val="auto"/>
          <w:highlight w:val="none"/>
        </w:rPr>
        <w:t>，装订时书钉不外露；不能使用塑料面或塑料胶条装订。</w:t>
      </w:r>
    </w:p>
    <w:p w14:paraId="4234FF5C">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11.4</w:t>
      </w:r>
      <w:r>
        <w:rPr>
          <w:rFonts w:ascii="宋体" w:hAnsi="宋体"/>
          <w:color w:val="auto"/>
          <w:highlight w:val="none"/>
        </w:rPr>
        <w:t>比选申请文件的页码：必须按每本</w:t>
      </w:r>
      <w:r>
        <w:rPr>
          <w:rFonts w:hint="eastAsia" w:ascii="宋体" w:hAnsi="宋体"/>
          <w:color w:val="auto"/>
          <w:highlight w:val="none"/>
        </w:rPr>
        <w:t>正文</w:t>
      </w:r>
      <w:r>
        <w:rPr>
          <w:rFonts w:ascii="宋体" w:hAnsi="宋体"/>
          <w:color w:val="auto"/>
          <w:highlight w:val="none"/>
        </w:rPr>
        <w:t>逐页从1开始，按照流水号编号。</w:t>
      </w:r>
    </w:p>
    <w:p w14:paraId="0EB46A1A">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11.5</w:t>
      </w:r>
      <w:r>
        <w:rPr>
          <w:rFonts w:ascii="宋体" w:hAnsi="宋体"/>
          <w:color w:val="auto"/>
          <w:highlight w:val="none"/>
        </w:rPr>
        <w:t>图纸的整理</w:t>
      </w:r>
      <w:r>
        <w:rPr>
          <w:rFonts w:hint="eastAsia" w:ascii="宋体" w:hAnsi="宋体"/>
          <w:color w:val="auto"/>
          <w:highlight w:val="none"/>
        </w:rPr>
        <w:t>（如有）</w:t>
      </w:r>
      <w:r>
        <w:rPr>
          <w:rFonts w:ascii="宋体" w:hAnsi="宋体"/>
          <w:color w:val="auto"/>
          <w:highlight w:val="none"/>
        </w:rPr>
        <w:t>：图纸横向按手风琴折叠，竖向按顺时针方向折叠，折叠后图标露在右下角，每本图纸厚度不</w:t>
      </w:r>
      <w:r>
        <w:rPr>
          <w:rFonts w:hint="eastAsia" w:ascii="宋体" w:hAnsi="宋体"/>
          <w:color w:val="auto"/>
          <w:highlight w:val="none"/>
        </w:rPr>
        <w:t>宜</w:t>
      </w:r>
      <w:r>
        <w:rPr>
          <w:rFonts w:ascii="宋体" w:hAnsi="宋体"/>
          <w:color w:val="auto"/>
          <w:highlight w:val="none"/>
        </w:rPr>
        <w:t>超过4公分，超过</w:t>
      </w:r>
      <w:r>
        <w:rPr>
          <w:rFonts w:hint="eastAsia" w:ascii="宋体" w:hAnsi="宋体"/>
          <w:color w:val="auto"/>
          <w:highlight w:val="none"/>
        </w:rPr>
        <w:t>可</w:t>
      </w:r>
      <w:r>
        <w:rPr>
          <w:rFonts w:ascii="宋体" w:hAnsi="宋体"/>
          <w:color w:val="auto"/>
          <w:highlight w:val="none"/>
        </w:rPr>
        <w:t>分卷装订，每卷图纸从图纸封面起逐张从1开始</w:t>
      </w:r>
      <w:r>
        <w:rPr>
          <w:rFonts w:hint="eastAsia" w:ascii="宋体" w:hAnsi="宋体"/>
          <w:color w:val="auto"/>
          <w:highlight w:val="none"/>
        </w:rPr>
        <w:t>，</w:t>
      </w:r>
      <w:r>
        <w:rPr>
          <w:rFonts w:ascii="宋体" w:hAnsi="宋体"/>
          <w:color w:val="auto"/>
          <w:highlight w:val="none"/>
        </w:rPr>
        <w:t>按照流水号编号。</w:t>
      </w:r>
    </w:p>
    <w:p w14:paraId="7C8587C8">
      <w:pPr>
        <w:pStyle w:val="10"/>
        <w:spacing w:before="0" w:after="0" w:afterAutospacing="0"/>
        <w:ind w:left="0" w:right="0" w:firstLine="422" w:firstLineChars="200"/>
        <w:rPr>
          <w:rFonts w:ascii="宋体" w:hAnsi="宋体"/>
          <w:color w:val="auto"/>
          <w:sz w:val="21"/>
          <w:szCs w:val="21"/>
          <w:highlight w:val="none"/>
        </w:rPr>
      </w:pPr>
      <w:bookmarkStart w:id="400" w:name="_Toc7857"/>
      <w:bookmarkStart w:id="401" w:name="_Toc6671"/>
      <w:bookmarkStart w:id="402" w:name="_Toc17338"/>
      <w:bookmarkStart w:id="403" w:name="_Toc24264"/>
      <w:bookmarkStart w:id="404" w:name="_Toc385427806"/>
      <w:bookmarkStart w:id="405" w:name="_Toc17379"/>
      <w:bookmarkStart w:id="406" w:name="_Toc20685"/>
      <w:bookmarkStart w:id="407" w:name="_Toc14123"/>
      <w:bookmarkStart w:id="408" w:name="_Toc3813"/>
      <w:bookmarkStart w:id="409" w:name="_Toc9416"/>
      <w:bookmarkStart w:id="410" w:name="_Toc31743"/>
      <w:bookmarkStart w:id="411" w:name="_Toc26974"/>
      <w:bookmarkStart w:id="412" w:name="_Toc3799"/>
      <w:bookmarkStart w:id="413" w:name="_Toc114134621"/>
      <w:bookmarkStart w:id="414" w:name="_Toc22295"/>
      <w:bookmarkStart w:id="415" w:name="_Toc390098432"/>
      <w:bookmarkStart w:id="416" w:name="_Toc16653"/>
      <w:bookmarkStart w:id="417" w:name="_Toc17526"/>
      <w:bookmarkStart w:id="418" w:name="_Toc492478731"/>
      <w:bookmarkStart w:id="419" w:name="_Toc25750604"/>
      <w:bookmarkStart w:id="420" w:name="_Toc26482"/>
      <w:bookmarkStart w:id="421" w:name="_Toc383891181"/>
      <w:bookmarkStart w:id="422" w:name="_Toc12983518"/>
      <w:bookmarkStart w:id="423" w:name="_Toc21084"/>
      <w:bookmarkStart w:id="424" w:name="_Toc375039077"/>
      <w:r>
        <w:rPr>
          <w:rFonts w:hint="eastAsia" w:ascii="宋体" w:hAnsi="宋体"/>
          <w:color w:val="auto"/>
          <w:sz w:val="21"/>
          <w:szCs w:val="21"/>
          <w:highlight w:val="none"/>
        </w:rPr>
        <w:t xml:space="preserve">12. </w:t>
      </w:r>
      <w:r>
        <w:rPr>
          <w:rFonts w:ascii="宋体" w:hAnsi="宋体"/>
          <w:color w:val="auto"/>
          <w:sz w:val="21"/>
          <w:szCs w:val="21"/>
          <w:highlight w:val="none"/>
        </w:rPr>
        <w:t>比选申请报价</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EE21171">
      <w:pPr>
        <w:tabs>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 xml:space="preserve">12.1 </w:t>
      </w:r>
      <w:r>
        <w:rPr>
          <w:rFonts w:hint="eastAsia" w:ascii="宋体" w:hAnsi="宋体"/>
          <w:color w:val="auto"/>
          <w:highlight w:val="none"/>
        </w:rPr>
        <w:t>本项目采用不含税报价。</w:t>
      </w:r>
      <w:r>
        <w:rPr>
          <w:rFonts w:ascii="宋体" w:hAnsi="宋体"/>
          <w:b/>
          <w:bCs/>
          <w:color w:val="auto"/>
          <w:highlight w:val="none"/>
        </w:rPr>
        <w:t>含税</w:t>
      </w:r>
      <w:r>
        <w:rPr>
          <w:rFonts w:hint="eastAsia" w:ascii="宋体" w:hAnsi="宋体"/>
          <w:b/>
          <w:bCs/>
          <w:color w:val="auto"/>
          <w:highlight w:val="none"/>
        </w:rPr>
        <w:t>总</w:t>
      </w:r>
      <w:r>
        <w:rPr>
          <w:rFonts w:ascii="宋体" w:hAnsi="宋体"/>
          <w:b/>
          <w:bCs/>
          <w:color w:val="auto"/>
          <w:highlight w:val="none"/>
        </w:rPr>
        <w:t>价为合同</w:t>
      </w:r>
      <w:r>
        <w:rPr>
          <w:rFonts w:hint="eastAsia" w:ascii="宋体" w:hAnsi="宋体"/>
          <w:b/>
          <w:bCs/>
          <w:color w:val="auto"/>
          <w:highlight w:val="none"/>
        </w:rPr>
        <w:t>含税总</w:t>
      </w:r>
      <w:r>
        <w:rPr>
          <w:rFonts w:ascii="宋体" w:hAnsi="宋体"/>
          <w:b/>
          <w:bCs/>
          <w:color w:val="auto"/>
          <w:highlight w:val="none"/>
        </w:rPr>
        <w:t>价</w:t>
      </w:r>
      <w:r>
        <w:rPr>
          <w:rFonts w:hint="eastAsia" w:ascii="宋体" w:hAnsi="宋体"/>
          <w:b/>
          <w:bCs/>
          <w:color w:val="auto"/>
          <w:highlight w:val="none"/>
        </w:rPr>
        <w:t>款</w:t>
      </w:r>
      <w:r>
        <w:rPr>
          <w:rFonts w:ascii="宋体" w:hAnsi="宋体"/>
          <w:color w:val="auto"/>
          <w:highlight w:val="none"/>
        </w:rPr>
        <w:t>，</w:t>
      </w:r>
      <w:r>
        <w:rPr>
          <w:rFonts w:hint="eastAsia" w:ascii="宋体" w:hAnsi="宋体"/>
          <w:color w:val="auto"/>
          <w:highlight w:val="none"/>
        </w:rPr>
        <w:t>本项目合同最终税金在结算阶段，按实际产生的税金进行核算</w:t>
      </w:r>
      <w:r>
        <w:rPr>
          <w:rFonts w:ascii="宋体" w:hAnsi="宋体"/>
          <w:color w:val="auto"/>
          <w:highlight w:val="none"/>
        </w:rPr>
        <w:t>，但合同不含税价格不因国家税率调整而调整</w:t>
      </w:r>
      <w:r>
        <w:rPr>
          <w:rFonts w:hint="eastAsia" w:ascii="宋体" w:hAnsi="宋体"/>
          <w:color w:val="auto"/>
          <w:highlight w:val="none"/>
        </w:rPr>
        <w:t>。比选申请人应</w:t>
      </w:r>
      <w:r>
        <w:rPr>
          <w:rFonts w:ascii="宋体" w:hAnsi="宋体"/>
          <w:color w:val="auto"/>
          <w:highlight w:val="none"/>
        </w:rPr>
        <w:t>完整</w:t>
      </w:r>
      <w:r>
        <w:rPr>
          <w:rFonts w:hint="eastAsia" w:ascii="宋体" w:hAnsi="宋体"/>
          <w:color w:val="auto"/>
          <w:highlight w:val="none"/>
        </w:rPr>
        <w:t>地填写比选文件中提供的“比选申请报价一览表”。比选申请人在 “比选申请报价一览表”内所填报的总价应相一致。如大写金额与小写金额不一致，以大写金额为准。</w:t>
      </w:r>
    </w:p>
    <w:p w14:paraId="23B42195">
      <w:pPr>
        <w:tabs>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 xml:space="preserve">12.2 </w:t>
      </w:r>
      <w:r>
        <w:rPr>
          <w:rFonts w:hint="eastAsia" w:ascii="宋体" w:hAnsi="宋体"/>
          <w:color w:val="auto"/>
          <w:highlight w:val="none"/>
        </w:rPr>
        <w:t>比选申请报价应包括完成所有项目内容等履行合同全过程产生的所有成本、利润及其他费用等全部费用以及比选申请人应承担的费用。</w:t>
      </w:r>
    </w:p>
    <w:p w14:paraId="1A09FC6D">
      <w:pPr>
        <w:tabs>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460F3F6E">
      <w:pPr>
        <w:tabs>
          <w:tab w:val="left" w:pos="8364"/>
        </w:tabs>
        <w:spacing w:before="0" w:after="0" w:afterAutospacing="0"/>
        <w:ind w:left="0" w:right="0" w:firstLine="420" w:firstLineChars="200"/>
        <w:rPr>
          <w:rFonts w:ascii="宋体" w:hAnsi="宋体" w:cs="宋体"/>
          <w:color w:val="auto"/>
          <w:highlight w:val="none"/>
        </w:rPr>
      </w:pPr>
      <w:r>
        <w:rPr>
          <w:rFonts w:ascii="宋体" w:hAnsi="宋体"/>
          <w:color w:val="auto"/>
          <w:highlight w:val="none"/>
        </w:rPr>
        <w:t>12.</w:t>
      </w:r>
      <w:r>
        <w:rPr>
          <w:rFonts w:hint="eastAsia" w:ascii="宋体" w:hAnsi="宋体"/>
          <w:color w:val="auto"/>
          <w:highlight w:val="none"/>
        </w:rPr>
        <w:t>4</w:t>
      </w:r>
      <w:r>
        <w:rPr>
          <w:rFonts w:ascii="宋体" w:hAnsi="宋体"/>
          <w:color w:val="auto"/>
          <w:highlight w:val="none"/>
        </w:rPr>
        <w:t>比选申请人在编制比选申请报价时应考虑包括但不限于合同实施期间政策、法规变化以及汇率浮动、物价指数浮动等对价格的影响，以可调整的价</w:t>
      </w:r>
      <w:r>
        <w:rPr>
          <w:rFonts w:ascii="宋体" w:hAnsi="宋体" w:cs="宋体"/>
          <w:color w:val="auto"/>
          <w:highlight w:val="none"/>
        </w:rPr>
        <w:t xml:space="preserve">格或以选择性报价递交的比选申请文件将作为非实质性响应比选申请而被否决。 </w:t>
      </w:r>
    </w:p>
    <w:p w14:paraId="7B8FDB88">
      <w:pPr>
        <w:tabs>
          <w:tab w:val="left" w:pos="8364"/>
        </w:tabs>
        <w:spacing w:before="0" w:after="0" w:afterAutospacing="0"/>
        <w:ind w:left="0" w:right="0" w:firstLine="420" w:firstLineChars="200"/>
        <w:rPr>
          <w:rFonts w:ascii="宋体" w:hAnsi="宋体"/>
          <w:b/>
          <w:color w:val="auto"/>
          <w:highlight w:val="none"/>
        </w:rPr>
      </w:pPr>
      <w:r>
        <w:rPr>
          <w:rFonts w:ascii="宋体" w:hAnsi="宋体"/>
          <w:color w:val="auto"/>
          <w:highlight w:val="none"/>
        </w:rPr>
        <w:t>12.</w:t>
      </w:r>
      <w:r>
        <w:rPr>
          <w:rFonts w:hint="eastAsia" w:ascii="宋体" w:hAnsi="宋体"/>
          <w:color w:val="auto"/>
          <w:highlight w:val="none"/>
        </w:rPr>
        <w:t>5</w:t>
      </w:r>
      <w:r>
        <w:rPr>
          <w:rFonts w:hint="eastAsia" w:ascii="宋体" w:hAnsi="宋体"/>
          <w:b/>
          <w:color w:val="auto"/>
          <w:highlight w:val="none"/>
        </w:rPr>
        <w:t>比选申请人不得以低于成本的报价竞标，也不得以他人名义比选申请或者以其他方式弄虚作假，骗取中选。</w:t>
      </w:r>
    </w:p>
    <w:p w14:paraId="21653149">
      <w:pPr>
        <w:tabs>
          <w:tab w:val="left" w:pos="8364"/>
        </w:tabs>
        <w:spacing w:before="0" w:after="0" w:afterAutospacing="0"/>
        <w:ind w:left="0" w:right="0" w:firstLine="422" w:firstLineChars="200"/>
        <w:rPr>
          <w:rFonts w:ascii="宋体" w:hAnsi="宋体"/>
          <w:b/>
          <w:bCs/>
          <w:color w:val="auto"/>
          <w:highlight w:val="none"/>
        </w:rPr>
      </w:pPr>
      <w:r>
        <w:rPr>
          <w:rFonts w:hint="eastAsia" w:ascii="宋体" w:hAnsi="宋体"/>
          <w:b/>
          <w:bCs/>
          <w:color w:val="auto"/>
          <w:highlight w:val="none"/>
        </w:rPr>
        <w:t>12.6 比选申请人不得在价格文件之外的比选申请文件中出现任何有关本项目的报价信息。</w:t>
      </w:r>
    </w:p>
    <w:p w14:paraId="3DC042BA">
      <w:pPr>
        <w:pStyle w:val="10"/>
        <w:numPr>
          <w:ilvl w:val="0"/>
          <w:numId w:val="4"/>
        </w:numPr>
        <w:spacing w:before="0" w:after="0" w:afterAutospacing="0"/>
        <w:ind w:left="0" w:right="0" w:firstLine="422" w:firstLineChars="200"/>
        <w:rPr>
          <w:rFonts w:ascii="宋体" w:hAnsi="宋体"/>
          <w:color w:val="auto"/>
          <w:sz w:val="21"/>
          <w:szCs w:val="21"/>
          <w:highlight w:val="none"/>
        </w:rPr>
      </w:pPr>
      <w:bookmarkStart w:id="425" w:name="_Toc10220"/>
      <w:bookmarkStart w:id="426" w:name="_Toc25459"/>
      <w:bookmarkStart w:id="427" w:name="_Toc12762"/>
      <w:bookmarkStart w:id="428" w:name="_Toc20156"/>
      <w:bookmarkStart w:id="429" w:name="_Toc114134622"/>
      <w:bookmarkStart w:id="430" w:name="_Toc15940"/>
      <w:bookmarkStart w:id="431" w:name="_Toc390098433"/>
      <w:bookmarkStart w:id="432" w:name="_Toc25750605"/>
      <w:bookmarkStart w:id="433" w:name="_Toc18875"/>
      <w:bookmarkStart w:id="434" w:name="_Toc2710"/>
      <w:bookmarkStart w:id="435" w:name="_Toc28476"/>
      <w:bookmarkStart w:id="436" w:name="_Toc375039078"/>
      <w:bookmarkStart w:id="437" w:name="_Toc26064"/>
      <w:bookmarkStart w:id="438" w:name="_Toc21430"/>
      <w:bookmarkStart w:id="439" w:name="_Toc385427807"/>
      <w:bookmarkStart w:id="440" w:name="_Toc5836"/>
      <w:bookmarkStart w:id="441" w:name="_Toc21706"/>
      <w:bookmarkStart w:id="442" w:name="_Toc21448"/>
      <w:bookmarkStart w:id="443" w:name="_Toc383891182"/>
      <w:bookmarkStart w:id="444" w:name="_Toc1664"/>
      <w:bookmarkStart w:id="445" w:name="_Toc7428"/>
      <w:bookmarkStart w:id="446" w:name="_Toc28880"/>
      <w:bookmarkStart w:id="447" w:name="_Toc492478732"/>
      <w:bookmarkStart w:id="448" w:name="_Toc12983519"/>
      <w:bookmarkStart w:id="449" w:name="_Toc12947"/>
      <w:r>
        <w:rPr>
          <w:rFonts w:ascii="宋体" w:hAnsi="宋体"/>
          <w:color w:val="auto"/>
          <w:sz w:val="21"/>
          <w:szCs w:val="21"/>
          <w:highlight w:val="none"/>
        </w:rPr>
        <w:t>比选申请货币</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2212019">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13.1</w:t>
      </w:r>
      <w:r>
        <w:rPr>
          <w:rFonts w:ascii="宋体" w:hAnsi="宋体"/>
          <w:color w:val="auto"/>
          <w:highlight w:val="none"/>
        </w:rPr>
        <w:t>比选申请人提供的货物和服务用人民币报价。在比选申请文件中的报价一律用人民币币种填报，比选人不接受任何非人民币币种的比选申请报价。</w:t>
      </w:r>
    </w:p>
    <w:p w14:paraId="76199C2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13.2</w:t>
      </w:r>
      <w:r>
        <w:rPr>
          <w:rFonts w:ascii="宋体" w:hAnsi="宋体"/>
          <w:color w:val="auto"/>
          <w:highlight w:val="none"/>
        </w:rPr>
        <w:t>比选人将以人民币与中选的比选申请人签订合同。</w:t>
      </w:r>
    </w:p>
    <w:p w14:paraId="667D29D9">
      <w:pPr>
        <w:pStyle w:val="10"/>
        <w:numPr>
          <w:ilvl w:val="0"/>
          <w:numId w:val="4"/>
        </w:numPr>
        <w:spacing w:before="0" w:after="0" w:afterAutospacing="0"/>
        <w:ind w:left="0" w:right="0" w:firstLine="422" w:firstLineChars="200"/>
        <w:rPr>
          <w:rFonts w:ascii="宋体" w:hAnsi="宋体"/>
          <w:color w:val="auto"/>
          <w:sz w:val="21"/>
          <w:szCs w:val="21"/>
          <w:highlight w:val="none"/>
        </w:rPr>
      </w:pPr>
      <w:bookmarkStart w:id="450" w:name="_Toc16314"/>
      <w:bookmarkStart w:id="451" w:name="_Toc25750606"/>
      <w:bookmarkStart w:id="452" w:name="_Toc11690"/>
      <w:bookmarkStart w:id="453" w:name="_Toc7417"/>
      <w:bookmarkStart w:id="454" w:name="_Toc14309"/>
      <w:bookmarkStart w:id="455" w:name="_Toc1530"/>
      <w:bookmarkStart w:id="456" w:name="_Toc383891185"/>
      <w:bookmarkStart w:id="457" w:name="_Toc9237"/>
      <w:bookmarkStart w:id="458" w:name="_Toc114134623"/>
      <w:bookmarkStart w:id="459" w:name="_Toc375039081"/>
      <w:bookmarkStart w:id="460" w:name="_Toc30848"/>
      <w:bookmarkStart w:id="461" w:name="_Toc27508"/>
      <w:bookmarkStart w:id="462" w:name="_Toc12049"/>
      <w:bookmarkStart w:id="463" w:name="_Toc22051"/>
      <w:bookmarkStart w:id="464" w:name="_Toc14922"/>
      <w:bookmarkStart w:id="465" w:name="_Toc30606"/>
      <w:bookmarkStart w:id="466" w:name="_Toc390098436"/>
      <w:bookmarkStart w:id="467" w:name="_Toc24199"/>
      <w:bookmarkStart w:id="468" w:name="_Toc12983520"/>
      <w:bookmarkStart w:id="469" w:name="_Toc28665"/>
      <w:bookmarkStart w:id="470" w:name="_Toc5974"/>
      <w:bookmarkStart w:id="471" w:name="_Toc30040"/>
      <w:bookmarkStart w:id="472" w:name="_Toc385427810"/>
      <w:bookmarkStart w:id="473" w:name="_Toc492478735"/>
      <w:bookmarkStart w:id="474" w:name="_Toc1624"/>
      <w:r>
        <w:rPr>
          <w:rFonts w:ascii="宋体" w:hAnsi="宋体"/>
          <w:color w:val="auto"/>
          <w:sz w:val="21"/>
          <w:szCs w:val="21"/>
          <w:highlight w:val="none"/>
        </w:rPr>
        <w:t>比选保证金</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79289BB">
      <w:pPr>
        <w:pStyle w:val="19"/>
        <w:spacing w:before="0" w:after="0" w:afterAutospacing="0"/>
        <w:ind w:left="0" w:right="0" w:firstLine="420" w:firstLineChars="200"/>
        <w:rPr>
          <w:rFonts w:hAnsi="宋体" w:cs="Times New Roman"/>
          <w:color w:val="auto"/>
          <w:sz w:val="21"/>
          <w:szCs w:val="21"/>
          <w:highlight w:val="none"/>
        </w:rPr>
      </w:pPr>
      <w:r>
        <w:rPr>
          <w:rFonts w:hint="eastAsia" w:hAnsi="宋体" w:cs="Times New Roman"/>
          <w:color w:val="auto"/>
          <w:sz w:val="21"/>
          <w:szCs w:val="21"/>
          <w:highlight w:val="none"/>
        </w:rPr>
        <w:t>本项目</w:t>
      </w:r>
      <w:r>
        <w:rPr>
          <w:rFonts w:hint="eastAsia" w:hAnsi="宋体"/>
          <w:color w:val="auto"/>
          <w:sz w:val="21"/>
          <w:szCs w:val="21"/>
          <w:highlight w:val="none"/>
        </w:rPr>
        <w:t>不要求递交比选保证金。</w:t>
      </w:r>
    </w:p>
    <w:p w14:paraId="2FD3B349">
      <w:pPr>
        <w:pStyle w:val="10"/>
        <w:spacing w:before="0" w:after="0" w:afterAutospacing="0"/>
        <w:ind w:left="0" w:right="0" w:firstLine="422" w:firstLineChars="200"/>
        <w:rPr>
          <w:rFonts w:ascii="宋体" w:hAnsi="宋体"/>
          <w:color w:val="auto"/>
          <w:sz w:val="21"/>
          <w:szCs w:val="21"/>
          <w:highlight w:val="none"/>
        </w:rPr>
      </w:pPr>
      <w:bookmarkStart w:id="475" w:name="_Toc28555"/>
      <w:bookmarkStart w:id="476" w:name="_Toc24656"/>
      <w:bookmarkStart w:id="477" w:name="_Toc383891186"/>
      <w:bookmarkStart w:id="478" w:name="_Toc390098437"/>
      <w:bookmarkStart w:id="479" w:name="_Toc2268"/>
      <w:bookmarkStart w:id="480" w:name="_Toc1604"/>
      <w:bookmarkStart w:id="481" w:name="_Toc23114"/>
      <w:bookmarkStart w:id="482" w:name="_Toc20493"/>
      <w:bookmarkStart w:id="483" w:name="_Toc28997"/>
      <w:bookmarkStart w:id="484" w:name="_Toc30499"/>
      <w:bookmarkStart w:id="485" w:name="_Toc20643"/>
      <w:bookmarkStart w:id="486" w:name="_Toc7808"/>
      <w:bookmarkStart w:id="487" w:name="_Toc25750607"/>
      <w:bookmarkStart w:id="488" w:name="_Toc5690"/>
      <w:bookmarkStart w:id="489" w:name="_Toc12983521"/>
      <w:bookmarkStart w:id="490" w:name="_Toc9117"/>
      <w:bookmarkStart w:id="491" w:name="_Toc20070"/>
      <w:bookmarkStart w:id="492" w:name="_Toc492478736"/>
      <w:bookmarkStart w:id="493" w:name="_Toc385427811"/>
      <w:bookmarkStart w:id="494" w:name="_Toc691"/>
      <w:bookmarkStart w:id="495" w:name="_Toc114134624"/>
      <w:bookmarkStart w:id="496" w:name="_Toc375039082"/>
      <w:bookmarkStart w:id="497" w:name="_Toc845"/>
      <w:bookmarkStart w:id="498" w:name="_Toc4433"/>
      <w:bookmarkStart w:id="499" w:name="_Toc10918"/>
      <w:r>
        <w:rPr>
          <w:rFonts w:hint="eastAsia" w:ascii="宋体" w:hAnsi="宋体"/>
          <w:color w:val="auto"/>
          <w:sz w:val="21"/>
          <w:szCs w:val="21"/>
          <w:highlight w:val="none"/>
        </w:rPr>
        <w:t xml:space="preserve">15. </w:t>
      </w:r>
      <w:r>
        <w:rPr>
          <w:rFonts w:ascii="宋体" w:hAnsi="宋体"/>
          <w:color w:val="auto"/>
          <w:sz w:val="21"/>
          <w:szCs w:val="21"/>
          <w:highlight w:val="none"/>
        </w:rPr>
        <w:t>比选申请有效期</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2AF3F74">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15.1 </w:t>
      </w:r>
      <w:r>
        <w:rPr>
          <w:rFonts w:ascii="宋体" w:hAnsi="宋体"/>
          <w:color w:val="auto"/>
          <w:highlight w:val="none"/>
        </w:rPr>
        <w:t>根据本须知前附表规定，比选申请应在比选申请须知前附表中规定的时间内保持有效。比选申请有效期不满足要求的比选申请将被视为非实质性响应比选申请而予以否决。</w:t>
      </w:r>
    </w:p>
    <w:p w14:paraId="1389BB29">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15.2 </w:t>
      </w:r>
      <w:r>
        <w:rPr>
          <w:rFonts w:ascii="宋体" w:hAnsi="宋体"/>
          <w:color w:val="auto"/>
          <w:highlight w:val="none"/>
        </w:rPr>
        <w:t>特殊情况下，</w:t>
      </w:r>
      <w:r>
        <w:rPr>
          <w:rFonts w:hint="eastAsia" w:ascii="宋体" w:hAnsi="宋体"/>
          <w:color w:val="auto"/>
          <w:highlight w:val="none"/>
        </w:rPr>
        <w:t>比选人</w:t>
      </w:r>
      <w:r>
        <w:rPr>
          <w:rFonts w:ascii="宋体" w:hAnsi="宋体"/>
          <w:color w:val="auto"/>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auto"/>
          <w:highlight w:val="none"/>
        </w:rPr>
        <w:t>。</w:t>
      </w:r>
    </w:p>
    <w:p w14:paraId="22C5D070">
      <w:pPr>
        <w:tabs>
          <w:tab w:val="left" w:pos="1134"/>
          <w:tab w:val="left" w:pos="8364"/>
        </w:tabs>
        <w:spacing w:before="0" w:after="0" w:afterAutospacing="0"/>
        <w:ind w:left="0" w:right="0" w:firstLine="422" w:firstLineChars="200"/>
        <w:rPr>
          <w:rFonts w:ascii="宋体" w:hAnsi="宋体"/>
          <w:b/>
          <w:bCs/>
          <w:color w:val="auto"/>
          <w:highlight w:val="none"/>
        </w:rPr>
      </w:pPr>
      <w:bookmarkStart w:id="500" w:name="_Toc19603"/>
      <w:bookmarkStart w:id="501" w:name="_Toc12506"/>
      <w:bookmarkStart w:id="502" w:name="_Toc4216"/>
      <w:bookmarkStart w:id="503" w:name="_Toc375039083"/>
      <w:bookmarkStart w:id="504" w:name="_Toc3414"/>
      <w:bookmarkStart w:id="505" w:name="_Toc19044"/>
      <w:bookmarkStart w:id="506" w:name="_Toc383891187"/>
      <w:bookmarkStart w:id="507" w:name="_Toc385427812"/>
      <w:bookmarkStart w:id="508" w:name="_Toc390098438"/>
      <w:bookmarkStart w:id="509" w:name="_Toc6065"/>
      <w:bookmarkStart w:id="510" w:name="_Toc27730"/>
      <w:bookmarkStart w:id="511" w:name="_Toc12983522"/>
      <w:bookmarkStart w:id="512" w:name="_Toc25468"/>
      <w:bookmarkStart w:id="513" w:name="_Toc29108"/>
      <w:bookmarkStart w:id="514" w:name="_Toc12435"/>
      <w:bookmarkStart w:id="515" w:name="_Toc25684"/>
      <w:bookmarkStart w:id="516" w:name="_Toc14672"/>
      <w:bookmarkStart w:id="517" w:name="_Toc8100"/>
      <w:bookmarkStart w:id="518" w:name="_Toc24922"/>
      <w:bookmarkStart w:id="519" w:name="_Toc32525"/>
      <w:bookmarkStart w:id="520" w:name="_Toc32020"/>
      <w:bookmarkStart w:id="521" w:name="_Toc301"/>
      <w:bookmarkStart w:id="522" w:name="_Toc492478737"/>
      <w:r>
        <w:rPr>
          <w:rFonts w:hint="eastAsia" w:ascii="宋体" w:hAnsi="宋体"/>
          <w:b/>
          <w:bCs/>
          <w:color w:val="auto"/>
          <w:highlight w:val="none"/>
        </w:rPr>
        <w:t xml:space="preserve">16. </w:t>
      </w:r>
      <w:r>
        <w:rPr>
          <w:rFonts w:ascii="宋体" w:hAnsi="宋体"/>
          <w:b/>
          <w:bCs/>
          <w:color w:val="auto"/>
          <w:highlight w:val="none"/>
        </w:rPr>
        <w:t>比选申请文件的制作和签署</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090C373">
      <w:pPr>
        <w:tabs>
          <w:tab w:val="left" w:pos="1134"/>
          <w:tab w:val="left" w:pos="8364"/>
        </w:tabs>
        <w:spacing w:before="0" w:after="0" w:afterAutospacing="0"/>
        <w:ind w:left="0" w:right="0" w:firstLine="420" w:firstLineChars="200"/>
        <w:rPr>
          <w:rFonts w:ascii="宋体" w:hAnsi="宋体"/>
          <w:color w:val="auto"/>
          <w:sz w:val="24"/>
          <w:szCs w:val="24"/>
          <w:highlight w:val="none"/>
        </w:rPr>
      </w:pPr>
      <w:r>
        <w:rPr>
          <w:rFonts w:hint="eastAsia" w:ascii="宋体" w:hAnsi="宋体"/>
          <w:color w:val="auto"/>
          <w:highlight w:val="none"/>
        </w:rPr>
        <w:t xml:space="preserve">16.1 </w:t>
      </w:r>
      <w:r>
        <w:rPr>
          <w:rFonts w:ascii="宋体" w:hAnsi="宋体"/>
          <w:color w:val="auto"/>
          <w:highlight w:val="none"/>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w:t>
      </w:r>
      <w:r>
        <w:rPr>
          <w:rFonts w:hint="eastAsia" w:ascii="宋体" w:hAnsi="宋体"/>
          <w:color w:val="auto"/>
          <w:highlight w:val="none"/>
        </w:rPr>
        <w:t>；</w:t>
      </w:r>
      <w:r>
        <w:rPr>
          <w:rFonts w:ascii="宋体" w:hAnsi="宋体"/>
          <w:color w:val="auto"/>
          <w:highlight w:val="none"/>
        </w:rPr>
        <w:t>电子版与纸</w:t>
      </w:r>
      <w:r>
        <w:rPr>
          <w:rFonts w:hint="eastAsia" w:ascii="宋体" w:hAnsi="宋体"/>
          <w:color w:val="auto"/>
          <w:highlight w:val="none"/>
        </w:rPr>
        <w:t>质</w:t>
      </w:r>
      <w:r>
        <w:rPr>
          <w:rFonts w:ascii="宋体" w:hAnsi="宋体"/>
          <w:color w:val="auto"/>
          <w:highlight w:val="none"/>
        </w:rPr>
        <w:t>文件不符</w:t>
      </w:r>
      <w:r>
        <w:rPr>
          <w:rFonts w:hint="eastAsia" w:ascii="宋体" w:hAnsi="宋体"/>
          <w:color w:val="auto"/>
          <w:highlight w:val="none"/>
        </w:rPr>
        <w:t>的，</w:t>
      </w:r>
      <w:r>
        <w:rPr>
          <w:rFonts w:ascii="宋体" w:hAnsi="宋体"/>
          <w:color w:val="auto"/>
          <w:highlight w:val="none"/>
        </w:rPr>
        <w:t>以纸</w:t>
      </w:r>
      <w:r>
        <w:rPr>
          <w:rFonts w:hint="eastAsia" w:ascii="宋体" w:hAnsi="宋体"/>
          <w:color w:val="auto"/>
          <w:highlight w:val="none"/>
        </w:rPr>
        <w:t>质</w:t>
      </w:r>
      <w:r>
        <w:rPr>
          <w:rFonts w:ascii="宋体" w:hAnsi="宋体"/>
          <w:color w:val="auto"/>
          <w:highlight w:val="none"/>
        </w:rPr>
        <w:t>文件为准。</w:t>
      </w:r>
      <w:r>
        <w:rPr>
          <w:rFonts w:hint="eastAsia" w:ascii="宋体" w:hAnsi="宋体"/>
          <w:b/>
          <w:color w:val="auto"/>
          <w:sz w:val="24"/>
          <w:szCs w:val="24"/>
          <w:highlight w:val="none"/>
        </w:rPr>
        <w:t>比选申请文件要按照资格审查文件、价格文件和技术文件三部分文件单独装订成册。并按照比选申请须知规定的式样、密封和标记、时间和地点递交。</w:t>
      </w:r>
    </w:p>
    <w:p w14:paraId="4BC8DD0A">
      <w:pPr>
        <w:tabs>
          <w:tab w:val="left" w:pos="1134"/>
          <w:tab w:val="left" w:pos="8364"/>
        </w:tabs>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 xml:space="preserve">16.2 </w:t>
      </w:r>
      <w:r>
        <w:rPr>
          <w:rFonts w:ascii="宋体" w:hAnsi="宋体"/>
          <w:b/>
          <w:color w:val="auto"/>
          <w:highlight w:val="none"/>
        </w:rPr>
        <w:t>比选申请文件的正本需打印，并由比选申请人法定代表人或其授权委托人</w:t>
      </w:r>
      <w:r>
        <w:rPr>
          <w:rFonts w:hint="eastAsia" w:ascii="宋体" w:hAnsi="宋体"/>
          <w:b/>
          <w:color w:val="auto"/>
          <w:highlight w:val="none"/>
        </w:rPr>
        <w:t>在比选文件规定的相关位置</w:t>
      </w:r>
      <w:r>
        <w:rPr>
          <w:rFonts w:ascii="宋体" w:hAnsi="宋体"/>
          <w:b/>
          <w:color w:val="auto"/>
          <w:highlight w:val="none"/>
        </w:rPr>
        <w:t>签字</w:t>
      </w:r>
      <w:r>
        <w:rPr>
          <w:rFonts w:hint="eastAsia" w:ascii="宋体" w:hAnsi="宋体"/>
          <w:b/>
          <w:color w:val="auto"/>
          <w:highlight w:val="none"/>
        </w:rPr>
        <w:t>或盖章</w:t>
      </w:r>
      <w:r>
        <w:rPr>
          <w:rFonts w:ascii="宋体" w:hAnsi="宋体"/>
          <w:b/>
          <w:color w:val="auto"/>
          <w:highlight w:val="none"/>
        </w:rPr>
        <w:t>并加盖</w:t>
      </w:r>
      <w:r>
        <w:rPr>
          <w:rFonts w:hint="eastAsia" w:ascii="宋体" w:hAnsi="宋体"/>
          <w:b/>
          <w:color w:val="auto"/>
          <w:highlight w:val="none"/>
        </w:rPr>
        <w:t>比选申请人</w:t>
      </w:r>
      <w:r>
        <w:rPr>
          <w:rFonts w:ascii="宋体" w:hAnsi="宋体"/>
          <w:b/>
          <w:color w:val="auto"/>
          <w:highlight w:val="none"/>
        </w:rPr>
        <w:t>公章。授权委托人应将以书面形式出具的“法定代表人授权书”附在比选申请文件中。</w:t>
      </w:r>
      <w:r>
        <w:rPr>
          <w:rFonts w:hint="eastAsia" w:ascii="宋体" w:hAnsi="宋体"/>
          <w:b/>
          <w:color w:val="auto"/>
          <w:highlight w:val="none"/>
        </w:rPr>
        <w:t>比选申请文件正本需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比选申请文件的副本可采用正本的复印件</w:t>
      </w:r>
      <w:r>
        <w:rPr>
          <w:rFonts w:hint="eastAsia" w:ascii="宋体" w:hAnsi="宋体"/>
          <w:b/>
          <w:color w:val="auto"/>
          <w:highlight w:val="none"/>
        </w:rPr>
        <w:t>（需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w:t>
      </w:r>
    </w:p>
    <w:p w14:paraId="23E6958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16.3 </w:t>
      </w:r>
      <w:r>
        <w:rPr>
          <w:rFonts w:ascii="宋体" w:hAnsi="宋体"/>
          <w:color w:val="auto"/>
          <w:highlight w:val="none"/>
        </w:rPr>
        <w:t>比选申请文件应无涂改和行间插字，除非是比选申请人造成的必须修改的错误，任何行间插字、涂改和增删，必须由比选申请人法定代表人或其授权代表在旁边签字或盖章确认才有效。</w:t>
      </w:r>
    </w:p>
    <w:p w14:paraId="43A9BC71">
      <w:pPr>
        <w:tabs>
          <w:tab w:val="left" w:pos="1134"/>
          <w:tab w:val="left" w:pos="8364"/>
        </w:tabs>
        <w:spacing w:before="0" w:after="0" w:afterAutospacing="0"/>
        <w:ind w:left="0" w:right="0" w:firstLine="420" w:firstLineChars="200"/>
        <w:rPr>
          <w:rFonts w:ascii="宋体" w:hAnsi="宋体"/>
          <w:b/>
          <w:bCs/>
          <w:color w:val="auto"/>
          <w:sz w:val="24"/>
          <w:szCs w:val="24"/>
          <w:highlight w:val="none"/>
        </w:rPr>
      </w:pPr>
      <w:r>
        <w:rPr>
          <w:rFonts w:hint="eastAsia" w:ascii="宋体" w:hAnsi="宋体"/>
          <w:color w:val="auto"/>
          <w:highlight w:val="none"/>
        </w:rPr>
        <w:t xml:space="preserve">16.4 </w:t>
      </w:r>
      <w:r>
        <w:rPr>
          <w:rFonts w:ascii="宋体" w:hAnsi="宋体"/>
          <w:b/>
          <w:bCs/>
          <w:color w:val="auto"/>
          <w:sz w:val="24"/>
          <w:szCs w:val="24"/>
          <w:highlight w:val="none"/>
        </w:rPr>
        <w:t>比选人拒绝接受以</w:t>
      </w:r>
      <w:r>
        <w:rPr>
          <w:rFonts w:hint="eastAsia" w:ascii="宋体" w:hAnsi="宋体"/>
          <w:b/>
          <w:bCs/>
          <w:color w:val="auto"/>
          <w:sz w:val="24"/>
          <w:szCs w:val="24"/>
          <w:highlight w:val="none"/>
        </w:rPr>
        <w:t>邮寄、</w:t>
      </w:r>
      <w:r>
        <w:rPr>
          <w:rFonts w:ascii="宋体" w:hAnsi="宋体"/>
          <w:b/>
          <w:bCs/>
          <w:color w:val="auto"/>
          <w:sz w:val="24"/>
          <w:szCs w:val="24"/>
          <w:highlight w:val="none"/>
        </w:rPr>
        <w:t>电报、电话、传真、电子邮件形式的比选申请。</w:t>
      </w:r>
    </w:p>
    <w:p w14:paraId="4DF4DF74">
      <w:pPr>
        <w:pStyle w:val="3"/>
        <w:spacing w:after="0" w:afterAutospacing="0" w:line="360" w:lineRule="auto"/>
        <w:ind w:left="0" w:right="0" w:firstLine="482" w:firstLineChars="200"/>
        <w:rPr>
          <w:rFonts w:ascii="宋体" w:hAnsi="宋体" w:eastAsia="宋体"/>
          <w:color w:val="auto"/>
          <w:sz w:val="24"/>
          <w:szCs w:val="24"/>
          <w:highlight w:val="none"/>
        </w:rPr>
      </w:pPr>
      <w:bookmarkStart w:id="523" w:name="_Toc383891188"/>
      <w:bookmarkStart w:id="524" w:name="_Toc375039084"/>
      <w:bookmarkStart w:id="525" w:name="_Toc390098439"/>
      <w:bookmarkStart w:id="526" w:name="_Toc385427813"/>
      <w:bookmarkStart w:id="527" w:name="_Toc759"/>
      <w:bookmarkStart w:id="528" w:name="_Toc114134625"/>
      <w:bookmarkStart w:id="529" w:name="_Toc16409"/>
      <w:bookmarkStart w:id="530" w:name="_Toc26776"/>
      <w:bookmarkStart w:id="531" w:name="_Toc30962"/>
      <w:bookmarkStart w:id="532" w:name="_Toc2975"/>
      <w:bookmarkStart w:id="533" w:name="_Toc15116"/>
      <w:bookmarkStart w:id="534" w:name="_Toc12983523"/>
      <w:bookmarkStart w:id="535" w:name="_Toc23177"/>
      <w:bookmarkStart w:id="536" w:name="_Toc18322"/>
      <w:bookmarkStart w:id="537" w:name="_Toc10234"/>
      <w:bookmarkStart w:id="538" w:name="_Toc2113"/>
      <w:bookmarkStart w:id="539" w:name="_Toc6101"/>
      <w:bookmarkStart w:id="540" w:name="_Toc30452"/>
      <w:bookmarkStart w:id="541" w:name="_Toc32054"/>
      <w:bookmarkStart w:id="542" w:name="_Toc30187"/>
      <w:bookmarkStart w:id="543" w:name="_Toc1315"/>
      <w:bookmarkStart w:id="544" w:name="_Toc1952"/>
      <w:bookmarkStart w:id="545" w:name="_Toc492478738"/>
      <w:bookmarkStart w:id="546" w:name="_Toc26551"/>
      <w:r>
        <w:rPr>
          <w:rFonts w:hint="eastAsia" w:ascii="宋体" w:hAnsi="宋体" w:eastAsia="宋体"/>
          <w:color w:val="auto"/>
          <w:sz w:val="24"/>
          <w:szCs w:val="24"/>
          <w:highlight w:val="none"/>
        </w:rPr>
        <w:t>四、</w:t>
      </w:r>
      <w:r>
        <w:rPr>
          <w:rFonts w:ascii="宋体" w:hAnsi="宋体" w:eastAsia="宋体"/>
          <w:color w:val="auto"/>
          <w:sz w:val="24"/>
          <w:szCs w:val="24"/>
          <w:highlight w:val="none"/>
        </w:rPr>
        <w:t>比选申请文件</w:t>
      </w:r>
      <w:bookmarkEnd w:id="523"/>
      <w:bookmarkEnd w:id="524"/>
      <w:bookmarkEnd w:id="525"/>
      <w:bookmarkEnd w:id="526"/>
      <w:r>
        <w:rPr>
          <w:rFonts w:hint="eastAsia" w:ascii="宋体" w:hAnsi="宋体" w:eastAsia="宋体"/>
          <w:color w:val="auto"/>
          <w:sz w:val="24"/>
          <w:szCs w:val="24"/>
          <w:highlight w:val="none"/>
        </w:rPr>
        <w:t>的密封和递交</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0F21515">
      <w:pPr>
        <w:pStyle w:val="10"/>
        <w:spacing w:before="0" w:after="0" w:afterAutospacing="0"/>
        <w:ind w:left="0" w:right="0" w:firstLine="422" w:firstLineChars="200"/>
        <w:rPr>
          <w:rFonts w:ascii="宋体" w:hAnsi="宋体"/>
          <w:color w:val="auto"/>
          <w:sz w:val="21"/>
          <w:szCs w:val="21"/>
          <w:highlight w:val="none"/>
        </w:rPr>
      </w:pPr>
      <w:bookmarkStart w:id="547" w:name="_Toc12329"/>
      <w:bookmarkStart w:id="548" w:name="_Toc26249"/>
      <w:bookmarkStart w:id="549" w:name="_Toc15071"/>
      <w:bookmarkStart w:id="550" w:name="_Toc25750609"/>
      <w:bookmarkStart w:id="551" w:name="_Toc114134626"/>
      <w:bookmarkStart w:id="552" w:name="_Toc9307"/>
      <w:bookmarkStart w:id="553" w:name="_Toc19495"/>
      <w:bookmarkStart w:id="554" w:name="_Toc385427814"/>
      <w:bookmarkStart w:id="555" w:name="_Toc13829"/>
      <w:bookmarkStart w:id="556" w:name="_Toc13875"/>
      <w:bookmarkStart w:id="557" w:name="_Toc30196"/>
      <w:bookmarkStart w:id="558" w:name="_Toc12117"/>
      <w:bookmarkStart w:id="559" w:name="_Toc18616"/>
      <w:bookmarkStart w:id="560" w:name="_Toc375039085"/>
      <w:bookmarkStart w:id="561" w:name="_Toc12983524"/>
      <w:bookmarkStart w:id="562" w:name="_Toc24648"/>
      <w:bookmarkStart w:id="563" w:name="_Toc15735"/>
      <w:bookmarkStart w:id="564" w:name="_Toc15650"/>
      <w:bookmarkStart w:id="565" w:name="_Toc15663"/>
      <w:bookmarkStart w:id="566" w:name="_Toc390098440"/>
      <w:bookmarkStart w:id="567" w:name="_Toc5922"/>
      <w:bookmarkStart w:id="568" w:name="_Toc17200"/>
      <w:bookmarkStart w:id="569" w:name="_Toc13621"/>
      <w:bookmarkStart w:id="570" w:name="_Toc383891189"/>
      <w:bookmarkStart w:id="571" w:name="_Toc492478739"/>
      <w:r>
        <w:rPr>
          <w:rFonts w:hint="eastAsia" w:ascii="宋体" w:hAnsi="宋体"/>
          <w:color w:val="auto"/>
          <w:sz w:val="21"/>
          <w:szCs w:val="21"/>
          <w:highlight w:val="none"/>
        </w:rPr>
        <w:t xml:space="preserve">17. </w:t>
      </w:r>
      <w:r>
        <w:rPr>
          <w:rFonts w:ascii="宋体" w:hAnsi="宋体"/>
          <w:color w:val="auto"/>
          <w:sz w:val="21"/>
          <w:szCs w:val="21"/>
          <w:highlight w:val="none"/>
        </w:rPr>
        <w:t>比选申请文件</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08206DC3">
      <w:pPr>
        <w:tabs>
          <w:tab w:val="left" w:pos="1134"/>
          <w:tab w:val="left" w:pos="8364"/>
        </w:tabs>
        <w:spacing w:before="0" w:after="0" w:afterAutospacing="0"/>
        <w:ind w:left="0" w:right="0" w:firstLine="420" w:firstLineChars="200"/>
        <w:rPr>
          <w:rFonts w:ascii="宋体" w:hAnsi="宋体"/>
          <w:color w:val="auto"/>
          <w:highlight w:val="none"/>
        </w:rPr>
      </w:pPr>
      <w:bookmarkStart w:id="572" w:name="_Toc375039086"/>
      <w:bookmarkStart w:id="573" w:name="_Toc385427815"/>
      <w:bookmarkStart w:id="574" w:name="_Toc383891190"/>
      <w:bookmarkStart w:id="575" w:name="_Toc390098441"/>
      <w:r>
        <w:rPr>
          <w:rFonts w:hint="eastAsia" w:ascii="宋体" w:hAnsi="宋体"/>
          <w:color w:val="auto"/>
          <w:highlight w:val="none"/>
        </w:rPr>
        <w:t xml:space="preserve">17.1 </w:t>
      </w:r>
      <w:r>
        <w:rPr>
          <w:rFonts w:ascii="宋体" w:hAnsi="宋体"/>
          <w:color w:val="auto"/>
          <w:highlight w:val="none"/>
        </w:rPr>
        <w:t>封装方式</w:t>
      </w:r>
    </w:p>
    <w:p w14:paraId="7B850D3B">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（1）比选申请文件正本与副本应分别装订成册，封面上应分别标明“正本”和“副本”字样。</w:t>
      </w:r>
    </w:p>
    <w:p w14:paraId="3C3AE64D">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）比选申请人可将比选申请文件封装为</w:t>
      </w:r>
      <w:r>
        <w:rPr>
          <w:rFonts w:ascii="宋体" w:hAnsi="宋体"/>
          <w:color w:val="auto"/>
          <w:highlight w:val="none"/>
        </w:rPr>
        <w:t>1</w:t>
      </w:r>
      <w:r>
        <w:rPr>
          <w:rFonts w:hint="eastAsia" w:ascii="宋体" w:hAnsi="宋体"/>
          <w:color w:val="auto"/>
          <w:highlight w:val="none"/>
        </w:rPr>
        <w:t>个包，其中价格文件还需独立密封成包。</w:t>
      </w:r>
    </w:p>
    <w:p w14:paraId="7016B15B">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（3）所有密封箱/袋应保证其密封性，并骑缝加盖比选申请人单位公章。</w:t>
      </w:r>
    </w:p>
    <w:p w14:paraId="44FBF15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17.2 </w:t>
      </w:r>
      <w:r>
        <w:rPr>
          <w:rFonts w:ascii="宋体" w:hAnsi="宋体"/>
          <w:color w:val="auto"/>
          <w:highlight w:val="none"/>
        </w:rPr>
        <w:t>所有密封箱/袋都应具有下列识别标志：</w:t>
      </w:r>
    </w:p>
    <w:p w14:paraId="213C6E10">
      <w:pPr>
        <w:tabs>
          <w:tab w:val="left" w:pos="1155"/>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w:t>
      </w:r>
      <w:r>
        <w:rPr>
          <w:rFonts w:ascii="宋体" w:hAnsi="宋体"/>
          <w:color w:val="auto"/>
          <w:highlight w:val="none"/>
        </w:rPr>
        <w:t>项目名称：</w:t>
      </w:r>
      <w:r>
        <w:rPr>
          <w:rFonts w:hint="eastAsia" w:ascii="宋体" w:hAnsi="宋体"/>
          <w:color w:val="auto"/>
          <w:highlight w:val="none"/>
          <w:u w:val="single"/>
          <w:lang w:val="zh-CN"/>
        </w:rPr>
        <w:t>南宁市白沙半岛片区城中村改造项目安置住房小区（地块1）地质勘察</w:t>
      </w:r>
      <w:r>
        <w:rPr>
          <w:rFonts w:ascii="宋体" w:hAnsi="宋体"/>
          <w:color w:val="auto"/>
          <w:highlight w:val="none"/>
        </w:rPr>
        <w:t>；</w:t>
      </w:r>
    </w:p>
    <w:p w14:paraId="67D415CE">
      <w:pPr>
        <w:tabs>
          <w:tab w:val="left" w:pos="420"/>
          <w:tab w:val="left" w:pos="720"/>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项目编号：</w:t>
      </w:r>
      <w:r>
        <w:rPr>
          <w:rFonts w:hint="eastAsia" w:ascii="宋体" w:hAnsi="宋体"/>
          <w:color w:val="auto"/>
          <w:highlight w:val="none"/>
        </w:rPr>
        <w:t>无</w:t>
      </w:r>
    </w:p>
    <w:p w14:paraId="559B72C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17.3 </w:t>
      </w:r>
      <w:r>
        <w:rPr>
          <w:rFonts w:ascii="宋体" w:hAnsi="宋体"/>
          <w:color w:val="auto"/>
          <w:highlight w:val="none"/>
        </w:rPr>
        <w:t>所有密封箱</w:t>
      </w:r>
      <w:r>
        <w:rPr>
          <w:rFonts w:hint="eastAsia" w:ascii="宋体" w:hAnsi="宋体"/>
          <w:color w:val="auto"/>
          <w:highlight w:val="none"/>
        </w:rPr>
        <w:t>/</w:t>
      </w:r>
      <w:r>
        <w:rPr>
          <w:rFonts w:ascii="宋体" w:hAnsi="宋体"/>
          <w:color w:val="auto"/>
          <w:highlight w:val="none"/>
        </w:rPr>
        <w:t>袋上均应写明比选申请人的名称与地址，以便比选申请被宣布迟到时，能原封退回。</w:t>
      </w:r>
    </w:p>
    <w:p w14:paraId="72960745">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17.4 </w:t>
      </w:r>
      <w:r>
        <w:rPr>
          <w:rFonts w:ascii="宋体" w:hAnsi="宋体"/>
          <w:color w:val="auto"/>
          <w:highlight w:val="none"/>
        </w:rPr>
        <w:t>如果密封箱</w:t>
      </w:r>
      <w:r>
        <w:rPr>
          <w:rFonts w:hint="eastAsia" w:ascii="宋体" w:hAnsi="宋体"/>
          <w:color w:val="auto"/>
          <w:highlight w:val="none"/>
        </w:rPr>
        <w:t>/</w:t>
      </w:r>
      <w:r>
        <w:rPr>
          <w:rFonts w:ascii="宋体" w:hAnsi="宋体"/>
          <w:color w:val="auto"/>
          <w:highlight w:val="none"/>
        </w:rPr>
        <w:t>袋上没有按上述规定密封并加写标志，比选人将不承担比选申请文件错放或提前开封的责任，由此造成的提前开封的比选申请文件，比选人将予以拒绝，并退还给比选申请人。</w:t>
      </w:r>
    </w:p>
    <w:p w14:paraId="67E8B5FD">
      <w:pPr>
        <w:pStyle w:val="10"/>
        <w:numPr>
          <w:ilvl w:val="0"/>
          <w:numId w:val="5"/>
        </w:numPr>
        <w:spacing w:before="0" w:after="0" w:afterAutospacing="0"/>
        <w:ind w:left="0" w:right="0" w:firstLine="422" w:firstLineChars="200"/>
        <w:rPr>
          <w:rFonts w:ascii="宋体" w:hAnsi="宋体"/>
          <w:color w:val="auto"/>
          <w:sz w:val="21"/>
          <w:szCs w:val="21"/>
          <w:highlight w:val="none"/>
        </w:rPr>
      </w:pPr>
      <w:bookmarkStart w:id="576" w:name="_Toc25750610"/>
      <w:bookmarkStart w:id="577" w:name="_Toc28071"/>
      <w:bookmarkStart w:id="578" w:name="_Toc11039"/>
      <w:bookmarkStart w:id="579" w:name="_Toc16266"/>
      <w:bookmarkStart w:id="580" w:name="_Toc12983525"/>
      <w:bookmarkStart w:id="581" w:name="_Toc32760"/>
      <w:bookmarkStart w:id="582" w:name="_Toc642"/>
      <w:bookmarkStart w:id="583" w:name="_Toc16755"/>
      <w:bookmarkStart w:id="584" w:name="_Toc4735"/>
      <w:bookmarkStart w:id="585" w:name="_Toc13883"/>
      <w:bookmarkStart w:id="586" w:name="_Toc16818"/>
      <w:bookmarkStart w:id="587" w:name="_Toc114134627"/>
      <w:bookmarkStart w:id="588" w:name="_Toc23859"/>
      <w:bookmarkStart w:id="589" w:name="_Toc22180"/>
      <w:bookmarkStart w:id="590" w:name="_Toc2337"/>
      <w:bookmarkStart w:id="591" w:name="_Toc22445"/>
      <w:bookmarkStart w:id="592" w:name="_Toc6482"/>
      <w:bookmarkStart w:id="593" w:name="_Toc11255"/>
      <w:bookmarkStart w:id="594" w:name="_Toc11096"/>
      <w:bookmarkStart w:id="595" w:name="_Toc492478740"/>
      <w:bookmarkStart w:id="596" w:name="_Toc6339"/>
      <w:r>
        <w:rPr>
          <w:rFonts w:ascii="宋体" w:hAnsi="宋体"/>
          <w:color w:val="auto"/>
          <w:sz w:val="21"/>
          <w:szCs w:val="21"/>
          <w:highlight w:val="none"/>
        </w:rPr>
        <w:t>比选申请截止期</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EC1A003">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18.1 </w:t>
      </w:r>
      <w:r>
        <w:rPr>
          <w:rFonts w:ascii="宋体" w:hAnsi="宋体"/>
          <w:color w:val="auto"/>
          <w:highlight w:val="none"/>
        </w:rPr>
        <w:t>所有比选申请文件应派专人送交，并须按“比选申请须知前附表”中规定的比选申请截止时间</w:t>
      </w:r>
      <w:r>
        <w:rPr>
          <w:rFonts w:hint="eastAsia" w:ascii="宋体" w:hAnsi="宋体"/>
          <w:color w:val="auto"/>
          <w:highlight w:val="none"/>
        </w:rPr>
        <w:t>前</w:t>
      </w:r>
      <w:r>
        <w:rPr>
          <w:rFonts w:ascii="宋体" w:hAnsi="宋体"/>
          <w:color w:val="auto"/>
          <w:highlight w:val="none"/>
        </w:rPr>
        <w:t>送至</w:t>
      </w:r>
      <w:r>
        <w:rPr>
          <w:rFonts w:hint="eastAsia" w:ascii="宋体" w:hAnsi="宋体"/>
          <w:color w:val="auto"/>
          <w:highlight w:val="none"/>
        </w:rPr>
        <w:t>比选文件规定的</w:t>
      </w:r>
      <w:r>
        <w:rPr>
          <w:rFonts w:ascii="宋体" w:hAnsi="宋体"/>
          <w:color w:val="auto"/>
          <w:highlight w:val="none"/>
        </w:rPr>
        <w:t>地点。如有必要，比选申请人可事先自行到该场地进行察看。</w:t>
      </w:r>
    </w:p>
    <w:p w14:paraId="02AEC2E3">
      <w:pPr>
        <w:tabs>
          <w:tab w:val="left" w:pos="1134"/>
          <w:tab w:val="left" w:pos="8364"/>
        </w:tabs>
        <w:spacing w:before="0" w:after="0" w:afterAutospacing="0"/>
        <w:ind w:left="0" w:right="0" w:firstLine="422" w:firstLineChars="200"/>
        <w:rPr>
          <w:rFonts w:ascii="宋体" w:hAnsi="宋体"/>
          <w:color w:val="auto"/>
          <w:highlight w:val="none"/>
        </w:rPr>
      </w:pPr>
      <w:r>
        <w:rPr>
          <w:rFonts w:hint="eastAsia" w:ascii="宋体" w:hAnsi="宋体"/>
          <w:b/>
          <w:color w:val="auto"/>
          <w:highlight w:val="none"/>
        </w:rPr>
        <w:t xml:space="preserve">18.2 </w:t>
      </w:r>
      <w:r>
        <w:rPr>
          <w:rFonts w:ascii="宋体" w:hAnsi="宋体"/>
          <w:b/>
          <w:color w:val="auto"/>
          <w:highlight w:val="none"/>
        </w:rPr>
        <w:t>比选申请人在递交比选申请文件时必须签到，否则比选申请无效。递交比选申请文件的时间晚于比选申请截止时间时，比选申请文件将不被接受。</w:t>
      </w:r>
    </w:p>
    <w:p w14:paraId="0409074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18.3 </w:t>
      </w:r>
      <w:r>
        <w:rPr>
          <w:rFonts w:ascii="宋体" w:hAnsi="宋体"/>
          <w:color w:val="auto"/>
          <w:highlight w:val="none"/>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57683F1A">
      <w:pPr>
        <w:pStyle w:val="10"/>
        <w:numPr>
          <w:ilvl w:val="0"/>
          <w:numId w:val="5"/>
        </w:numPr>
        <w:spacing w:before="0" w:after="0" w:afterAutospacing="0"/>
        <w:ind w:left="0" w:right="0" w:firstLine="422" w:firstLineChars="200"/>
        <w:rPr>
          <w:rFonts w:ascii="宋体" w:hAnsi="宋体"/>
          <w:color w:val="auto"/>
          <w:sz w:val="21"/>
          <w:szCs w:val="21"/>
          <w:highlight w:val="none"/>
        </w:rPr>
      </w:pPr>
      <w:bookmarkStart w:id="597" w:name="_Toc2226"/>
      <w:bookmarkStart w:id="598" w:name="_Toc390098442"/>
      <w:bookmarkStart w:id="599" w:name="_Toc21960"/>
      <w:bookmarkStart w:id="600" w:name="_Toc3597"/>
      <w:bookmarkStart w:id="601" w:name="_Toc492478741"/>
      <w:bookmarkStart w:id="602" w:name="_Toc29066"/>
      <w:bookmarkStart w:id="603" w:name="_Toc385427816"/>
      <w:bookmarkStart w:id="604" w:name="_Toc10818"/>
      <w:bookmarkStart w:id="605" w:name="_Toc32621"/>
      <w:bookmarkStart w:id="606" w:name="_Toc114134628"/>
      <w:bookmarkStart w:id="607" w:name="_Toc32252"/>
      <w:bookmarkStart w:id="608" w:name="_Toc13581"/>
      <w:bookmarkStart w:id="609" w:name="_Toc9522"/>
      <w:bookmarkStart w:id="610" w:name="_Toc29473"/>
      <w:bookmarkStart w:id="611" w:name="_Toc324"/>
      <w:bookmarkStart w:id="612" w:name="_Toc22945"/>
      <w:bookmarkStart w:id="613" w:name="_Toc383891191"/>
      <w:bookmarkStart w:id="614" w:name="_Toc375039087"/>
      <w:bookmarkStart w:id="615" w:name="_Toc12983526"/>
      <w:bookmarkStart w:id="616" w:name="_Toc15252"/>
      <w:bookmarkStart w:id="617" w:name="_Toc11373"/>
      <w:bookmarkStart w:id="618" w:name="_Toc25750611"/>
      <w:bookmarkStart w:id="619" w:name="_Toc14239"/>
      <w:bookmarkStart w:id="620" w:name="_Toc23404"/>
      <w:bookmarkStart w:id="621" w:name="_Toc26431"/>
      <w:r>
        <w:rPr>
          <w:rFonts w:ascii="宋体" w:hAnsi="宋体"/>
          <w:color w:val="auto"/>
          <w:sz w:val="21"/>
          <w:szCs w:val="21"/>
          <w:highlight w:val="none"/>
        </w:rPr>
        <w:t>迟交的比选申请文件</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F79E588">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19.1 比选人</w:t>
      </w:r>
      <w:r>
        <w:rPr>
          <w:rFonts w:ascii="宋体" w:hAnsi="宋体"/>
          <w:color w:val="auto"/>
          <w:highlight w:val="none"/>
        </w:rPr>
        <w:t>将拒绝并原封退回在</w:t>
      </w:r>
      <w:r>
        <w:rPr>
          <w:rFonts w:hint="eastAsia" w:ascii="宋体" w:hAnsi="宋体"/>
          <w:color w:val="auto"/>
          <w:highlight w:val="none"/>
        </w:rPr>
        <w:t>本须知</w:t>
      </w:r>
      <w:r>
        <w:rPr>
          <w:rFonts w:ascii="宋体" w:hAnsi="宋体"/>
          <w:color w:val="auto"/>
          <w:highlight w:val="none"/>
        </w:rPr>
        <w:t>18.1</w:t>
      </w:r>
      <w:r>
        <w:rPr>
          <w:rFonts w:hint="eastAsia" w:ascii="宋体" w:hAnsi="宋体"/>
          <w:color w:val="auto"/>
          <w:highlight w:val="none"/>
        </w:rPr>
        <w:t>条</w:t>
      </w:r>
      <w:r>
        <w:rPr>
          <w:rFonts w:ascii="宋体" w:hAnsi="宋体"/>
          <w:color w:val="auto"/>
          <w:highlight w:val="none"/>
        </w:rPr>
        <w:t>规定的比选申请截止时间后收到的任何比选申请文件。</w:t>
      </w:r>
    </w:p>
    <w:p w14:paraId="25DD49CD">
      <w:pPr>
        <w:pStyle w:val="10"/>
        <w:numPr>
          <w:ilvl w:val="0"/>
          <w:numId w:val="5"/>
        </w:numPr>
        <w:spacing w:before="0" w:after="0" w:afterAutospacing="0"/>
        <w:ind w:left="0" w:right="0" w:firstLine="422" w:firstLineChars="200"/>
        <w:rPr>
          <w:rFonts w:ascii="宋体" w:hAnsi="宋体"/>
          <w:color w:val="auto"/>
          <w:sz w:val="21"/>
          <w:szCs w:val="21"/>
          <w:highlight w:val="none"/>
        </w:rPr>
      </w:pPr>
      <w:bookmarkStart w:id="622" w:name="_Toc14411"/>
      <w:bookmarkStart w:id="623" w:name="_Toc27195"/>
      <w:bookmarkStart w:id="624" w:name="_Toc383891192"/>
      <w:bookmarkStart w:id="625" w:name="_Toc114134629"/>
      <w:bookmarkStart w:id="626" w:name="_Toc492478742"/>
      <w:bookmarkStart w:id="627" w:name="_Toc385427817"/>
      <w:bookmarkStart w:id="628" w:name="_Toc25750612"/>
      <w:bookmarkStart w:id="629" w:name="_Toc14522"/>
      <w:bookmarkStart w:id="630" w:name="_Toc8636"/>
      <w:bookmarkStart w:id="631" w:name="_Toc390098443"/>
      <w:bookmarkStart w:id="632" w:name="_Toc375039088"/>
      <w:bookmarkStart w:id="633" w:name="_Toc12682"/>
      <w:bookmarkStart w:id="634" w:name="_Toc24030"/>
      <w:bookmarkStart w:id="635" w:name="_Toc243"/>
      <w:bookmarkStart w:id="636" w:name="_Toc23449"/>
      <w:bookmarkStart w:id="637" w:name="_Toc31033"/>
      <w:bookmarkStart w:id="638" w:name="_Toc21796"/>
      <w:bookmarkStart w:id="639" w:name="_Toc28452"/>
      <w:bookmarkStart w:id="640" w:name="_Toc29208"/>
      <w:bookmarkStart w:id="641" w:name="_Toc4605"/>
      <w:bookmarkStart w:id="642" w:name="_Toc25427"/>
      <w:bookmarkStart w:id="643" w:name="_Toc12983527"/>
      <w:bookmarkStart w:id="644" w:name="_Toc9706"/>
      <w:bookmarkStart w:id="645" w:name="_Toc17797"/>
      <w:bookmarkStart w:id="646" w:name="_Toc26282"/>
      <w:r>
        <w:rPr>
          <w:rFonts w:ascii="宋体" w:hAnsi="宋体"/>
          <w:color w:val="auto"/>
          <w:sz w:val="21"/>
          <w:szCs w:val="21"/>
          <w:highlight w:val="none"/>
        </w:rPr>
        <w:t>比选申请文件的修改和撤回</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8EE5BBE">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20.1 </w:t>
      </w:r>
      <w:r>
        <w:rPr>
          <w:rFonts w:ascii="宋体" w:hAnsi="宋体"/>
          <w:color w:val="auto"/>
          <w:highlight w:val="none"/>
        </w:rPr>
        <w:t>比选申请人在提交比选申请文件后可对其比选申请文件进行修改或撤回，但该修改或撤回的书面通知须在比选申请截止时间之前送达</w:t>
      </w:r>
      <w:r>
        <w:rPr>
          <w:rFonts w:hint="eastAsia" w:ascii="宋体" w:hAnsi="宋体"/>
          <w:color w:val="auto"/>
          <w:highlight w:val="none"/>
        </w:rPr>
        <w:t>比选单位</w:t>
      </w:r>
      <w:r>
        <w:rPr>
          <w:rFonts w:ascii="宋体" w:hAnsi="宋体"/>
          <w:color w:val="auto"/>
          <w:highlight w:val="none"/>
        </w:rPr>
        <w:t>；且该通知需经正式授权的比选申请人代表签字方为有效。</w:t>
      </w:r>
    </w:p>
    <w:p w14:paraId="457A66C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20.2 </w:t>
      </w:r>
      <w:r>
        <w:rPr>
          <w:rFonts w:ascii="宋体" w:hAnsi="宋体"/>
          <w:color w:val="auto"/>
          <w:highlight w:val="none"/>
        </w:rPr>
        <w:t>比选申请人对比选申请文件修改的书面材料或撤回的通知应按本比选申请须知</w:t>
      </w:r>
      <w:r>
        <w:rPr>
          <w:rFonts w:hint="eastAsia" w:ascii="宋体" w:hAnsi="宋体"/>
          <w:color w:val="auto"/>
          <w:highlight w:val="none"/>
        </w:rPr>
        <w:t>16</w:t>
      </w:r>
      <w:r>
        <w:rPr>
          <w:rFonts w:ascii="宋体" w:hAnsi="宋体"/>
          <w:color w:val="auto"/>
          <w:highlight w:val="none"/>
        </w:rPr>
        <w:t>和</w:t>
      </w:r>
      <w:r>
        <w:rPr>
          <w:color w:val="auto"/>
          <w:highlight w:val="none"/>
        </w:rPr>
        <w:fldChar w:fldCharType="begin"/>
      </w:r>
      <w:r>
        <w:rPr>
          <w:color w:val="auto"/>
          <w:highlight w:val="none"/>
        </w:rPr>
        <w:instrText xml:space="preserve"> HYPERLINK \l "_尻깃匡숭돨쵱룐뵨깃션" </w:instrText>
      </w:r>
      <w:r>
        <w:rPr>
          <w:color w:val="auto"/>
          <w:highlight w:val="none"/>
        </w:rPr>
        <w:fldChar w:fldCharType="separate"/>
      </w:r>
      <w:r>
        <w:rPr>
          <w:rFonts w:hint="eastAsia" w:ascii="宋体" w:hAnsi="宋体"/>
          <w:color w:val="auto"/>
          <w:highlight w:val="none"/>
        </w:rPr>
        <w:t>17</w:t>
      </w:r>
      <w:r>
        <w:rPr>
          <w:rFonts w:ascii="宋体" w:hAnsi="宋体"/>
          <w:color w:val="auto"/>
          <w:highlight w:val="none"/>
        </w:rPr>
        <w:t>条</w:t>
      </w:r>
      <w:r>
        <w:rPr>
          <w:rFonts w:ascii="宋体" w:hAnsi="宋体"/>
          <w:color w:val="auto"/>
          <w:highlight w:val="none"/>
        </w:rPr>
        <w:fldChar w:fldCharType="end"/>
      </w:r>
      <w:r>
        <w:rPr>
          <w:rFonts w:ascii="宋体" w:hAnsi="宋体"/>
          <w:color w:val="auto"/>
          <w:highlight w:val="none"/>
        </w:rPr>
        <w:t>规定进行编写、密封、标注和递送，并注明“修改比选申请文件”或“撤回比选申请书面通知”字样。</w:t>
      </w:r>
    </w:p>
    <w:p w14:paraId="20406497">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20.3 </w:t>
      </w:r>
      <w:r>
        <w:rPr>
          <w:rFonts w:ascii="宋体" w:hAnsi="宋体"/>
          <w:color w:val="auto"/>
          <w:highlight w:val="none"/>
        </w:rPr>
        <w:t>比选申请截止时间以后比选申请人不得修改比选申请文件。</w:t>
      </w:r>
    </w:p>
    <w:p w14:paraId="259A1F1D">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20.4 </w:t>
      </w:r>
      <w:r>
        <w:rPr>
          <w:rFonts w:ascii="宋体" w:hAnsi="宋体"/>
          <w:color w:val="auto"/>
          <w:highlight w:val="none"/>
        </w:rPr>
        <w:t>比选申请人不得在比选申请截止时间至比选申请有效期期满前撤销比选申请文件。否则</w:t>
      </w:r>
      <w:r>
        <w:rPr>
          <w:rFonts w:hint="eastAsia" w:ascii="宋体" w:hAnsi="宋体"/>
          <w:color w:val="auto"/>
          <w:highlight w:val="none"/>
        </w:rPr>
        <w:t>比选人有权</w:t>
      </w:r>
      <w:r>
        <w:rPr>
          <w:rFonts w:ascii="宋体" w:hAnsi="宋体"/>
          <w:color w:val="auto"/>
          <w:highlight w:val="none"/>
        </w:rPr>
        <w:t>要求</w:t>
      </w:r>
      <w:r>
        <w:rPr>
          <w:rFonts w:hint="eastAsia" w:ascii="宋体" w:hAnsi="宋体"/>
          <w:color w:val="auto"/>
          <w:highlight w:val="none"/>
        </w:rPr>
        <w:t>比选申请人</w:t>
      </w:r>
      <w:r>
        <w:rPr>
          <w:rFonts w:ascii="宋体" w:hAnsi="宋体"/>
          <w:color w:val="auto"/>
          <w:highlight w:val="none"/>
        </w:rPr>
        <w:t>对损失给予赔偿。</w:t>
      </w:r>
    </w:p>
    <w:p w14:paraId="1D1FCED9">
      <w:pPr>
        <w:pStyle w:val="3"/>
        <w:spacing w:after="0" w:afterAutospacing="0" w:line="360" w:lineRule="auto"/>
        <w:ind w:left="0" w:right="0" w:firstLine="482" w:firstLineChars="200"/>
        <w:rPr>
          <w:rFonts w:ascii="宋体" w:hAnsi="宋体" w:eastAsia="宋体"/>
          <w:color w:val="auto"/>
          <w:sz w:val="24"/>
          <w:szCs w:val="24"/>
          <w:highlight w:val="none"/>
        </w:rPr>
      </w:pPr>
      <w:bookmarkStart w:id="647" w:name="_Toc24485"/>
      <w:bookmarkStart w:id="648" w:name="_Toc28694"/>
      <w:bookmarkStart w:id="649" w:name="_Toc2306"/>
      <w:bookmarkStart w:id="650" w:name="_Toc375039089"/>
      <w:bookmarkStart w:id="651" w:name="_Toc4291"/>
      <w:bookmarkStart w:id="652" w:name="_Toc10325"/>
      <w:bookmarkStart w:id="653" w:name="_Toc390098444"/>
      <w:bookmarkStart w:id="654" w:name="_Toc383891193"/>
      <w:bookmarkStart w:id="655" w:name="_Toc31978"/>
      <w:bookmarkStart w:id="656" w:name="_Toc3006"/>
      <w:bookmarkStart w:id="657" w:name="_Toc18076"/>
      <w:bookmarkStart w:id="658" w:name="_Toc12182"/>
      <w:bookmarkStart w:id="659" w:name="_Toc9728"/>
      <w:bookmarkStart w:id="660" w:name="_Toc11529"/>
      <w:bookmarkStart w:id="661" w:name="_Toc5592"/>
      <w:bookmarkStart w:id="662" w:name="_Toc385427818"/>
      <w:bookmarkStart w:id="663" w:name="_Toc16856"/>
      <w:bookmarkStart w:id="664" w:name="_Toc9549"/>
      <w:bookmarkStart w:id="665" w:name="_Toc25433"/>
      <w:bookmarkStart w:id="666" w:name="_Toc492478743"/>
      <w:bookmarkStart w:id="667" w:name="_Toc12983528"/>
      <w:bookmarkStart w:id="668" w:name="_Toc22587"/>
      <w:bookmarkStart w:id="669" w:name="_Toc29264"/>
      <w:bookmarkStart w:id="670" w:name="_Toc114134630"/>
      <w:r>
        <w:rPr>
          <w:rFonts w:hint="eastAsia" w:ascii="宋体" w:hAnsi="宋体" w:eastAsia="宋体"/>
          <w:color w:val="auto"/>
          <w:sz w:val="24"/>
          <w:szCs w:val="24"/>
          <w:highlight w:val="none"/>
        </w:rPr>
        <w:t>五、</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r>
        <w:rPr>
          <w:rFonts w:hint="eastAsia" w:ascii="宋体" w:hAnsi="宋体" w:eastAsia="宋体"/>
          <w:color w:val="auto"/>
          <w:sz w:val="24"/>
          <w:szCs w:val="24"/>
          <w:highlight w:val="none"/>
        </w:rPr>
        <w:t>比选申请文件递交与评审</w:t>
      </w:r>
      <w:bookmarkEnd w:id="670"/>
    </w:p>
    <w:p w14:paraId="72002B0A">
      <w:pPr>
        <w:pStyle w:val="10"/>
        <w:spacing w:before="0" w:after="0" w:afterAutospacing="0"/>
        <w:ind w:left="0" w:right="0" w:firstLine="422" w:firstLineChars="200"/>
        <w:rPr>
          <w:rFonts w:ascii="宋体" w:hAnsi="宋体"/>
          <w:color w:val="auto"/>
          <w:sz w:val="21"/>
          <w:szCs w:val="21"/>
          <w:highlight w:val="none"/>
        </w:rPr>
      </w:pPr>
      <w:bookmarkStart w:id="671" w:name="_Toc4365"/>
      <w:bookmarkStart w:id="672" w:name="_Toc5182"/>
      <w:bookmarkStart w:id="673" w:name="_Toc492478744"/>
      <w:bookmarkStart w:id="674" w:name="_Toc18919"/>
      <w:bookmarkStart w:id="675" w:name="_Toc6839"/>
      <w:bookmarkStart w:id="676" w:name="_Toc383891194"/>
      <w:bookmarkStart w:id="677" w:name="_Toc4674"/>
      <w:bookmarkStart w:id="678" w:name="_Toc375039090"/>
      <w:bookmarkStart w:id="679" w:name="_Toc9264"/>
      <w:bookmarkStart w:id="680" w:name="_Toc4825"/>
      <w:bookmarkStart w:id="681" w:name="_Toc4638"/>
      <w:bookmarkStart w:id="682" w:name="_Toc895"/>
      <w:bookmarkStart w:id="683" w:name="_Toc10292"/>
      <w:bookmarkStart w:id="684" w:name="_Toc6377"/>
      <w:bookmarkStart w:id="685" w:name="_Toc10883"/>
      <w:bookmarkStart w:id="686" w:name="_Toc25116"/>
      <w:bookmarkStart w:id="687" w:name="_Toc23705"/>
      <w:bookmarkStart w:id="688" w:name="_Toc9309"/>
      <w:bookmarkStart w:id="689" w:name="_Toc385427819"/>
      <w:bookmarkStart w:id="690" w:name="_Toc390098445"/>
      <w:bookmarkStart w:id="691" w:name="_Toc24196"/>
      <w:bookmarkStart w:id="692" w:name="_Toc12983529"/>
      <w:bookmarkStart w:id="693" w:name="_Toc6974"/>
      <w:bookmarkStart w:id="694" w:name="_Toc25750614"/>
      <w:bookmarkStart w:id="695" w:name="_Toc114134631"/>
      <w:r>
        <w:rPr>
          <w:rFonts w:hint="eastAsia" w:ascii="宋体" w:hAnsi="宋体"/>
          <w:color w:val="auto"/>
          <w:sz w:val="21"/>
          <w:szCs w:val="21"/>
          <w:highlight w:val="none"/>
        </w:rPr>
        <w:t xml:space="preserve">21. </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Pr>
          <w:rFonts w:hint="eastAsia" w:ascii="宋体" w:hAnsi="宋体"/>
          <w:color w:val="auto"/>
          <w:sz w:val="21"/>
          <w:szCs w:val="21"/>
          <w:highlight w:val="none"/>
        </w:rPr>
        <w:t>比选申请文件递交</w:t>
      </w:r>
      <w:bookmarkEnd w:id="694"/>
      <w:bookmarkEnd w:id="695"/>
    </w:p>
    <w:p w14:paraId="3A323351">
      <w:pPr>
        <w:tabs>
          <w:tab w:val="left" w:pos="945"/>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21.1 比选人将按本须知</w:t>
      </w:r>
      <w:r>
        <w:rPr>
          <w:rFonts w:ascii="宋体" w:hAnsi="宋体"/>
          <w:color w:val="auto"/>
          <w:highlight w:val="none"/>
        </w:rPr>
        <w:t>18.1</w:t>
      </w:r>
      <w:r>
        <w:rPr>
          <w:rFonts w:hint="eastAsia" w:ascii="宋体" w:hAnsi="宋体"/>
          <w:color w:val="auto"/>
          <w:highlight w:val="none"/>
        </w:rPr>
        <w:t>条项规定的时间和地址，对所有按时递交并已签收达三个或以上比选申请人的比选申请文件进行核查。</w:t>
      </w:r>
    </w:p>
    <w:p w14:paraId="599152DD">
      <w:pPr>
        <w:tabs>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比选申请文件有下列情形之一的，比选人应当拒收：</w:t>
      </w:r>
    </w:p>
    <w:p w14:paraId="2E33C4CD">
      <w:pPr>
        <w:snapToGrid w:val="0"/>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.1.1逾期送达的或者未送达指定地点的比选申请文件</w:t>
      </w:r>
      <w:r>
        <w:rPr>
          <w:rFonts w:hint="eastAsia" w:ascii="宋体" w:hAnsi="宋体"/>
          <w:b/>
          <w:color w:val="auto"/>
          <w:highlight w:val="none"/>
        </w:rPr>
        <w:t>；</w:t>
      </w:r>
    </w:p>
    <w:p w14:paraId="1EF49B99">
      <w:pPr>
        <w:snapToGrid w:val="0"/>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.1.2</w:t>
      </w:r>
      <w:r>
        <w:rPr>
          <w:rFonts w:hint="eastAsia" w:ascii="宋体" w:hAnsi="宋体"/>
          <w:b/>
          <w:color w:val="auto"/>
          <w:highlight w:val="none"/>
        </w:rPr>
        <w:t>比选申请文件外包封</w:t>
      </w:r>
      <w:r>
        <w:rPr>
          <w:rFonts w:ascii="宋体" w:hAnsi="宋体"/>
          <w:b/>
          <w:color w:val="auto"/>
          <w:highlight w:val="none"/>
        </w:rPr>
        <w:t>未按比选文件要求密封的</w:t>
      </w:r>
      <w:r>
        <w:rPr>
          <w:rFonts w:hint="eastAsia" w:ascii="宋体" w:hAnsi="宋体"/>
          <w:b/>
          <w:color w:val="auto"/>
          <w:highlight w:val="none"/>
        </w:rPr>
        <w:t>。</w:t>
      </w:r>
    </w:p>
    <w:p w14:paraId="70CAE442">
      <w:pPr>
        <w:pStyle w:val="10"/>
        <w:spacing w:before="0" w:after="0" w:afterAutospacing="0"/>
        <w:ind w:left="0" w:right="0" w:firstLine="422" w:firstLineChars="200"/>
        <w:rPr>
          <w:rFonts w:ascii="宋体" w:hAnsi="宋体"/>
          <w:color w:val="auto"/>
          <w:sz w:val="21"/>
          <w:szCs w:val="21"/>
          <w:highlight w:val="none"/>
        </w:rPr>
      </w:pPr>
      <w:bookmarkStart w:id="696" w:name="_Toc390098446"/>
      <w:bookmarkStart w:id="697" w:name="_Toc385427820"/>
      <w:bookmarkStart w:id="698" w:name="_Toc375039091"/>
      <w:bookmarkStart w:id="699" w:name="_Toc383891195"/>
      <w:bookmarkStart w:id="700" w:name="_Toc11263"/>
      <w:bookmarkStart w:id="701" w:name="_Toc492478745"/>
      <w:bookmarkStart w:id="702" w:name="_Toc30671"/>
      <w:bookmarkStart w:id="703" w:name="_Toc114134632"/>
      <w:bookmarkStart w:id="704" w:name="_Toc24630"/>
      <w:bookmarkStart w:id="705" w:name="_Toc15466"/>
      <w:bookmarkStart w:id="706" w:name="_Toc11013"/>
      <w:bookmarkStart w:id="707" w:name="_Toc1920"/>
      <w:bookmarkStart w:id="708" w:name="_Toc27636"/>
      <w:bookmarkStart w:id="709" w:name="_Toc13202"/>
      <w:bookmarkStart w:id="710" w:name="_Toc17785"/>
      <w:bookmarkStart w:id="711" w:name="_Toc9391"/>
      <w:bookmarkStart w:id="712" w:name="_Toc21819"/>
      <w:bookmarkStart w:id="713" w:name="_Toc16601"/>
      <w:bookmarkStart w:id="714" w:name="_Toc12983530"/>
      <w:bookmarkStart w:id="715" w:name="_Toc23699"/>
      <w:bookmarkStart w:id="716" w:name="_Toc25750615"/>
      <w:bookmarkStart w:id="717" w:name="_Toc25270"/>
      <w:bookmarkStart w:id="718" w:name="_Toc16068"/>
      <w:bookmarkStart w:id="719" w:name="_Toc5267"/>
      <w:bookmarkStart w:id="720" w:name="_Toc24687"/>
      <w:r>
        <w:rPr>
          <w:rFonts w:hint="eastAsia" w:ascii="宋体" w:hAnsi="宋体"/>
          <w:color w:val="auto"/>
          <w:sz w:val="21"/>
          <w:szCs w:val="21"/>
          <w:highlight w:val="none"/>
        </w:rPr>
        <w:t>22.</w:t>
      </w:r>
      <w:r>
        <w:rPr>
          <w:rFonts w:ascii="宋体" w:hAnsi="宋体"/>
          <w:color w:val="auto"/>
          <w:sz w:val="21"/>
          <w:szCs w:val="21"/>
          <w:highlight w:val="none"/>
        </w:rPr>
        <w:t>评审</w:t>
      </w:r>
      <w:bookmarkEnd w:id="696"/>
      <w:bookmarkEnd w:id="697"/>
      <w:bookmarkEnd w:id="698"/>
      <w:bookmarkEnd w:id="699"/>
      <w:r>
        <w:rPr>
          <w:rFonts w:ascii="宋体" w:hAnsi="宋体"/>
          <w:color w:val="auto"/>
          <w:sz w:val="21"/>
          <w:szCs w:val="21"/>
          <w:highlight w:val="none"/>
        </w:rPr>
        <w:t>程序</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065735B">
      <w:pPr>
        <w:tabs>
          <w:tab w:val="left" w:pos="8364"/>
        </w:tabs>
        <w:spacing w:before="0" w:after="0" w:afterAutospacing="0"/>
        <w:ind w:left="0" w:right="0" w:firstLine="420" w:firstLineChars="200"/>
        <w:rPr>
          <w:rFonts w:ascii="宋体" w:hAnsi="宋体"/>
          <w:b/>
          <w:color w:val="auto"/>
          <w:highlight w:val="none"/>
        </w:rPr>
      </w:pPr>
      <w:bookmarkStart w:id="721" w:name="_Toc375039092"/>
      <w:r>
        <w:rPr>
          <w:rFonts w:hint="eastAsia" w:ascii="宋体" w:hAnsi="宋体"/>
          <w:color w:val="auto"/>
          <w:highlight w:val="none"/>
        </w:rPr>
        <w:t>详见第五章《评分办法》。</w:t>
      </w:r>
      <w:bookmarkEnd w:id="721"/>
    </w:p>
    <w:p w14:paraId="3087B2E8">
      <w:pPr>
        <w:pStyle w:val="10"/>
        <w:numPr>
          <w:ilvl w:val="0"/>
          <w:numId w:val="6"/>
        </w:numPr>
        <w:spacing w:before="0" w:after="0" w:afterAutospacing="0"/>
        <w:ind w:left="0" w:right="0" w:firstLine="422" w:firstLineChars="200"/>
        <w:rPr>
          <w:rFonts w:ascii="宋体" w:hAnsi="宋体"/>
          <w:color w:val="auto"/>
          <w:sz w:val="21"/>
          <w:szCs w:val="21"/>
          <w:highlight w:val="none"/>
        </w:rPr>
      </w:pPr>
      <w:bookmarkStart w:id="722" w:name="_Toc8295"/>
      <w:bookmarkStart w:id="723" w:name="_Toc5386"/>
      <w:bookmarkStart w:id="724" w:name="_Toc17980"/>
      <w:bookmarkStart w:id="725" w:name="_Toc27570"/>
      <w:bookmarkStart w:id="726" w:name="_Toc390098447"/>
      <w:bookmarkStart w:id="727" w:name="_Toc24755"/>
      <w:bookmarkStart w:id="728" w:name="_Toc114134633"/>
      <w:bookmarkStart w:id="729" w:name="_Toc383891196"/>
      <w:bookmarkStart w:id="730" w:name="_Toc385427821"/>
      <w:bookmarkStart w:id="731" w:name="_Toc11716"/>
      <w:bookmarkStart w:id="732" w:name="_Toc492478746"/>
      <w:bookmarkStart w:id="733" w:name="_Toc1456"/>
      <w:bookmarkStart w:id="734" w:name="_Toc18803"/>
      <w:bookmarkStart w:id="735" w:name="_Toc25047"/>
      <w:bookmarkStart w:id="736" w:name="_Toc16072"/>
      <w:bookmarkStart w:id="737" w:name="_Toc15"/>
      <w:bookmarkStart w:id="738" w:name="_Toc13421"/>
      <w:bookmarkStart w:id="739" w:name="_Toc29929"/>
      <w:bookmarkStart w:id="740" w:name="_Toc18063"/>
      <w:bookmarkStart w:id="741" w:name="_Toc833"/>
      <w:bookmarkStart w:id="742" w:name="_Toc375039093"/>
      <w:bookmarkStart w:id="743" w:name="_Toc14719"/>
      <w:bookmarkStart w:id="744" w:name="_Toc26137"/>
      <w:bookmarkStart w:id="745" w:name="_Toc25750616"/>
      <w:bookmarkStart w:id="746" w:name="_Toc12983531"/>
      <w:r>
        <w:rPr>
          <w:rFonts w:ascii="宋体" w:hAnsi="宋体"/>
          <w:color w:val="auto"/>
          <w:sz w:val="21"/>
          <w:szCs w:val="21"/>
          <w:highlight w:val="none"/>
        </w:rPr>
        <w:t>与比选人和评审委员会的接触</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5C9F33F">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 xml:space="preserve">23.1 </w:t>
      </w:r>
      <w:r>
        <w:rPr>
          <w:rFonts w:ascii="宋体" w:hAnsi="宋体" w:cs="Arial"/>
          <w:color w:val="auto"/>
          <w:highlight w:val="none"/>
        </w:rPr>
        <w:t>从比选申请截止日起至授予合同期间，未经书面要求，比选申请人不得就与其比选申请文件有关的事项与评审委员会、比选人接触（包括直接接触</w:t>
      </w:r>
      <w:r>
        <w:rPr>
          <w:rFonts w:hint="eastAsia" w:ascii="宋体" w:hAnsi="宋体" w:cs="Arial"/>
          <w:color w:val="auto"/>
          <w:highlight w:val="none"/>
        </w:rPr>
        <w:t>或</w:t>
      </w:r>
      <w:r>
        <w:rPr>
          <w:rFonts w:ascii="宋体" w:hAnsi="宋体" w:cs="Arial"/>
          <w:color w:val="auto"/>
          <w:highlight w:val="none"/>
        </w:rPr>
        <w:t>间接接触）。</w:t>
      </w:r>
    </w:p>
    <w:p w14:paraId="055213FB">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 xml:space="preserve">23.2 </w:t>
      </w:r>
      <w:r>
        <w:rPr>
          <w:rFonts w:ascii="宋体" w:hAnsi="宋体" w:cs="Arial"/>
          <w:color w:val="auto"/>
          <w:highlight w:val="none"/>
        </w:rPr>
        <w:t>比选申请人试图对评审委员会的评审、比较或授予合同的决定进行影响，都可能导致其比选申请文件被否决。</w:t>
      </w:r>
    </w:p>
    <w:p w14:paraId="2EE8559F">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 xml:space="preserve">23.3 </w:t>
      </w:r>
      <w:r>
        <w:rPr>
          <w:rFonts w:ascii="宋体" w:hAnsi="宋体" w:cs="Arial"/>
          <w:color w:val="auto"/>
          <w:highlight w:val="none"/>
        </w:rPr>
        <w:t>比选申请人不得以任何方式干扰比选人的</w:t>
      </w:r>
      <w:r>
        <w:rPr>
          <w:rFonts w:hint="eastAsia" w:ascii="宋体" w:hAnsi="宋体" w:cs="Arial"/>
          <w:color w:val="auto"/>
          <w:highlight w:val="none"/>
        </w:rPr>
        <w:t>比选</w:t>
      </w:r>
      <w:r>
        <w:rPr>
          <w:rFonts w:ascii="宋体" w:hAnsi="宋体" w:cs="Arial"/>
          <w:color w:val="auto"/>
          <w:highlight w:val="none"/>
        </w:rPr>
        <w:t>和评审活动，否则其比选申请无效并追究其法律责任。</w:t>
      </w:r>
    </w:p>
    <w:p w14:paraId="5E4BE37C">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 xml:space="preserve">23.4 </w:t>
      </w:r>
      <w:r>
        <w:rPr>
          <w:rFonts w:ascii="宋体" w:hAnsi="宋体" w:cs="Arial"/>
          <w:color w:val="auto"/>
          <w:highlight w:val="none"/>
        </w:rPr>
        <w:t>有关比选申请文件的审查、澄清、评估和比较以及有关授予合同的意向的一切情况都不得透露给任一比选申请人。</w:t>
      </w:r>
    </w:p>
    <w:p w14:paraId="108B8C69">
      <w:pPr>
        <w:pStyle w:val="10"/>
        <w:numPr>
          <w:ilvl w:val="0"/>
          <w:numId w:val="6"/>
        </w:numPr>
        <w:spacing w:before="0" w:after="0" w:afterAutospacing="0"/>
        <w:ind w:left="0" w:right="0" w:firstLine="422" w:firstLineChars="200"/>
        <w:rPr>
          <w:rFonts w:ascii="宋体" w:hAnsi="宋体"/>
          <w:color w:val="auto"/>
          <w:sz w:val="21"/>
          <w:szCs w:val="21"/>
          <w:highlight w:val="none"/>
        </w:rPr>
      </w:pPr>
      <w:bookmarkStart w:id="747" w:name="_Toc492478747"/>
      <w:bookmarkStart w:id="748" w:name="_Toc12960"/>
      <w:bookmarkStart w:id="749" w:name="_Toc29504"/>
      <w:bookmarkStart w:id="750" w:name="_Toc25734"/>
      <w:bookmarkStart w:id="751" w:name="_Toc9941"/>
      <w:bookmarkStart w:id="752" w:name="_Toc9602"/>
      <w:bookmarkStart w:id="753" w:name="_Toc390098448"/>
      <w:bookmarkStart w:id="754" w:name="_Toc383891197"/>
      <w:bookmarkStart w:id="755" w:name="_Toc25750617"/>
      <w:bookmarkStart w:id="756" w:name="_Toc12983532"/>
      <w:bookmarkStart w:id="757" w:name="_Toc12671"/>
      <w:bookmarkStart w:id="758" w:name="_Toc7858"/>
      <w:bookmarkStart w:id="759" w:name="_Toc114134634"/>
      <w:bookmarkStart w:id="760" w:name="_Toc385427822"/>
      <w:bookmarkStart w:id="761" w:name="_Toc12555"/>
      <w:bookmarkStart w:id="762" w:name="_Toc654"/>
      <w:bookmarkStart w:id="763" w:name="_Toc16963"/>
      <w:bookmarkStart w:id="764" w:name="_Toc18515"/>
      <w:bookmarkStart w:id="765" w:name="_Toc12909"/>
      <w:bookmarkStart w:id="766" w:name="_Toc20523"/>
      <w:bookmarkStart w:id="767" w:name="_Toc15988"/>
      <w:bookmarkStart w:id="768" w:name="_Toc30207"/>
      <w:bookmarkStart w:id="769" w:name="_Toc19810"/>
      <w:bookmarkStart w:id="770" w:name="_Toc21167"/>
      <w:bookmarkStart w:id="771" w:name="_Toc378514937"/>
      <w:bookmarkStart w:id="772" w:name="_Toc375039094"/>
      <w:bookmarkStart w:id="773" w:name="_Toc294723156"/>
      <w:r>
        <w:rPr>
          <w:rFonts w:hint="eastAsia" w:ascii="宋体" w:hAnsi="宋体"/>
          <w:color w:val="auto"/>
          <w:sz w:val="21"/>
          <w:szCs w:val="21"/>
          <w:highlight w:val="none"/>
        </w:rPr>
        <w:t>评审过程保密</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9713EBE">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24.1 递交比选文件后，直到宣布授予中选人且签订合同为止，凡属于审查、澄清、评价和比较比选申请的有关资料且与授予合同有关的信息，都不应向比选申请人或与该过程无关的其他人泄露。</w:t>
      </w:r>
    </w:p>
    <w:p w14:paraId="7A2F438E">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24.2 比选申请人在比选申请文件的审查、澄清、评价和比较以及授予合同的过程中，对比选人和评审专家施加影响的任何行为，都将导致取消比选申请资格。</w:t>
      </w:r>
    </w:p>
    <w:p w14:paraId="3F14B35C">
      <w:pPr>
        <w:pStyle w:val="10"/>
        <w:numPr>
          <w:ilvl w:val="0"/>
          <w:numId w:val="6"/>
        </w:numPr>
        <w:spacing w:before="0" w:after="0" w:afterAutospacing="0"/>
        <w:ind w:left="0" w:right="0" w:firstLine="422" w:firstLineChars="200"/>
        <w:rPr>
          <w:rFonts w:ascii="宋体" w:hAnsi="宋体"/>
          <w:color w:val="auto"/>
          <w:sz w:val="21"/>
          <w:szCs w:val="21"/>
          <w:highlight w:val="none"/>
        </w:rPr>
      </w:pPr>
      <w:bookmarkStart w:id="774" w:name="_Toc383891198"/>
      <w:bookmarkStart w:id="775" w:name="_Toc114134635"/>
      <w:bookmarkStart w:id="776" w:name="_Toc1983"/>
      <w:bookmarkStart w:id="777" w:name="_Toc14860"/>
      <w:bookmarkStart w:id="778" w:name="_Toc385427823"/>
      <w:bookmarkStart w:id="779" w:name="_Toc24327"/>
      <w:bookmarkStart w:id="780" w:name="_Toc28898"/>
      <w:bookmarkStart w:id="781" w:name="_Toc28701"/>
      <w:bookmarkStart w:id="782" w:name="_Toc5983"/>
      <w:bookmarkStart w:id="783" w:name="_Toc30429"/>
      <w:bookmarkStart w:id="784" w:name="_Toc22510"/>
      <w:bookmarkStart w:id="785" w:name="_Toc492478748"/>
      <w:bookmarkStart w:id="786" w:name="_Toc25750618"/>
      <w:bookmarkStart w:id="787" w:name="_Toc14799"/>
      <w:bookmarkStart w:id="788" w:name="_Toc6624"/>
      <w:bookmarkStart w:id="789" w:name="_Toc23267"/>
      <w:bookmarkStart w:id="790" w:name="_Toc390098449"/>
      <w:bookmarkStart w:id="791" w:name="_Toc13768"/>
      <w:bookmarkStart w:id="792" w:name="_Toc28843"/>
      <w:bookmarkStart w:id="793" w:name="_Toc11077"/>
      <w:bookmarkStart w:id="794" w:name="_Toc12983533"/>
      <w:bookmarkStart w:id="795" w:name="_Toc13743"/>
      <w:bookmarkStart w:id="796" w:name="_Toc8827"/>
      <w:bookmarkStart w:id="797" w:name="_Toc27670"/>
      <w:r>
        <w:rPr>
          <w:rFonts w:hint="eastAsia" w:ascii="宋体" w:hAnsi="宋体"/>
          <w:color w:val="auto"/>
          <w:sz w:val="21"/>
          <w:szCs w:val="21"/>
          <w:highlight w:val="none"/>
        </w:rPr>
        <w:t>比选申请文件的澄清</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98D96E1">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25.1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10D7FFE0">
      <w:pPr>
        <w:pStyle w:val="10"/>
        <w:numPr>
          <w:ilvl w:val="0"/>
          <w:numId w:val="6"/>
        </w:numPr>
        <w:spacing w:before="0" w:after="0" w:afterAutospacing="0"/>
        <w:ind w:left="0" w:right="0" w:firstLine="422" w:firstLineChars="200"/>
        <w:rPr>
          <w:rFonts w:ascii="宋体" w:hAnsi="宋体"/>
          <w:color w:val="auto"/>
          <w:sz w:val="21"/>
          <w:szCs w:val="21"/>
          <w:highlight w:val="none"/>
        </w:rPr>
      </w:pPr>
      <w:bookmarkStart w:id="798" w:name="_Toc6908"/>
      <w:bookmarkStart w:id="799" w:name="_Toc390098450"/>
      <w:bookmarkStart w:id="800" w:name="_Toc114134636"/>
      <w:bookmarkStart w:id="801" w:name="_Toc5926"/>
      <w:bookmarkStart w:id="802" w:name="_Toc26070"/>
      <w:bookmarkStart w:id="803" w:name="_Toc22681"/>
      <w:bookmarkStart w:id="804" w:name="_Toc12795"/>
      <w:bookmarkStart w:id="805" w:name="_Toc30017"/>
      <w:bookmarkStart w:id="806" w:name="_Toc18093"/>
      <w:bookmarkStart w:id="807" w:name="_Toc383891199"/>
      <w:bookmarkStart w:id="808" w:name="_Toc25750619"/>
      <w:bookmarkStart w:id="809" w:name="_Toc9040"/>
      <w:bookmarkStart w:id="810" w:name="_Toc5437"/>
      <w:bookmarkStart w:id="811" w:name="_Toc26318"/>
      <w:bookmarkStart w:id="812" w:name="_Toc28992"/>
      <w:bookmarkStart w:id="813" w:name="_Toc4397"/>
      <w:bookmarkStart w:id="814" w:name="_Toc12983534"/>
      <w:bookmarkStart w:id="815" w:name="_Toc5607"/>
      <w:bookmarkStart w:id="816" w:name="_Toc20519"/>
      <w:bookmarkStart w:id="817" w:name="_Toc16884"/>
      <w:bookmarkStart w:id="818" w:name="_Toc1915"/>
      <w:bookmarkStart w:id="819" w:name="_Toc385427824"/>
      <w:bookmarkStart w:id="820" w:name="_Toc492478749"/>
      <w:bookmarkStart w:id="821" w:name="_Toc29146"/>
      <w:r>
        <w:rPr>
          <w:rFonts w:hint="eastAsia" w:ascii="宋体" w:hAnsi="宋体"/>
          <w:color w:val="auto"/>
          <w:sz w:val="21"/>
          <w:szCs w:val="21"/>
          <w:highlight w:val="none"/>
        </w:rPr>
        <w:t>比选申请文件响应性的确定</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1FC1CCD5">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26.1 在详细评审之前，评审委员会将首先审定每份比选申请文件是否在实质上响应了比选文件的要求和规定。</w:t>
      </w:r>
    </w:p>
    <w:p w14:paraId="429EB03C">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7F150798">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26.3 如果比选申请文件实质上不响应比选文件的要求，比选人将予以拒绝，并且不允许比选申请人通过修正或撤销其不符要求的差异或保留使之成为具有响应性的比选申请。</w:t>
      </w:r>
    </w:p>
    <w:p w14:paraId="00DEDDD6">
      <w:pPr>
        <w:pStyle w:val="10"/>
        <w:numPr>
          <w:ilvl w:val="0"/>
          <w:numId w:val="6"/>
        </w:numPr>
        <w:spacing w:before="0" w:after="0" w:afterAutospacing="0"/>
        <w:ind w:left="0" w:right="0" w:firstLine="422" w:firstLineChars="200"/>
        <w:rPr>
          <w:rFonts w:ascii="宋体" w:hAnsi="宋体"/>
          <w:color w:val="auto"/>
          <w:sz w:val="21"/>
          <w:szCs w:val="21"/>
          <w:highlight w:val="none"/>
        </w:rPr>
      </w:pPr>
      <w:bookmarkStart w:id="822" w:name="_Toc23999"/>
      <w:bookmarkStart w:id="823" w:name="_Toc12167"/>
      <w:bookmarkStart w:id="824" w:name="_Toc492478750"/>
      <w:bookmarkStart w:id="825" w:name="_Toc23956"/>
      <w:bookmarkStart w:id="826" w:name="_Toc26239"/>
      <w:bookmarkStart w:id="827" w:name="_Toc25750620"/>
      <w:bookmarkStart w:id="828" w:name="_Toc31646"/>
      <w:bookmarkStart w:id="829" w:name="_Toc114134637"/>
      <w:bookmarkStart w:id="830" w:name="_Toc17236"/>
      <w:bookmarkStart w:id="831" w:name="_Toc15051"/>
      <w:bookmarkStart w:id="832" w:name="_Toc12983535"/>
      <w:bookmarkStart w:id="833" w:name="_Toc29398"/>
      <w:bookmarkStart w:id="834" w:name="_Toc22146"/>
      <w:bookmarkStart w:id="835" w:name="_Toc385427825"/>
      <w:bookmarkStart w:id="836" w:name="_Toc20810"/>
      <w:bookmarkStart w:id="837" w:name="_Toc390098451"/>
      <w:bookmarkStart w:id="838" w:name="_Toc22063"/>
      <w:bookmarkStart w:id="839" w:name="_Toc20874"/>
      <w:bookmarkStart w:id="840" w:name="_Toc20912"/>
      <w:bookmarkStart w:id="841" w:name="_Toc19477"/>
      <w:bookmarkStart w:id="842" w:name="_Toc1027"/>
      <w:bookmarkStart w:id="843" w:name="_Toc21468"/>
      <w:bookmarkStart w:id="844" w:name="_Toc23808"/>
      <w:bookmarkStart w:id="845" w:name="_Toc383891200"/>
      <w:r>
        <w:rPr>
          <w:rFonts w:hint="eastAsia" w:ascii="宋体" w:hAnsi="宋体"/>
          <w:color w:val="auto"/>
          <w:sz w:val="21"/>
          <w:szCs w:val="21"/>
          <w:highlight w:val="none"/>
        </w:rPr>
        <w:t>比选申请文件计算错误的修正</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A3AF0C9">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27.1 比选申请报价大写金额与小写金额不一致的，以大写金额为准；</w:t>
      </w:r>
      <w:r>
        <w:rPr>
          <w:rFonts w:ascii="宋体" w:hAnsi="宋体"/>
          <w:color w:val="auto"/>
          <w:highlight w:val="none"/>
        </w:rPr>
        <w:t>总价金额与单价</w:t>
      </w:r>
      <w:r>
        <w:rPr>
          <w:rFonts w:hint="eastAsia" w:ascii="宋体" w:hAnsi="宋体"/>
          <w:color w:val="auto"/>
          <w:highlight w:val="none"/>
        </w:rPr>
        <w:t>乘以数量的合计</w:t>
      </w:r>
      <w:r>
        <w:rPr>
          <w:rFonts w:ascii="宋体" w:hAnsi="宋体"/>
          <w:color w:val="auto"/>
          <w:highlight w:val="none"/>
        </w:rPr>
        <w:t>计算出的结果不一致的，以单价为准修正总价，但单价金额小数点有明显错误的除外。</w:t>
      </w:r>
    </w:p>
    <w:p w14:paraId="06A03C41">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 xml:space="preserve">27.2 </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投标报价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如比选申请人不接受按以上规则确定的评标总价和中标价，则其投标将被拒绝。</w:t>
      </w:r>
    </w:p>
    <w:p w14:paraId="201F61A4">
      <w:pPr>
        <w:pStyle w:val="10"/>
        <w:numPr>
          <w:ilvl w:val="0"/>
          <w:numId w:val="6"/>
        </w:numPr>
        <w:spacing w:before="0" w:after="0" w:afterAutospacing="0"/>
        <w:ind w:left="0" w:right="0" w:firstLine="422" w:firstLineChars="200"/>
        <w:rPr>
          <w:rFonts w:ascii="宋体" w:hAnsi="宋体"/>
          <w:color w:val="auto"/>
          <w:sz w:val="21"/>
          <w:szCs w:val="21"/>
          <w:highlight w:val="none"/>
        </w:rPr>
      </w:pPr>
      <w:bookmarkStart w:id="846" w:name="_Toc385427826"/>
      <w:bookmarkStart w:id="847" w:name="_Toc8959"/>
      <w:bookmarkStart w:id="848" w:name="_Toc383891201"/>
      <w:bookmarkStart w:id="849" w:name="_Toc9812"/>
      <w:bookmarkStart w:id="850" w:name="_Toc492478751"/>
      <w:bookmarkStart w:id="851" w:name="_Toc4958"/>
      <w:bookmarkStart w:id="852" w:name="_Toc1004"/>
      <w:bookmarkStart w:id="853" w:name="_Toc25750621"/>
      <w:bookmarkStart w:id="854" w:name="_Toc29276"/>
      <w:bookmarkStart w:id="855" w:name="_Toc3258"/>
      <w:bookmarkStart w:id="856" w:name="_Toc22994"/>
      <w:bookmarkStart w:id="857" w:name="_Toc27112"/>
      <w:bookmarkStart w:id="858" w:name="_Toc12983536"/>
      <w:bookmarkStart w:id="859" w:name="_Toc20854"/>
      <w:bookmarkStart w:id="860" w:name="_Toc390098452"/>
      <w:bookmarkStart w:id="861" w:name="_Toc114134638"/>
      <w:bookmarkStart w:id="862" w:name="_Toc19936"/>
      <w:bookmarkStart w:id="863" w:name="_Toc9737"/>
      <w:bookmarkStart w:id="864" w:name="_Toc23907"/>
      <w:bookmarkStart w:id="865" w:name="_Toc24176"/>
      <w:bookmarkStart w:id="866" w:name="_Toc5319"/>
      <w:bookmarkStart w:id="867" w:name="_Toc20881"/>
      <w:bookmarkStart w:id="868" w:name="_Toc16418"/>
      <w:bookmarkStart w:id="869" w:name="_Toc20444"/>
      <w:r>
        <w:rPr>
          <w:rFonts w:hint="eastAsia" w:ascii="宋体" w:hAnsi="宋体"/>
          <w:color w:val="auto"/>
          <w:sz w:val="21"/>
          <w:szCs w:val="21"/>
          <w:highlight w:val="none"/>
        </w:rPr>
        <w:t>比选申请文件的评价与比较</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69672A49">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28.1 《评审办法》详见比选文件第五章，比选人将按照《评审办法》对本须知第26条确定为实质上响应比选文件要求的比选申请文件进行评价与比较。</w:t>
      </w:r>
    </w:p>
    <w:p w14:paraId="566831D9">
      <w:pPr>
        <w:tabs>
          <w:tab w:val="left" w:pos="420"/>
          <w:tab w:val="left" w:pos="1134"/>
        </w:tabs>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28.2 评审将按《评审办法》规定执行。</w:t>
      </w:r>
      <w:bookmarkEnd w:id="771"/>
    </w:p>
    <w:p w14:paraId="3E28B5C1">
      <w:pPr>
        <w:pStyle w:val="10"/>
        <w:numPr>
          <w:ilvl w:val="0"/>
          <w:numId w:val="6"/>
        </w:numPr>
        <w:spacing w:before="0" w:after="0" w:afterAutospacing="0"/>
        <w:ind w:left="0" w:right="0" w:firstLine="422" w:firstLineChars="200"/>
        <w:rPr>
          <w:rFonts w:ascii="宋体" w:hAnsi="宋体"/>
          <w:color w:val="auto"/>
          <w:sz w:val="21"/>
          <w:szCs w:val="21"/>
          <w:highlight w:val="none"/>
        </w:rPr>
      </w:pPr>
      <w:bookmarkStart w:id="870" w:name="_Toc12983537"/>
      <w:bookmarkStart w:id="871" w:name="_Toc15146"/>
      <w:bookmarkStart w:id="872" w:name="_Toc492478752"/>
      <w:bookmarkStart w:id="873" w:name="_Toc385427827"/>
      <w:bookmarkStart w:id="874" w:name="_Toc383891202"/>
      <w:bookmarkStart w:id="875" w:name="_Toc8845"/>
      <w:bookmarkStart w:id="876" w:name="_Toc28489"/>
      <w:bookmarkStart w:id="877" w:name="_Toc8074"/>
      <w:bookmarkStart w:id="878" w:name="_Toc507"/>
      <w:bookmarkStart w:id="879" w:name="_Toc114134639"/>
      <w:bookmarkStart w:id="880" w:name="_Toc19322"/>
      <w:bookmarkStart w:id="881" w:name="_Toc3358"/>
      <w:bookmarkStart w:id="882" w:name="_Toc17460"/>
      <w:bookmarkStart w:id="883" w:name="_Toc22500"/>
      <w:bookmarkStart w:id="884" w:name="_Toc390098453"/>
      <w:bookmarkStart w:id="885" w:name="_Toc11010"/>
      <w:bookmarkStart w:id="886" w:name="_Toc31774"/>
      <w:bookmarkStart w:id="887" w:name="_Toc32344"/>
      <w:bookmarkStart w:id="888" w:name="_Toc14300"/>
      <w:bookmarkStart w:id="889" w:name="_Toc27803"/>
      <w:bookmarkStart w:id="890" w:name="_Toc25750622"/>
      <w:bookmarkStart w:id="891" w:name="_Toc11657"/>
      <w:bookmarkStart w:id="892" w:name="_Toc1450"/>
      <w:bookmarkStart w:id="893" w:name="_Toc27289"/>
      <w:r>
        <w:rPr>
          <w:rFonts w:hint="eastAsia" w:ascii="宋体" w:hAnsi="宋体"/>
          <w:color w:val="auto"/>
          <w:sz w:val="21"/>
          <w:szCs w:val="21"/>
          <w:highlight w:val="none"/>
        </w:rPr>
        <w:t>定标</w:t>
      </w:r>
      <w:bookmarkEnd w:id="772"/>
      <w:bookmarkEnd w:id="773"/>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54FE621">
      <w:pPr>
        <w:tabs>
          <w:tab w:val="left" w:pos="1134"/>
          <w:tab w:val="left" w:pos="8364"/>
        </w:tabs>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29.1</w:t>
      </w:r>
      <w:r>
        <w:rPr>
          <w:rFonts w:hint="eastAsia"/>
          <w:color w:val="auto"/>
          <w:highlight w:val="none"/>
        </w:rPr>
        <w:t>评标委员会根据综合评分排名情况，推荐3名中选候选人（当中选候选人不足3名时按实际数量推荐），并标明排序</w:t>
      </w:r>
      <w:r>
        <w:rPr>
          <w:rFonts w:hint="eastAsia" w:ascii="宋体" w:hAnsi="宋体" w:cs="Arial"/>
          <w:color w:val="auto"/>
          <w:highlight w:val="none"/>
        </w:rPr>
        <w:t>。</w:t>
      </w:r>
    </w:p>
    <w:p w14:paraId="66C2416E">
      <w:pPr>
        <w:tabs>
          <w:tab w:val="left" w:pos="1134"/>
          <w:tab w:val="left" w:pos="8364"/>
        </w:tabs>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29.2</w:t>
      </w:r>
      <w:r>
        <w:rPr>
          <w:rFonts w:hint="eastAsia" w:ascii="宋体" w:hAnsi="宋体" w:cs="Arial"/>
          <w:color w:val="auto"/>
          <w:highlight w:val="none"/>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4774567">
      <w:pPr>
        <w:tabs>
          <w:tab w:val="left" w:pos="1134"/>
          <w:tab w:val="left" w:pos="8364"/>
        </w:tabs>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29.3</w:t>
      </w:r>
      <w:r>
        <w:rPr>
          <w:rFonts w:hint="eastAsia" w:ascii="宋体" w:hAnsi="宋体" w:cs="Arial"/>
          <w:color w:val="auto"/>
          <w:highlight w:val="none"/>
        </w:rPr>
        <w:t>比选申请人应确保提供的资料真实无误，如有弄虚作假的情况，一经查实，取消比选申请资格，已经中选的取消中选资格。</w:t>
      </w:r>
    </w:p>
    <w:p w14:paraId="14F33EF7">
      <w:pPr>
        <w:tabs>
          <w:tab w:val="left" w:pos="1134"/>
          <w:tab w:val="left" w:pos="8364"/>
        </w:tabs>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29.4</w:t>
      </w:r>
      <w:r>
        <w:rPr>
          <w:rFonts w:hint="eastAsia" w:ascii="宋体" w:hAnsi="宋体" w:cs="Arial"/>
          <w:color w:val="auto"/>
          <w:highlight w:val="none"/>
        </w:rPr>
        <w:t>比选人确定的中选人必须按有关规定进行公示。</w:t>
      </w:r>
    </w:p>
    <w:p w14:paraId="09A3BBEA">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s="Arial"/>
          <w:color w:val="auto"/>
          <w:highlight w:val="none"/>
        </w:rPr>
        <w:t>29.5</w:t>
      </w:r>
      <w:r>
        <w:rPr>
          <w:rFonts w:hint="eastAsia" w:ascii="宋体" w:hAnsi="宋体" w:cs="Arial"/>
          <w:color w:val="auto"/>
          <w:highlight w:val="none"/>
        </w:rPr>
        <w:t>评审委员会评审结束后，比选人经审查发现评审过程中有明显错误，可以组织原评审委员会进行复评。</w:t>
      </w:r>
    </w:p>
    <w:p w14:paraId="3D400DB0">
      <w:pPr>
        <w:pStyle w:val="10"/>
        <w:numPr>
          <w:ilvl w:val="0"/>
          <w:numId w:val="6"/>
        </w:numPr>
        <w:spacing w:before="0" w:after="0" w:afterAutospacing="0"/>
        <w:ind w:left="0" w:right="0" w:firstLine="422" w:firstLineChars="200"/>
        <w:rPr>
          <w:rFonts w:ascii="宋体" w:hAnsi="宋体"/>
          <w:color w:val="auto"/>
          <w:sz w:val="21"/>
          <w:szCs w:val="21"/>
          <w:highlight w:val="none"/>
        </w:rPr>
      </w:pPr>
      <w:bookmarkStart w:id="894" w:name="_Toc19634"/>
      <w:bookmarkStart w:id="895" w:name="_Toc18192"/>
      <w:bookmarkStart w:id="896" w:name="_Toc17823"/>
      <w:bookmarkStart w:id="897" w:name="_Toc15932"/>
      <w:bookmarkStart w:id="898" w:name="_Toc385427828"/>
      <w:bookmarkStart w:id="899" w:name="_Toc13986"/>
      <w:bookmarkStart w:id="900" w:name="_Toc12983538"/>
      <w:bookmarkStart w:id="901" w:name="_Toc383891203"/>
      <w:bookmarkStart w:id="902" w:name="_Toc375039095"/>
      <w:bookmarkStart w:id="903" w:name="_Toc21142"/>
      <w:bookmarkStart w:id="904" w:name="_Toc21947"/>
      <w:bookmarkStart w:id="905" w:name="_Toc3761"/>
      <w:bookmarkStart w:id="906" w:name="_Toc16732"/>
      <w:bookmarkStart w:id="907" w:name="_Toc492478753"/>
      <w:bookmarkStart w:id="908" w:name="_Toc37"/>
      <w:bookmarkStart w:id="909" w:name="_Toc27664"/>
      <w:bookmarkStart w:id="910" w:name="_Toc26470"/>
      <w:bookmarkStart w:id="911" w:name="_Toc14042"/>
      <w:bookmarkStart w:id="912" w:name="_Toc390098454"/>
      <w:bookmarkStart w:id="913" w:name="_Toc1215"/>
      <w:bookmarkStart w:id="914" w:name="_Toc5257"/>
      <w:bookmarkStart w:id="915" w:name="_Toc22182"/>
      <w:bookmarkStart w:id="916" w:name="_Toc5172"/>
      <w:bookmarkStart w:id="917" w:name="_Toc114134640"/>
      <w:bookmarkStart w:id="918" w:name="_Toc25750623"/>
      <w:r>
        <w:rPr>
          <w:rFonts w:hint="eastAsia" w:ascii="宋体" w:hAnsi="宋体"/>
          <w:color w:val="auto"/>
          <w:sz w:val="21"/>
          <w:szCs w:val="21"/>
          <w:highlight w:val="none"/>
        </w:rPr>
        <w:t>重新</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r>
        <w:rPr>
          <w:rFonts w:hint="eastAsia" w:ascii="宋体" w:hAnsi="宋体"/>
          <w:color w:val="auto"/>
          <w:sz w:val="21"/>
          <w:szCs w:val="21"/>
          <w:highlight w:val="none"/>
        </w:rPr>
        <w:t>比选</w:t>
      </w:r>
      <w:bookmarkEnd w:id="917"/>
      <w:bookmarkEnd w:id="918"/>
    </w:p>
    <w:p w14:paraId="732A8D26">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出现下列特殊情况之一时，可重新</w:t>
      </w:r>
      <w:r>
        <w:rPr>
          <w:rFonts w:hint="eastAsia" w:ascii="宋体" w:hAnsi="宋体"/>
          <w:color w:val="auto"/>
          <w:highlight w:val="none"/>
        </w:rPr>
        <w:t>比选</w:t>
      </w:r>
      <w:r>
        <w:rPr>
          <w:rFonts w:ascii="宋体" w:hAnsi="宋体"/>
          <w:color w:val="auto"/>
          <w:highlight w:val="none"/>
        </w:rPr>
        <w:t>：</w:t>
      </w:r>
    </w:p>
    <w:p w14:paraId="5E6A891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30.1</w:t>
      </w:r>
      <w:r>
        <w:rPr>
          <w:rFonts w:ascii="宋体" w:hAnsi="宋体"/>
          <w:color w:val="auto"/>
          <w:highlight w:val="none"/>
        </w:rPr>
        <w:t>在比选申请截止时间到达时提交比选申请文件的比选申请人</w:t>
      </w:r>
      <w:r>
        <w:rPr>
          <w:rFonts w:hint="eastAsia" w:ascii="宋体" w:hAnsi="宋体"/>
          <w:color w:val="auto"/>
          <w:highlight w:val="none"/>
        </w:rPr>
        <w:t>不足3家</w:t>
      </w:r>
      <w:r>
        <w:rPr>
          <w:rFonts w:ascii="宋体" w:hAnsi="宋体"/>
          <w:color w:val="auto"/>
          <w:highlight w:val="none"/>
        </w:rPr>
        <w:t>的；</w:t>
      </w:r>
    </w:p>
    <w:p w14:paraId="42C025E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30.2</w:t>
      </w:r>
      <w:r>
        <w:rPr>
          <w:rFonts w:ascii="宋体" w:hAnsi="宋体"/>
          <w:color w:val="auto"/>
          <w:highlight w:val="none"/>
        </w:rPr>
        <w:t>评审委员会否决不合格比选申请或者界定为否决比选申请后，因有效比选申请不足三</w:t>
      </w:r>
      <w:r>
        <w:rPr>
          <w:rFonts w:hint="eastAsia" w:ascii="宋体" w:hAnsi="宋体"/>
          <w:color w:val="auto"/>
          <w:highlight w:val="none"/>
        </w:rPr>
        <w:t>家</w:t>
      </w:r>
      <w:r>
        <w:rPr>
          <w:rFonts w:ascii="宋体" w:hAnsi="宋体"/>
          <w:color w:val="auto"/>
          <w:highlight w:val="none"/>
        </w:rPr>
        <w:t>使得比选申请明显缺乏竞争性的（当有效比选申请不足三</w:t>
      </w:r>
      <w:r>
        <w:rPr>
          <w:rFonts w:hint="eastAsia" w:ascii="宋体" w:hAnsi="宋体"/>
          <w:color w:val="auto"/>
          <w:highlight w:val="none"/>
        </w:rPr>
        <w:t>家但还有两家</w:t>
      </w:r>
      <w:r>
        <w:rPr>
          <w:rFonts w:ascii="宋体" w:hAnsi="宋体"/>
          <w:color w:val="auto"/>
          <w:highlight w:val="none"/>
        </w:rPr>
        <w:t>时，评审委员会认为剩余</w:t>
      </w:r>
      <w:r>
        <w:rPr>
          <w:rFonts w:hint="eastAsia" w:ascii="宋体" w:hAnsi="宋体"/>
          <w:color w:val="auto"/>
          <w:highlight w:val="none"/>
        </w:rPr>
        <w:t>两家</w:t>
      </w:r>
      <w:r>
        <w:rPr>
          <w:rFonts w:ascii="宋体" w:hAnsi="宋体"/>
          <w:color w:val="auto"/>
          <w:highlight w:val="none"/>
        </w:rPr>
        <w:t>的比选申请文件仍具有竞争性的，应继续评审）；</w:t>
      </w:r>
    </w:p>
    <w:p w14:paraId="376A2F46">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30.</w:t>
      </w:r>
      <w:r>
        <w:rPr>
          <w:rFonts w:hint="eastAsia" w:ascii="宋体" w:hAnsi="宋体"/>
          <w:color w:val="auto"/>
          <w:highlight w:val="none"/>
        </w:rPr>
        <w:t>3</w:t>
      </w:r>
      <w:r>
        <w:rPr>
          <w:rFonts w:ascii="宋体" w:hAnsi="宋体"/>
          <w:color w:val="auto"/>
          <w:highlight w:val="none"/>
        </w:rPr>
        <w:t>评审委员会决定否决全部比选申请的；</w:t>
      </w:r>
    </w:p>
    <w:p w14:paraId="49360A98">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30.4</w:t>
      </w:r>
      <w:r>
        <w:rPr>
          <w:rFonts w:ascii="宋体" w:hAnsi="宋体"/>
          <w:color w:val="auto"/>
          <w:highlight w:val="none"/>
        </w:rPr>
        <w:t>中选候选人均放弃中选资格</w:t>
      </w:r>
      <w:r>
        <w:rPr>
          <w:rFonts w:hint="eastAsia" w:ascii="宋体" w:hAnsi="宋体"/>
          <w:color w:val="auto"/>
          <w:highlight w:val="none"/>
        </w:rPr>
        <w:t>的</w:t>
      </w:r>
      <w:r>
        <w:rPr>
          <w:rFonts w:ascii="宋体" w:hAnsi="宋体"/>
          <w:color w:val="auto"/>
          <w:highlight w:val="none"/>
        </w:rPr>
        <w:t>；</w:t>
      </w:r>
    </w:p>
    <w:p w14:paraId="151FBAED">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30.5</w:t>
      </w:r>
      <w:r>
        <w:rPr>
          <w:rFonts w:ascii="宋体" w:hAnsi="宋体"/>
          <w:color w:val="auto"/>
          <w:highlight w:val="none"/>
        </w:rPr>
        <w:t>根据本须知15</w:t>
      </w:r>
      <w:r>
        <w:rPr>
          <w:rFonts w:hint="eastAsia" w:ascii="宋体" w:hAnsi="宋体"/>
          <w:color w:val="auto"/>
          <w:highlight w:val="none"/>
        </w:rPr>
        <w:t>.2</w:t>
      </w:r>
      <w:r>
        <w:rPr>
          <w:rFonts w:ascii="宋体" w:hAnsi="宋体"/>
          <w:color w:val="auto"/>
          <w:highlight w:val="none"/>
        </w:rPr>
        <w:t>条规定，</w:t>
      </w:r>
      <w:r>
        <w:rPr>
          <w:rFonts w:hint="eastAsia" w:ascii="宋体" w:hAnsi="宋体"/>
          <w:color w:val="auto"/>
          <w:highlight w:val="none"/>
        </w:rPr>
        <w:t>所有中选候选人均不同意在比选申请有效期内延长比选申请有效期的。</w:t>
      </w:r>
    </w:p>
    <w:p w14:paraId="46A7948C">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30.6比选文件中规定的其他情况。</w:t>
      </w:r>
    </w:p>
    <w:p w14:paraId="6ED798D9">
      <w:pPr>
        <w:pStyle w:val="10"/>
        <w:numPr>
          <w:ilvl w:val="0"/>
          <w:numId w:val="6"/>
        </w:numPr>
        <w:spacing w:before="0" w:after="0" w:afterAutospacing="0"/>
        <w:ind w:left="0" w:right="0" w:firstLine="422" w:firstLineChars="200"/>
        <w:rPr>
          <w:rFonts w:ascii="宋体" w:hAnsi="宋体"/>
          <w:color w:val="auto"/>
          <w:sz w:val="21"/>
          <w:szCs w:val="21"/>
          <w:highlight w:val="none"/>
        </w:rPr>
      </w:pPr>
      <w:bookmarkStart w:id="919" w:name="_Toc31757"/>
      <w:bookmarkStart w:id="920" w:name="_Toc1945"/>
      <w:bookmarkStart w:id="921" w:name="_Toc14454"/>
      <w:bookmarkStart w:id="922" w:name="_Toc10962"/>
      <w:bookmarkStart w:id="923" w:name="_Toc26919"/>
      <w:bookmarkStart w:id="924" w:name="_Toc375039096"/>
      <w:bookmarkStart w:id="925" w:name="_Toc17042"/>
      <w:bookmarkStart w:id="926" w:name="_Toc14235"/>
      <w:bookmarkStart w:id="927" w:name="_Toc12031"/>
      <w:bookmarkStart w:id="928" w:name="_Toc3769"/>
      <w:bookmarkStart w:id="929" w:name="_Toc2422"/>
      <w:bookmarkStart w:id="930" w:name="_Toc1116"/>
      <w:bookmarkStart w:id="931" w:name="_Toc6886"/>
      <w:bookmarkStart w:id="932" w:name="_Toc385427829"/>
      <w:bookmarkStart w:id="933" w:name="_Toc383891204"/>
      <w:bookmarkStart w:id="934" w:name="_Toc26954"/>
      <w:bookmarkStart w:id="935" w:name="_Toc25257"/>
      <w:bookmarkStart w:id="936" w:name="_Toc390098455"/>
      <w:bookmarkStart w:id="937" w:name="_Toc12983539"/>
      <w:bookmarkStart w:id="938" w:name="_Toc5959"/>
      <w:bookmarkStart w:id="939" w:name="_Toc20979"/>
      <w:bookmarkStart w:id="940" w:name="_Toc492478754"/>
      <w:bookmarkStart w:id="941" w:name="_Toc11126"/>
      <w:bookmarkStart w:id="942" w:name="_Toc114134641"/>
      <w:bookmarkStart w:id="943" w:name="_Toc25750624"/>
      <w:r>
        <w:rPr>
          <w:rFonts w:hint="eastAsia" w:ascii="宋体" w:hAnsi="宋体"/>
          <w:color w:val="auto"/>
          <w:sz w:val="21"/>
          <w:szCs w:val="21"/>
          <w:highlight w:val="none"/>
        </w:rPr>
        <w:t>不再</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r>
        <w:rPr>
          <w:rFonts w:hint="eastAsia" w:ascii="宋体" w:hAnsi="宋体"/>
          <w:color w:val="auto"/>
          <w:sz w:val="21"/>
          <w:szCs w:val="21"/>
          <w:highlight w:val="none"/>
        </w:rPr>
        <w:t>比选</w:t>
      </w:r>
      <w:bookmarkEnd w:id="942"/>
      <w:bookmarkEnd w:id="943"/>
    </w:p>
    <w:p w14:paraId="36C72D99">
      <w:pPr>
        <w:tabs>
          <w:tab w:val="left" w:pos="1155"/>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经两次发布信息后比选申请人仍少于三个或重新</w:t>
      </w:r>
      <w:r>
        <w:rPr>
          <w:rFonts w:hint="eastAsia" w:ascii="宋体" w:hAnsi="宋体"/>
          <w:color w:val="auto"/>
          <w:highlight w:val="none"/>
        </w:rPr>
        <w:t>比选</w:t>
      </w:r>
      <w:r>
        <w:rPr>
          <w:rFonts w:ascii="宋体" w:hAnsi="宋体"/>
          <w:color w:val="auto"/>
          <w:highlight w:val="none"/>
        </w:rPr>
        <w:t>后有效比选申请人仍少于三个或者所有比选申请被否决的，比选人可不再进行</w:t>
      </w:r>
      <w:r>
        <w:rPr>
          <w:rFonts w:hint="eastAsia" w:ascii="宋体" w:hAnsi="宋体"/>
          <w:color w:val="auto"/>
          <w:highlight w:val="none"/>
        </w:rPr>
        <w:t>比选</w:t>
      </w:r>
      <w:r>
        <w:rPr>
          <w:rFonts w:ascii="宋体" w:hAnsi="宋体"/>
          <w:color w:val="auto"/>
          <w:highlight w:val="none"/>
        </w:rPr>
        <w:t>。</w:t>
      </w:r>
    </w:p>
    <w:p w14:paraId="0B803F8A">
      <w:pPr>
        <w:pStyle w:val="3"/>
        <w:spacing w:after="0" w:afterAutospacing="0" w:line="360" w:lineRule="auto"/>
        <w:ind w:left="0" w:right="0" w:firstLine="482" w:firstLineChars="200"/>
        <w:rPr>
          <w:rFonts w:ascii="宋体" w:hAnsi="宋体" w:eastAsia="宋体"/>
          <w:color w:val="auto"/>
          <w:sz w:val="24"/>
          <w:szCs w:val="24"/>
          <w:highlight w:val="none"/>
        </w:rPr>
      </w:pPr>
      <w:bookmarkStart w:id="944" w:name="_Toc375039097"/>
      <w:bookmarkStart w:id="945" w:name="_Toc2326"/>
      <w:bookmarkStart w:id="946" w:name="_Toc21516"/>
      <w:bookmarkStart w:id="947" w:name="_Toc31958"/>
      <w:bookmarkStart w:id="948" w:name="_Toc114134642"/>
      <w:bookmarkStart w:id="949" w:name="_Toc24580"/>
      <w:bookmarkStart w:id="950" w:name="_Toc30278"/>
      <w:bookmarkStart w:id="951" w:name="_Toc19952"/>
      <w:bookmarkStart w:id="952" w:name="_Toc385427830"/>
      <w:bookmarkStart w:id="953" w:name="_Toc383891205"/>
      <w:bookmarkStart w:id="954" w:name="_Toc12983540"/>
      <w:bookmarkStart w:id="955" w:name="_Toc26653"/>
      <w:bookmarkStart w:id="956" w:name="_Toc12421"/>
      <w:bookmarkStart w:id="957" w:name="_Toc390098456"/>
      <w:bookmarkStart w:id="958" w:name="_Toc8834"/>
      <w:bookmarkStart w:id="959" w:name="_Toc492478755"/>
      <w:bookmarkStart w:id="960" w:name="_Toc25431"/>
      <w:bookmarkStart w:id="961" w:name="_Toc4743"/>
      <w:bookmarkStart w:id="962" w:name="_Toc18800"/>
      <w:bookmarkStart w:id="963" w:name="_Toc9113"/>
      <w:bookmarkStart w:id="964" w:name="_Toc27839"/>
      <w:bookmarkStart w:id="965" w:name="_Toc6000"/>
      <w:bookmarkStart w:id="966" w:name="_Toc24681"/>
      <w:bookmarkStart w:id="967" w:name="_Toc22975"/>
      <w:r>
        <w:rPr>
          <w:rFonts w:hint="eastAsia" w:ascii="宋体" w:hAnsi="宋体" w:eastAsia="宋体"/>
          <w:color w:val="auto"/>
          <w:sz w:val="24"/>
          <w:szCs w:val="24"/>
          <w:highlight w:val="none"/>
        </w:rPr>
        <w:t>六、</w:t>
      </w:r>
      <w:r>
        <w:rPr>
          <w:rFonts w:ascii="宋体" w:hAnsi="宋体" w:eastAsia="宋体"/>
          <w:color w:val="auto"/>
          <w:sz w:val="24"/>
          <w:szCs w:val="24"/>
          <w:highlight w:val="none"/>
        </w:rPr>
        <w:t>授予合同</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F1A7EDD">
      <w:pPr>
        <w:pStyle w:val="10"/>
        <w:spacing w:before="0" w:after="0" w:afterAutospacing="0"/>
        <w:ind w:left="0" w:right="0" w:firstLine="422" w:firstLineChars="200"/>
        <w:rPr>
          <w:rFonts w:ascii="宋体" w:hAnsi="宋体"/>
          <w:color w:val="auto"/>
          <w:sz w:val="21"/>
          <w:szCs w:val="21"/>
          <w:highlight w:val="none"/>
        </w:rPr>
      </w:pPr>
      <w:bookmarkStart w:id="968" w:name="_Toc385427831"/>
      <w:bookmarkStart w:id="969" w:name="_Toc30743"/>
      <w:bookmarkStart w:id="970" w:name="_Toc12983541"/>
      <w:bookmarkStart w:id="971" w:name="_Toc21728"/>
      <w:bookmarkStart w:id="972" w:name="_Toc11795"/>
      <w:bookmarkStart w:id="973" w:name="_Toc1269"/>
      <w:bookmarkStart w:id="974" w:name="_Toc21975"/>
      <w:bookmarkStart w:id="975" w:name="_Toc8938"/>
      <w:bookmarkStart w:id="976" w:name="_Toc114134643"/>
      <w:bookmarkStart w:id="977" w:name="_Toc25750626"/>
      <w:bookmarkStart w:id="978" w:name="_Toc390098457"/>
      <w:bookmarkStart w:id="979" w:name="_Toc383891206"/>
      <w:bookmarkStart w:id="980" w:name="_Toc492478756"/>
      <w:bookmarkStart w:id="981" w:name="_Toc28661"/>
      <w:bookmarkStart w:id="982" w:name="_Toc375039098"/>
      <w:bookmarkStart w:id="983" w:name="_Toc13914"/>
      <w:bookmarkStart w:id="984" w:name="_Toc31011"/>
      <w:bookmarkStart w:id="985" w:name="_Toc30026"/>
      <w:bookmarkStart w:id="986" w:name="_Toc22688"/>
      <w:bookmarkStart w:id="987" w:name="_Toc10522"/>
      <w:bookmarkStart w:id="988" w:name="_Toc26143"/>
      <w:bookmarkStart w:id="989" w:name="_Toc20642"/>
      <w:bookmarkStart w:id="990" w:name="_Toc22323"/>
      <w:bookmarkStart w:id="991" w:name="_Toc18878"/>
      <w:bookmarkStart w:id="992" w:name="_Toc26525"/>
      <w:r>
        <w:rPr>
          <w:rFonts w:hint="eastAsia" w:ascii="宋体" w:hAnsi="宋体"/>
          <w:color w:val="auto"/>
          <w:sz w:val="21"/>
          <w:szCs w:val="21"/>
          <w:highlight w:val="none"/>
        </w:rPr>
        <w:t>32. 合同授予标准</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68FB8673">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32.1 </w:t>
      </w:r>
      <w:r>
        <w:rPr>
          <w:rFonts w:ascii="宋体" w:hAnsi="宋体"/>
          <w:color w:val="auto"/>
          <w:highlight w:val="none"/>
        </w:rPr>
        <w:t>根据本须知规定，比选人将把合同授予收到中选通知书，并提供了履约担保的比选申请人，该比选申请人必须具有有效实施本合同的能力和资源。</w:t>
      </w:r>
    </w:p>
    <w:p w14:paraId="14210238">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32.2 </w:t>
      </w:r>
      <w:r>
        <w:rPr>
          <w:rFonts w:ascii="宋体" w:hAnsi="宋体"/>
          <w:color w:val="auto"/>
          <w:highlight w:val="none"/>
        </w:rPr>
        <w:t>如果</w:t>
      </w:r>
      <w:r>
        <w:rPr>
          <w:rFonts w:hint="eastAsia" w:ascii="宋体" w:hAnsi="宋体"/>
          <w:color w:val="auto"/>
          <w:highlight w:val="none"/>
        </w:rPr>
        <w:t>中选候选人放弃中选候选人资格或</w:t>
      </w:r>
      <w:r>
        <w:rPr>
          <w:rFonts w:ascii="宋体" w:hAnsi="宋体"/>
          <w:color w:val="auto"/>
          <w:highlight w:val="none"/>
        </w:rPr>
        <w:t>已中选的比选申请人不能按比选申请文件中承诺的条件履行签约行为，比选人有权按有关法律法规规定，在评审委员会推荐的、合格的比选申请人名单中按照排名先后顺序选择新的合同授予人。</w:t>
      </w:r>
    </w:p>
    <w:p w14:paraId="239C107D">
      <w:pPr>
        <w:pStyle w:val="10"/>
        <w:spacing w:before="0" w:after="0" w:afterAutospacing="0"/>
        <w:ind w:left="0" w:right="0" w:firstLine="422" w:firstLineChars="200"/>
        <w:rPr>
          <w:rFonts w:ascii="宋体" w:hAnsi="宋体"/>
          <w:color w:val="auto"/>
          <w:sz w:val="21"/>
          <w:szCs w:val="21"/>
          <w:highlight w:val="none"/>
        </w:rPr>
      </w:pPr>
      <w:bookmarkStart w:id="993" w:name="_Toc114134644"/>
      <w:bookmarkStart w:id="994" w:name="_Toc13417"/>
      <w:bookmarkStart w:id="995" w:name="_Toc1873"/>
      <w:bookmarkStart w:id="996" w:name="_Toc14832"/>
      <w:bookmarkStart w:id="997" w:name="_Toc23649"/>
      <w:bookmarkStart w:id="998" w:name="_Toc25797"/>
      <w:bookmarkStart w:id="999" w:name="_Toc18977"/>
      <w:bookmarkStart w:id="1000" w:name="_Toc14325"/>
      <w:bookmarkStart w:id="1001" w:name="_Toc11913"/>
      <w:bookmarkStart w:id="1002" w:name="_Toc12983542"/>
      <w:bookmarkStart w:id="1003" w:name="_Toc19774"/>
      <w:bookmarkStart w:id="1004" w:name="_Toc24183"/>
      <w:bookmarkStart w:id="1005" w:name="_Toc375039099"/>
      <w:bookmarkStart w:id="1006" w:name="_Toc17153"/>
      <w:bookmarkStart w:id="1007" w:name="_Toc390098458"/>
      <w:bookmarkStart w:id="1008" w:name="_Toc16111"/>
      <w:bookmarkStart w:id="1009" w:name="_Toc377"/>
      <w:bookmarkStart w:id="1010" w:name="_Toc17818"/>
      <w:bookmarkStart w:id="1011" w:name="_Toc19128"/>
      <w:bookmarkStart w:id="1012" w:name="_Toc14301"/>
      <w:bookmarkStart w:id="1013" w:name="_Toc383891207"/>
      <w:bookmarkStart w:id="1014" w:name="_Toc25750627"/>
      <w:bookmarkStart w:id="1015" w:name="_Toc31336"/>
      <w:bookmarkStart w:id="1016" w:name="_Toc492478757"/>
      <w:bookmarkStart w:id="1017" w:name="_Toc385427832"/>
      <w:r>
        <w:rPr>
          <w:rFonts w:hint="eastAsia" w:ascii="宋体" w:hAnsi="宋体"/>
          <w:color w:val="auto"/>
          <w:sz w:val="21"/>
          <w:szCs w:val="21"/>
          <w:highlight w:val="none"/>
        </w:rPr>
        <w:t>33. 接受和否决任何或所有比选申请的权力</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49F49711">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9A72835">
      <w:pPr>
        <w:pStyle w:val="10"/>
        <w:numPr>
          <w:ilvl w:val="0"/>
          <w:numId w:val="7"/>
        </w:numPr>
        <w:spacing w:before="0" w:after="0" w:afterAutospacing="0"/>
        <w:ind w:left="0" w:right="0" w:firstLine="422" w:firstLineChars="200"/>
        <w:rPr>
          <w:rFonts w:ascii="宋体" w:hAnsi="宋体"/>
          <w:color w:val="auto"/>
          <w:sz w:val="21"/>
          <w:szCs w:val="21"/>
          <w:highlight w:val="none"/>
        </w:rPr>
      </w:pPr>
      <w:bookmarkStart w:id="1018" w:name="_Toc25750628"/>
      <w:bookmarkStart w:id="1019" w:name="_Toc19556"/>
      <w:bookmarkStart w:id="1020" w:name="_Toc27683"/>
      <w:bookmarkStart w:id="1021" w:name="_Toc383891208"/>
      <w:bookmarkStart w:id="1022" w:name="_Toc17953"/>
      <w:bookmarkStart w:id="1023" w:name="_Toc13605"/>
      <w:bookmarkStart w:id="1024" w:name="_Toc673"/>
      <w:bookmarkStart w:id="1025" w:name="_Toc5061"/>
      <w:bookmarkStart w:id="1026" w:name="_Toc385427833"/>
      <w:bookmarkStart w:id="1027" w:name="_Toc10348"/>
      <w:bookmarkStart w:id="1028" w:name="_Toc13596"/>
      <w:bookmarkStart w:id="1029" w:name="_Toc22657"/>
      <w:bookmarkStart w:id="1030" w:name="_Toc2061"/>
      <w:bookmarkStart w:id="1031" w:name="_Toc21798"/>
      <w:bookmarkStart w:id="1032" w:name="_Toc114134645"/>
      <w:bookmarkStart w:id="1033" w:name="_Toc375039100"/>
      <w:bookmarkStart w:id="1034" w:name="_Toc492478758"/>
      <w:bookmarkStart w:id="1035" w:name="_Toc19943"/>
      <w:bookmarkStart w:id="1036" w:name="_Toc12983543"/>
      <w:bookmarkStart w:id="1037" w:name="_Toc9636"/>
      <w:bookmarkStart w:id="1038" w:name="_Toc390098459"/>
      <w:bookmarkStart w:id="1039" w:name="_Toc20680"/>
      <w:bookmarkStart w:id="1040" w:name="_Toc12065"/>
      <w:bookmarkStart w:id="1041" w:name="_Toc32424"/>
      <w:bookmarkStart w:id="1042" w:name="_Toc921"/>
      <w:r>
        <w:rPr>
          <w:rFonts w:hint="eastAsia" w:ascii="宋体" w:hAnsi="宋体"/>
          <w:color w:val="auto"/>
          <w:sz w:val="21"/>
          <w:szCs w:val="21"/>
          <w:highlight w:val="none"/>
        </w:rPr>
        <w:t>中选通知书</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2A14C515">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34.1 </w:t>
      </w:r>
      <w:r>
        <w:rPr>
          <w:rFonts w:ascii="宋体" w:hAnsi="宋体"/>
          <w:color w:val="auto"/>
          <w:highlight w:val="none"/>
        </w:rPr>
        <w:t>在比选申请有效期截止前，</w:t>
      </w:r>
      <w:r>
        <w:rPr>
          <w:rFonts w:hint="eastAsia" w:ascii="宋体" w:hAnsi="宋体"/>
          <w:color w:val="auto"/>
          <w:highlight w:val="none"/>
        </w:rPr>
        <w:t>在本须知第</w:t>
      </w:r>
      <w:r>
        <w:rPr>
          <w:rFonts w:ascii="宋体" w:hAnsi="宋体"/>
          <w:color w:val="auto"/>
          <w:highlight w:val="none"/>
        </w:rPr>
        <w:t>15条</w:t>
      </w:r>
      <w:r>
        <w:rPr>
          <w:rFonts w:hint="eastAsia" w:ascii="宋体" w:hAnsi="宋体"/>
          <w:color w:val="auto"/>
          <w:highlight w:val="none"/>
        </w:rPr>
        <w:t>规定的比选申请有效期内，比选人以书面形式向中选人发出中选通知书。</w:t>
      </w:r>
    </w:p>
    <w:p w14:paraId="1F715EC0">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34.2 </w:t>
      </w:r>
      <w:r>
        <w:rPr>
          <w:rFonts w:ascii="宋体" w:hAnsi="宋体"/>
          <w:color w:val="auto"/>
          <w:highlight w:val="none"/>
        </w:rPr>
        <w:t>中选通知书将作为签订合同的依据，并是合同的一个组成部分。</w:t>
      </w:r>
    </w:p>
    <w:p w14:paraId="74A5E114">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34.3 </w:t>
      </w:r>
      <w:r>
        <w:rPr>
          <w:rFonts w:ascii="宋体" w:hAnsi="宋体"/>
          <w:color w:val="auto"/>
          <w:highlight w:val="none"/>
        </w:rPr>
        <w:t>对未中选者，比选人不对未中选原因做出解释，同时亦不退还比选申请文件。</w:t>
      </w:r>
    </w:p>
    <w:p w14:paraId="71764F0D">
      <w:pPr>
        <w:tabs>
          <w:tab w:val="left" w:pos="450"/>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34.4放弃中选人资格的处罚详见前附表。</w:t>
      </w:r>
    </w:p>
    <w:p w14:paraId="22C284DB">
      <w:pPr>
        <w:pStyle w:val="10"/>
        <w:numPr>
          <w:ilvl w:val="0"/>
          <w:numId w:val="7"/>
        </w:numPr>
        <w:spacing w:before="0" w:after="0" w:afterAutospacing="0"/>
        <w:ind w:left="0" w:right="0" w:firstLine="422" w:firstLineChars="200"/>
        <w:rPr>
          <w:rFonts w:ascii="宋体" w:hAnsi="宋体"/>
          <w:color w:val="auto"/>
          <w:sz w:val="21"/>
          <w:szCs w:val="21"/>
          <w:highlight w:val="none"/>
        </w:rPr>
      </w:pPr>
      <w:bookmarkStart w:id="1043" w:name="_Toc5767"/>
      <w:bookmarkStart w:id="1044" w:name="_Toc21570"/>
      <w:bookmarkStart w:id="1045" w:name="_Toc8628"/>
      <w:bookmarkStart w:id="1046" w:name="_Toc18694"/>
      <w:bookmarkStart w:id="1047" w:name="_Toc492478759"/>
      <w:bookmarkStart w:id="1048" w:name="_Toc25750629"/>
      <w:bookmarkStart w:id="1049" w:name="_Toc25208"/>
      <w:bookmarkStart w:id="1050" w:name="_Toc30862"/>
      <w:bookmarkStart w:id="1051" w:name="_Toc383891209"/>
      <w:bookmarkStart w:id="1052" w:name="_Toc24885"/>
      <w:bookmarkStart w:id="1053" w:name="_Toc385427834"/>
      <w:bookmarkStart w:id="1054" w:name="_Toc12983544"/>
      <w:bookmarkStart w:id="1055" w:name="_Toc29993"/>
      <w:bookmarkStart w:id="1056" w:name="_Toc1780"/>
      <w:bookmarkStart w:id="1057" w:name="_Toc5617"/>
      <w:bookmarkStart w:id="1058" w:name="_Toc375039101"/>
      <w:bookmarkStart w:id="1059" w:name="_Toc4190"/>
      <w:bookmarkStart w:id="1060" w:name="_Toc390098460"/>
      <w:bookmarkStart w:id="1061" w:name="_Toc28815"/>
      <w:bookmarkStart w:id="1062" w:name="_Toc114134646"/>
      <w:bookmarkStart w:id="1063" w:name="_Toc21217"/>
      <w:bookmarkStart w:id="1064" w:name="_Toc1862"/>
      <w:bookmarkStart w:id="1065" w:name="_Toc22442"/>
      <w:bookmarkStart w:id="1066" w:name="_Toc15048"/>
      <w:bookmarkStart w:id="1067" w:name="_Toc24240"/>
      <w:r>
        <w:rPr>
          <w:rFonts w:hint="eastAsia" w:ascii="宋体" w:hAnsi="宋体"/>
          <w:color w:val="auto"/>
          <w:sz w:val="21"/>
          <w:szCs w:val="21"/>
          <w:highlight w:val="none"/>
        </w:rPr>
        <w:t>签订合同</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31825421">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35.1 中选人在收到中选通知书后，按比选文件的要求与比选人签订合同</w:t>
      </w:r>
      <w:r>
        <w:rPr>
          <w:rFonts w:ascii="宋体" w:hAnsi="宋体"/>
          <w:color w:val="auto"/>
          <w:highlight w:val="none"/>
        </w:rPr>
        <w:t>。</w:t>
      </w:r>
    </w:p>
    <w:p w14:paraId="2CAC8149">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35.2 </w:t>
      </w:r>
      <w:r>
        <w:rPr>
          <w:rFonts w:ascii="宋体" w:hAnsi="宋体"/>
          <w:color w:val="auto"/>
          <w:highlight w:val="none"/>
        </w:rPr>
        <w:t>比选文件、中选通知书、中选人的比选申请文件及双方确认的澄清文件等，均为有法律约束力的合同的组成部分。</w:t>
      </w:r>
    </w:p>
    <w:p w14:paraId="3818245C">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35.3 </w:t>
      </w:r>
      <w:r>
        <w:rPr>
          <w:rFonts w:ascii="宋体" w:hAnsi="宋体"/>
          <w:color w:val="auto"/>
          <w:highlight w:val="none"/>
        </w:rPr>
        <w:t>如果中选人没有按照上述第35.1条规定执行，比选人将有充分理由取消该中选决定。在此情况下，比选人可以按照评审委员会提出的中选候选人名单排序依次确定其他中选候选人为中选人，也可以重新</w:t>
      </w:r>
      <w:r>
        <w:rPr>
          <w:rFonts w:hint="eastAsia" w:ascii="宋体" w:hAnsi="宋体"/>
          <w:color w:val="auto"/>
          <w:highlight w:val="none"/>
        </w:rPr>
        <w:t>比选</w:t>
      </w:r>
      <w:r>
        <w:rPr>
          <w:rFonts w:ascii="宋体" w:hAnsi="宋体"/>
          <w:color w:val="auto"/>
          <w:highlight w:val="none"/>
        </w:rPr>
        <w:t>。</w:t>
      </w:r>
    </w:p>
    <w:p w14:paraId="7D1EBF0A">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35.4 </w:t>
      </w:r>
      <w:r>
        <w:rPr>
          <w:rFonts w:ascii="宋体" w:hAnsi="宋体"/>
          <w:color w:val="auto"/>
          <w:highlight w:val="none"/>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14:paraId="261A34E4">
      <w:pPr>
        <w:pStyle w:val="10"/>
        <w:numPr>
          <w:ilvl w:val="0"/>
          <w:numId w:val="7"/>
        </w:numPr>
        <w:spacing w:before="0" w:after="0" w:afterAutospacing="0"/>
        <w:ind w:left="0" w:right="0" w:firstLine="422" w:firstLineChars="200"/>
        <w:rPr>
          <w:rFonts w:ascii="宋体" w:hAnsi="宋体"/>
          <w:color w:val="auto"/>
          <w:sz w:val="21"/>
          <w:szCs w:val="21"/>
          <w:highlight w:val="none"/>
        </w:rPr>
      </w:pPr>
      <w:bookmarkStart w:id="1068" w:name="_Toc29857"/>
      <w:bookmarkStart w:id="1069" w:name="_Toc25750630"/>
      <w:bookmarkStart w:id="1070" w:name="_Toc23817"/>
      <w:bookmarkStart w:id="1071" w:name="_Toc492478760"/>
      <w:bookmarkStart w:id="1072" w:name="_Toc31814"/>
      <w:bookmarkStart w:id="1073" w:name="_Toc16371"/>
      <w:bookmarkStart w:id="1074" w:name="_Toc6599"/>
      <w:bookmarkStart w:id="1075" w:name="_Toc16589"/>
      <w:bookmarkStart w:id="1076" w:name="_Toc390098461"/>
      <w:bookmarkStart w:id="1077" w:name="_Toc385427835"/>
      <w:bookmarkStart w:id="1078" w:name="_Toc375039102"/>
      <w:bookmarkStart w:id="1079" w:name="_Toc11412"/>
      <w:bookmarkStart w:id="1080" w:name="_Toc114134647"/>
      <w:bookmarkStart w:id="1081" w:name="_Toc9433"/>
      <w:bookmarkStart w:id="1082" w:name="_Toc20178"/>
      <w:bookmarkStart w:id="1083" w:name="_Toc383891210"/>
      <w:bookmarkStart w:id="1084" w:name="_Toc9981"/>
      <w:bookmarkStart w:id="1085" w:name="_Toc17281"/>
      <w:bookmarkStart w:id="1086" w:name="_Toc25632"/>
      <w:bookmarkStart w:id="1087" w:name="_Toc5576"/>
      <w:bookmarkStart w:id="1088" w:name="_Toc12983545"/>
      <w:bookmarkStart w:id="1089" w:name="_Toc24750"/>
      <w:bookmarkStart w:id="1090" w:name="_Toc25483"/>
      <w:bookmarkStart w:id="1091" w:name="_Toc8104"/>
      <w:bookmarkStart w:id="1092" w:name="_Toc11079"/>
      <w:r>
        <w:rPr>
          <w:rFonts w:hint="eastAsia" w:ascii="宋体" w:hAnsi="宋体"/>
          <w:color w:val="auto"/>
          <w:sz w:val="21"/>
          <w:szCs w:val="21"/>
          <w:highlight w:val="none"/>
        </w:rPr>
        <w:t>履约担保</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9E09BC1">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36.1 </w:t>
      </w:r>
      <w:r>
        <w:rPr>
          <w:rFonts w:ascii="宋体" w:hAnsi="宋体"/>
          <w:color w:val="auto"/>
          <w:highlight w:val="none"/>
        </w:rPr>
        <w:t>在签订合同前，</w:t>
      </w:r>
      <w:r>
        <w:rPr>
          <w:rFonts w:hint="eastAsia" w:ascii="宋体" w:hAnsi="宋体"/>
          <w:color w:val="auto"/>
          <w:highlight w:val="none"/>
        </w:rPr>
        <w:t>中选人应按</w:t>
      </w:r>
      <w:r>
        <w:rPr>
          <w:rFonts w:ascii="宋体" w:hAnsi="宋体"/>
          <w:color w:val="auto"/>
          <w:highlight w:val="none"/>
        </w:rPr>
        <w:t>比选申请须知前附表中所示履约担保形式、金额及提交时间向比选人提交履约担保。（如为银行保函形式应按比选文件中提供的银行保函格式开具</w:t>
      </w:r>
      <w:r>
        <w:rPr>
          <w:rFonts w:hint="eastAsia" w:ascii="宋体" w:hAnsi="宋体"/>
          <w:color w:val="auto"/>
          <w:highlight w:val="none"/>
        </w:rPr>
        <w:t>）</w:t>
      </w:r>
    </w:p>
    <w:p w14:paraId="1F1AB49D">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36.2 </w:t>
      </w:r>
      <w:r>
        <w:rPr>
          <w:rFonts w:ascii="宋体" w:hAnsi="宋体"/>
          <w:color w:val="auto"/>
          <w:highlight w:val="none"/>
        </w:rPr>
        <w:t>如果中选人没有按照上述第35或36.1条以及本比选文件中有关章节中规定执行，比选人将有充分理由取消该中选决定。在此情况下，比选人可将合同授予排名第二的比选申请人，或重新</w:t>
      </w:r>
      <w:r>
        <w:rPr>
          <w:rFonts w:hint="eastAsia" w:ascii="宋体" w:hAnsi="宋体"/>
          <w:color w:val="auto"/>
          <w:highlight w:val="none"/>
        </w:rPr>
        <w:t>比选</w:t>
      </w:r>
      <w:r>
        <w:rPr>
          <w:rFonts w:ascii="宋体" w:hAnsi="宋体"/>
          <w:color w:val="auto"/>
          <w:highlight w:val="none"/>
        </w:rPr>
        <w:t>。</w:t>
      </w:r>
    </w:p>
    <w:p w14:paraId="665A6497">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36.3 履约担保应从生效之日起至</w:t>
      </w:r>
      <w:r>
        <w:rPr>
          <w:rFonts w:hint="eastAsia" w:ascii="宋体" w:hAnsi="宋体"/>
          <w:color w:val="auto"/>
          <w:highlight w:val="none"/>
        </w:rPr>
        <w:t>全部项目内容验收合格（最终验收证书签署）之日后四十五（</w:t>
      </w:r>
      <w:r>
        <w:rPr>
          <w:rFonts w:ascii="宋体" w:hAnsi="宋体"/>
          <w:color w:val="auto"/>
          <w:highlight w:val="none"/>
        </w:rPr>
        <w:t>45</w:t>
      </w:r>
      <w:r>
        <w:rPr>
          <w:rFonts w:hint="eastAsia" w:ascii="宋体" w:hAnsi="宋体"/>
          <w:color w:val="auto"/>
          <w:highlight w:val="none"/>
        </w:rPr>
        <w:t>）天一直有效</w:t>
      </w:r>
      <w:r>
        <w:rPr>
          <w:rFonts w:ascii="宋体" w:hAnsi="宋体"/>
          <w:color w:val="auto"/>
          <w:highlight w:val="none"/>
        </w:rPr>
        <w:t>。如本项目实际</w:t>
      </w:r>
      <w:r>
        <w:rPr>
          <w:rFonts w:hint="eastAsia" w:ascii="宋体" w:hAnsi="宋体"/>
          <w:color w:val="auto"/>
          <w:highlight w:val="none"/>
        </w:rPr>
        <w:t>全部项目内容验收合格</w:t>
      </w:r>
      <w:r>
        <w:rPr>
          <w:rFonts w:ascii="宋体" w:hAnsi="宋体"/>
          <w:color w:val="auto"/>
          <w:highlight w:val="none"/>
        </w:rPr>
        <w:t>日期超出该履约担保写明的日期，则中选人应相应延长履约担保的日期，当出现逾期验收而未及时办理保函续费手续时（如为保函形式），比选人有权暂停剩余费用的支付。</w:t>
      </w:r>
    </w:p>
    <w:p w14:paraId="20341B58">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36.4 </w:t>
      </w:r>
      <w:r>
        <w:rPr>
          <w:rFonts w:ascii="宋体" w:hAnsi="宋体"/>
          <w:color w:val="auto"/>
          <w:highlight w:val="none"/>
        </w:rPr>
        <w:t>履约担保</w:t>
      </w:r>
      <w:r>
        <w:rPr>
          <w:rFonts w:hint="eastAsia" w:ascii="宋体" w:hAnsi="宋体"/>
          <w:color w:val="auto"/>
          <w:highlight w:val="none"/>
        </w:rPr>
        <w:t>如为履约保证金形式的，</w:t>
      </w:r>
      <w:r>
        <w:rPr>
          <w:rFonts w:ascii="宋体" w:hAnsi="宋体"/>
          <w:color w:val="auto"/>
          <w:highlight w:val="none"/>
        </w:rPr>
        <w:t>在本合同结束后，</w:t>
      </w:r>
      <w:r>
        <w:rPr>
          <w:rFonts w:hint="eastAsia" w:ascii="宋体" w:hAnsi="宋体"/>
          <w:color w:val="auto"/>
          <w:highlight w:val="none"/>
        </w:rPr>
        <w:t>比选人将</w:t>
      </w:r>
      <w:r>
        <w:rPr>
          <w:rFonts w:ascii="宋体" w:hAnsi="宋体"/>
          <w:color w:val="auto"/>
          <w:highlight w:val="none"/>
        </w:rPr>
        <w:t>根据履约期间比选人的索赔情况，将剩余履约担保款项无息退还中选人。</w:t>
      </w:r>
    </w:p>
    <w:p w14:paraId="06693ADB">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36.5 </w:t>
      </w:r>
      <w:r>
        <w:rPr>
          <w:rFonts w:ascii="宋体" w:hAnsi="宋体"/>
          <w:color w:val="auto"/>
          <w:highlight w:val="none"/>
        </w:rPr>
        <w:t>在合同执行过程中，履约担保金额应保持足额有效，不足时</w:t>
      </w:r>
      <w:r>
        <w:rPr>
          <w:rFonts w:hint="eastAsia" w:ascii="宋体" w:hAnsi="宋体"/>
          <w:color w:val="auto"/>
          <w:highlight w:val="none"/>
        </w:rPr>
        <w:t>中选人</w:t>
      </w:r>
      <w:r>
        <w:rPr>
          <w:rFonts w:ascii="宋体" w:hAnsi="宋体"/>
          <w:color w:val="auto"/>
          <w:highlight w:val="none"/>
        </w:rPr>
        <w:t>应当按照比选人的要求及时补足担保金额。</w:t>
      </w:r>
    </w:p>
    <w:p w14:paraId="062595BD">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36.6 </w:t>
      </w:r>
      <w:r>
        <w:rPr>
          <w:rFonts w:ascii="宋体" w:hAnsi="宋体"/>
          <w:color w:val="auto"/>
          <w:highlight w:val="none"/>
        </w:rPr>
        <w:t>以履约保证金形式提交履约担保的，中选人应通过银行电汇或转账的形式，从基本账户中递交至比选人</w:t>
      </w:r>
      <w:r>
        <w:rPr>
          <w:rFonts w:hint="eastAsia" w:ascii="宋体" w:hAnsi="宋体"/>
          <w:color w:val="auto"/>
          <w:highlight w:val="none"/>
        </w:rPr>
        <w:t>指定账户</w:t>
      </w:r>
      <w:r>
        <w:rPr>
          <w:rFonts w:ascii="宋体" w:hAnsi="宋体"/>
          <w:color w:val="auto"/>
          <w:highlight w:val="none"/>
        </w:rPr>
        <w:t>。</w:t>
      </w:r>
    </w:p>
    <w:p w14:paraId="0FDF9B28">
      <w:pPr>
        <w:tabs>
          <w:tab w:val="left" w:pos="1134"/>
          <w:tab w:val="left" w:pos="8364"/>
        </w:tabs>
        <w:spacing w:before="0" w:after="0" w:afterAutospacing="0"/>
        <w:ind w:left="0" w:right="0" w:firstLine="422" w:firstLineChars="200"/>
        <w:rPr>
          <w:rFonts w:ascii="宋体" w:hAnsi="宋体"/>
          <w:b/>
          <w:bCs/>
          <w:color w:val="auto"/>
          <w:highlight w:val="none"/>
        </w:rPr>
      </w:pPr>
      <w:r>
        <w:rPr>
          <w:rFonts w:hint="eastAsia" w:ascii="宋体" w:hAnsi="宋体"/>
          <w:b/>
          <w:bCs/>
          <w:color w:val="auto"/>
          <w:highlight w:val="none"/>
        </w:rPr>
        <w:t xml:space="preserve">37 </w:t>
      </w:r>
      <w:r>
        <w:rPr>
          <w:rFonts w:ascii="宋体" w:hAnsi="宋体"/>
          <w:b/>
          <w:bCs/>
          <w:color w:val="auto"/>
          <w:highlight w:val="none"/>
        </w:rPr>
        <w:t>知识产权和专利权</w:t>
      </w:r>
    </w:p>
    <w:p w14:paraId="61F534AC">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37.1 </w:t>
      </w:r>
      <w:r>
        <w:rPr>
          <w:rFonts w:ascii="宋体" w:hAnsi="宋体"/>
          <w:color w:val="auto"/>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2B19218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37.2 </w:t>
      </w:r>
      <w:r>
        <w:rPr>
          <w:rFonts w:ascii="宋体" w:hAnsi="宋体"/>
          <w:color w:val="auto"/>
          <w:highlight w:val="none"/>
        </w:rPr>
        <w:t>比选申请报价已包括所有应支付的，对专利权、著作权、注册商标专有使用权、计算机软件登记或其他知识产权而需要向其他方支付各项等费用。</w:t>
      </w:r>
    </w:p>
    <w:p w14:paraId="007C1ADE">
      <w:pPr>
        <w:tabs>
          <w:tab w:val="left" w:pos="425"/>
          <w:tab w:val="left" w:pos="1134"/>
          <w:tab w:val="left" w:pos="8364"/>
        </w:tabs>
        <w:spacing w:before="0" w:after="0" w:afterAutospacing="0"/>
        <w:ind w:left="0" w:right="0" w:firstLine="422" w:firstLineChars="200"/>
        <w:rPr>
          <w:rFonts w:ascii="宋体" w:hAnsi="宋体"/>
          <w:b/>
          <w:bCs/>
          <w:color w:val="auto"/>
          <w:highlight w:val="none"/>
        </w:rPr>
      </w:pPr>
      <w:r>
        <w:rPr>
          <w:rFonts w:hint="eastAsia" w:ascii="宋体" w:hAnsi="宋体"/>
          <w:b/>
          <w:bCs/>
          <w:color w:val="auto"/>
          <w:highlight w:val="none"/>
        </w:rPr>
        <w:t>38</w:t>
      </w:r>
      <w:r>
        <w:rPr>
          <w:rFonts w:ascii="宋体" w:hAnsi="宋体"/>
          <w:b/>
          <w:bCs/>
          <w:color w:val="auto"/>
          <w:highlight w:val="none"/>
        </w:rPr>
        <w:t>保密</w:t>
      </w:r>
    </w:p>
    <w:p w14:paraId="2A3577AA">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38.1 </w:t>
      </w:r>
      <w:r>
        <w:rPr>
          <w:rFonts w:ascii="宋体" w:hAnsi="宋体"/>
          <w:color w:val="auto"/>
          <w:highlight w:val="none"/>
        </w:rPr>
        <w:t>由比选人向比选申请人提供的比选文件、图纸、详细资料、模型、模件和所有其他资料，被视为保密资料，仅被用于它所规定的用途，除非得到比选人的书面同意，</w:t>
      </w:r>
      <w:r>
        <w:rPr>
          <w:rFonts w:hint="eastAsia" w:ascii="宋体" w:hAnsi="宋体"/>
          <w:color w:val="auto"/>
          <w:highlight w:val="none"/>
        </w:rPr>
        <w:t>比选申请人</w:t>
      </w:r>
      <w:r>
        <w:rPr>
          <w:rFonts w:ascii="宋体" w:hAnsi="宋体"/>
          <w:color w:val="auto"/>
          <w:highlight w:val="none"/>
        </w:rPr>
        <w:t>不能向任何第三方透露。</w:t>
      </w:r>
    </w:p>
    <w:p w14:paraId="28810970">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38.2 </w:t>
      </w:r>
      <w:r>
        <w:rPr>
          <w:rFonts w:ascii="宋体" w:hAnsi="宋体"/>
          <w:color w:val="auto"/>
          <w:highlight w:val="none"/>
        </w:rPr>
        <w:t>在比选申请文件完成后，应比选人要求，比选申请人应归还所有从比选人获得的保密资料，以及所有的无论从任何媒介获得的复印件和摘录。</w:t>
      </w:r>
    </w:p>
    <w:p w14:paraId="06BB807D">
      <w:pPr>
        <w:tabs>
          <w:tab w:val="left" w:pos="425"/>
          <w:tab w:val="left" w:pos="1134"/>
          <w:tab w:val="left" w:pos="8364"/>
        </w:tabs>
        <w:spacing w:before="0" w:after="0" w:afterAutospacing="0"/>
        <w:ind w:left="0" w:right="0" w:firstLine="422" w:firstLineChars="200"/>
        <w:rPr>
          <w:rFonts w:ascii="宋体" w:hAnsi="宋体"/>
          <w:b/>
          <w:bCs/>
          <w:color w:val="auto"/>
          <w:highlight w:val="none"/>
        </w:rPr>
      </w:pPr>
      <w:r>
        <w:rPr>
          <w:rFonts w:hint="eastAsia" w:ascii="宋体" w:hAnsi="宋体"/>
          <w:b/>
          <w:bCs/>
          <w:color w:val="auto"/>
          <w:highlight w:val="none"/>
        </w:rPr>
        <w:t>39</w:t>
      </w:r>
      <w:r>
        <w:rPr>
          <w:rFonts w:ascii="宋体" w:hAnsi="宋体"/>
          <w:b/>
          <w:bCs/>
          <w:color w:val="auto"/>
          <w:highlight w:val="none"/>
        </w:rPr>
        <w:t>比选申请人知悉</w:t>
      </w:r>
    </w:p>
    <w:p w14:paraId="4F680961">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39.1 </w:t>
      </w:r>
      <w:r>
        <w:rPr>
          <w:rFonts w:ascii="宋体" w:hAnsi="宋体"/>
          <w:color w:val="auto"/>
          <w:highlight w:val="none"/>
        </w:rPr>
        <w:t>比选申请人将被视为已合理地充分了解了对所有影响本项目的事项，包括任何与</w:t>
      </w:r>
      <w:r>
        <w:rPr>
          <w:rFonts w:hint="eastAsia" w:ascii="宋体" w:hAnsi="宋体"/>
          <w:color w:val="auto"/>
          <w:highlight w:val="none"/>
        </w:rPr>
        <w:t>项目</w:t>
      </w:r>
      <w:r>
        <w:rPr>
          <w:rFonts w:ascii="宋体" w:hAnsi="宋体"/>
          <w:color w:val="auto"/>
          <w:highlight w:val="none"/>
        </w:rPr>
        <w:t>和项目时间表有关的特殊困难。</w:t>
      </w:r>
    </w:p>
    <w:p w14:paraId="406698F2">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39.2 </w:t>
      </w:r>
      <w:r>
        <w:rPr>
          <w:rFonts w:ascii="宋体" w:hAnsi="宋体"/>
          <w:color w:val="auto"/>
          <w:highlight w:val="none"/>
        </w:rPr>
        <w:t>如果比选申请人在比选申请过程中有欺诈行为，则比选人有权否决比选申请人的比选申请。</w:t>
      </w:r>
    </w:p>
    <w:p w14:paraId="4B18BA49">
      <w:pPr>
        <w:tabs>
          <w:tab w:val="left" w:pos="425"/>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39.3 分包：本项目不允许分包、禁止转包。</w:t>
      </w:r>
    </w:p>
    <w:p w14:paraId="2D2C5C5E">
      <w:pPr>
        <w:pStyle w:val="19"/>
        <w:spacing w:before="0" w:after="0" w:afterAutospacing="0"/>
        <w:ind w:left="0" w:right="0" w:firstLine="420" w:firstLineChars="200"/>
        <w:rPr>
          <w:rFonts w:hAnsi="宋体" w:cs="Times New Roman"/>
          <w:color w:val="auto"/>
          <w:sz w:val="21"/>
          <w:szCs w:val="21"/>
          <w:highlight w:val="none"/>
        </w:rPr>
      </w:pPr>
      <w:r>
        <w:rPr>
          <w:rFonts w:hint="eastAsia" w:hAnsi="宋体" w:cs="Times New Roman"/>
          <w:color w:val="auto"/>
          <w:sz w:val="21"/>
          <w:szCs w:val="21"/>
          <w:highlight w:val="none"/>
        </w:rPr>
        <w:t>39.4需要补充的其他内容：详见比选申请须知前附表</w:t>
      </w:r>
    </w:p>
    <w:p w14:paraId="155722F1">
      <w:pPr>
        <w:tabs>
          <w:tab w:val="left" w:pos="425"/>
          <w:tab w:val="left" w:pos="1134"/>
          <w:tab w:val="left" w:pos="8364"/>
        </w:tabs>
        <w:spacing w:before="0" w:after="0" w:afterAutospacing="0" w:line="240" w:lineRule="auto"/>
        <w:ind w:left="0" w:right="0" w:firstLine="422" w:firstLineChars="200"/>
        <w:rPr>
          <w:rFonts w:ascii="宋体" w:hAnsi="宋体"/>
          <w:b/>
          <w:bCs/>
          <w:color w:val="auto"/>
          <w:highlight w:val="none"/>
        </w:rPr>
      </w:pPr>
      <w:r>
        <w:rPr>
          <w:rFonts w:hint="eastAsia" w:ascii="宋体" w:hAnsi="宋体"/>
          <w:b/>
          <w:bCs/>
          <w:color w:val="auto"/>
          <w:highlight w:val="none"/>
        </w:rPr>
        <w:t>40其他</w:t>
      </w:r>
    </w:p>
    <w:p w14:paraId="68DF9E06">
      <w:pPr>
        <w:tabs>
          <w:tab w:val="left" w:pos="1134"/>
          <w:tab w:val="left" w:pos="836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14:paraId="322F241F">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40.1比选申请人在投标截止期后撤回其比选申请的。</w:t>
      </w:r>
    </w:p>
    <w:p w14:paraId="0A17B20C">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40.2提供虚假材料谋取中选的。</w:t>
      </w:r>
    </w:p>
    <w:p w14:paraId="5D47114B">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40.3采取不正当手段诋毁、排挤其他供应商的。</w:t>
      </w:r>
    </w:p>
    <w:p w14:paraId="0CC403BB">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40.4恶意串通等不正当竞争行为的。</w:t>
      </w:r>
    </w:p>
    <w:p w14:paraId="18E56642">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40.5中标后无正当理由拒不与</w:t>
      </w:r>
      <w:r>
        <w:rPr>
          <w:rFonts w:hint="eastAsia" w:ascii="宋体" w:hAnsi="宋体"/>
          <w:color w:val="auto"/>
          <w:highlight w:val="none"/>
        </w:rPr>
        <w:t>比选</w:t>
      </w:r>
      <w:r>
        <w:rPr>
          <w:rFonts w:ascii="宋体" w:hAnsi="宋体"/>
          <w:color w:val="auto"/>
          <w:highlight w:val="none"/>
        </w:rPr>
        <w:t>人签订采购合同的。</w:t>
      </w:r>
    </w:p>
    <w:p w14:paraId="511966A7">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40.6未照比选、比选申请文件确定的事项签订采购合同的。</w:t>
      </w:r>
    </w:p>
    <w:p w14:paraId="058278F2">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40.7将</w:t>
      </w:r>
      <w:r>
        <w:rPr>
          <w:rFonts w:hint="eastAsia" w:ascii="宋体" w:hAnsi="宋体"/>
          <w:color w:val="auto"/>
          <w:highlight w:val="none"/>
        </w:rPr>
        <w:t>与比选人签订的</w:t>
      </w:r>
      <w:r>
        <w:rPr>
          <w:rFonts w:ascii="宋体" w:hAnsi="宋体"/>
          <w:color w:val="auto"/>
          <w:highlight w:val="none"/>
        </w:rPr>
        <w:t>合同转包的。</w:t>
      </w:r>
    </w:p>
    <w:p w14:paraId="6541A114">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40.8提供假冒伪劣产品的。</w:t>
      </w:r>
    </w:p>
    <w:p w14:paraId="66064A8E">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40.9擅自变更、中止或者终止合同的。</w:t>
      </w:r>
    </w:p>
    <w:p w14:paraId="5224968A">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40.10中选人签订合同后，不能履约或无故拖延履约期的。</w:t>
      </w:r>
    </w:p>
    <w:p w14:paraId="13633060">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40.11 中选人未按比选申请须知要求在比选申请阶段提出异议或疑问，在成交后无法满足采购需求被认定为无效报价或主动放弃成交资格的。</w:t>
      </w:r>
    </w:p>
    <w:p w14:paraId="1359402D">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40.12 中选人在成交后无正当理由放弃成交资格的。</w:t>
      </w:r>
    </w:p>
    <w:p w14:paraId="248EF11C">
      <w:pPr>
        <w:tabs>
          <w:tab w:val="left" w:pos="1134"/>
          <w:tab w:val="left" w:pos="8364"/>
        </w:tabs>
        <w:spacing w:before="0" w:after="0" w:afterAutospacing="0"/>
        <w:ind w:left="0" w:right="0" w:firstLine="420" w:firstLineChars="200"/>
        <w:rPr>
          <w:rFonts w:ascii="宋体" w:hAnsi="宋体"/>
          <w:color w:val="auto"/>
          <w:highlight w:val="none"/>
        </w:rPr>
      </w:pPr>
      <w:r>
        <w:rPr>
          <w:rFonts w:ascii="宋体" w:hAnsi="宋体"/>
          <w:color w:val="auto"/>
          <w:highlight w:val="none"/>
        </w:rPr>
        <w:t>40.13比选文件、法律、法规规定的其他情形。</w:t>
      </w:r>
      <w:bookmarkStart w:id="1093" w:name="_Toc17022"/>
      <w:bookmarkStart w:id="1094" w:name="_Toc21919"/>
      <w:bookmarkStart w:id="1095" w:name="_Toc7547"/>
      <w:bookmarkStart w:id="1096" w:name="_Toc15740"/>
      <w:bookmarkStart w:id="1097" w:name="_Toc9458"/>
      <w:bookmarkStart w:id="1098" w:name="_Toc1179"/>
      <w:bookmarkStart w:id="1099" w:name="_Toc4003"/>
      <w:bookmarkStart w:id="1100" w:name="_Toc25920"/>
      <w:bookmarkStart w:id="1101" w:name="_Toc9725"/>
      <w:bookmarkStart w:id="1102" w:name="_Toc14991"/>
      <w:bookmarkStart w:id="1103" w:name="_Toc9991"/>
      <w:bookmarkStart w:id="1104" w:name="_Toc11424"/>
      <w:bookmarkStart w:id="1105" w:name="_Toc12281"/>
      <w:bookmarkStart w:id="1106" w:name="_Toc28464"/>
      <w:bookmarkStart w:id="1107" w:name="_Toc16340"/>
      <w:bookmarkStart w:id="1108" w:name="_Toc13323"/>
      <w:bookmarkStart w:id="1109" w:name="_Toc23292"/>
    </w:p>
    <w:p w14:paraId="69122744">
      <w:pPr>
        <w:rPr>
          <w:rStyle w:val="58"/>
          <w:rFonts w:ascii="宋体" w:hAnsi="宋体" w:eastAsia="宋体"/>
          <w:color w:val="auto"/>
          <w:highlight w:val="none"/>
        </w:rPr>
      </w:pPr>
      <w:r>
        <w:rPr>
          <w:rStyle w:val="58"/>
          <w:rFonts w:hint="eastAsia" w:ascii="宋体" w:hAnsi="宋体" w:eastAsia="宋体"/>
          <w:color w:val="auto"/>
          <w:highlight w:val="none"/>
        </w:rPr>
        <w:br w:type="page"/>
      </w:r>
    </w:p>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14:paraId="1B7C1F48">
      <w:pPr>
        <w:tabs>
          <w:tab w:val="left" w:pos="1134"/>
          <w:tab w:val="left" w:pos="8364"/>
        </w:tabs>
        <w:spacing w:before="0" w:after="0" w:afterAutospacing="0"/>
        <w:ind w:left="0" w:right="0" w:firstLine="643" w:firstLineChars="200"/>
        <w:jc w:val="center"/>
        <w:outlineLvl w:val="0"/>
        <w:rPr>
          <w:rFonts w:ascii="宋体" w:hAnsi="宋体" w:cs="宋体"/>
          <w:b/>
          <w:color w:val="auto"/>
          <w:sz w:val="32"/>
          <w:szCs w:val="32"/>
          <w:highlight w:val="none"/>
        </w:rPr>
      </w:pPr>
      <w:bookmarkStart w:id="1110" w:name="_Toc11336"/>
      <w:bookmarkStart w:id="1111" w:name="_Toc6151"/>
      <w:bookmarkStart w:id="1112" w:name="_Toc32011"/>
      <w:bookmarkStart w:id="1113" w:name="_Toc14790"/>
      <w:bookmarkStart w:id="1114" w:name="_Toc31574"/>
      <w:bookmarkStart w:id="1115" w:name="_Toc28285"/>
      <w:bookmarkStart w:id="1116" w:name="_Toc13167"/>
      <w:bookmarkStart w:id="1117" w:name="_Toc11320"/>
      <w:bookmarkStart w:id="1118" w:name="_Toc28677"/>
      <w:bookmarkStart w:id="1119" w:name="_Toc29546"/>
      <w:bookmarkStart w:id="1120" w:name="_Toc17261"/>
      <w:bookmarkStart w:id="1121" w:name="_Toc25306"/>
      <w:bookmarkStart w:id="1122" w:name="_Toc31873"/>
      <w:bookmarkStart w:id="1123" w:name="_Toc21689"/>
      <w:bookmarkStart w:id="1124" w:name="_Toc27263"/>
      <w:bookmarkStart w:id="1125" w:name="_Toc4374"/>
      <w:bookmarkStart w:id="1126" w:name="_Toc17396"/>
      <w:bookmarkStart w:id="1127" w:name="_Toc30920"/>
      <w:r>
        <w:rPr>
          <w:rStyle w:val="58"/>
          <w:rFonts w:hint="eastAsia" w:ascii="宋体" w:hAnsi="宋体" w:eastAsia="宋体" w:cs="宋体"/>
          <w:color w:val="auto"/>
          <w:highlight w:val="none"/>
        </w:rPr>
        <w:t>第三章合同条款及格式</w:t>
      </w:r>
      <w:bookmarkEnd w:id="1110"/>
      <w:bookmarkStart w:id="1128" w:name="_Toc6194"/>
      <w:bookmarkStart w:id="1129" w:name="_Toc27258"/>
      <w:bookmarkStart w:id="1130" w:name="_Toc21372"/>
      <w:bookmarkStart w:id="1131" w:name="_Toc27316"/>
      <w:bookmarkStart w:id="1132" w:name="_Toc21033"/>
      <w:bookmarkStart w:id="1133" w:name="_Toc29249"/>
      <w:bookmarkStart w:id="1134" w:name="_Toc16443"/>
      <w:bookmarkStart w:id="1135" w:name="_Toc13288"/>
      <w:bookmarkStart w:id="1136" w:name="_Toc5186"/>
      <w:bookmarkStart w:id="1137" w:name="_Toc12983548"/>
      <w:bookmarkStart w:id="1138" w:name="_Toc2753"/>
      <w:bookmarkStart w:id="1139" w:name="_Toc14997"/>
      <w:bookmarkStart w:id="1140" w:name="_Toc5644"/>
      <w:bookmarkStart w:id="1141" w:name="_Toc21659"/>
      <w:bookmarkStart w:id="1142" w:name="_Toc21635"/>
      <w:bookmarkStart w:id="1143" w:name="_Toc12470"/>
      <w:bookmarkStart w:id="1144" w:name="_Toc16716"/>
      <w:bookmarkStart w:id="1145" w:name="_Toc19448"/>
    </w:p>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14:paraId="4D0CEA45">
      <w:pPr>
        <w:pStyle w:val="35"/>
        <w:spacing w:before="0" w:beforeAutospacing="0" w:after="0" w:afterAutospacing="0" w:line="500" w:lineRule="exact"/>
        <w:ind w:firstLine="480" w:firstLineChars="200"/>
        <w:rPr>
          <w:rFonts w:ascii="宋体" w:hAnsi="宋体" w:eastAsia="宋体" w:cs="宋体"/>
          <w:color w:val="auto"/>
          <w:highlight w:val="none"/>
        </w:rPr>
      </w:pPr>
      <w:r>
        <w:rPr>
          <w:rFonts w:hint="eastAsia" w:ascii="宋体" w:hAnsi="宋体" w:eastAsia="宋体" w:cs="宋体"/>
          <w:color w:val="auto"/>
          <w:highlight w:val="none"/>
        </w:rPr>
        <w:t xml:space="preserve">合同编号： </w:t>
      </w:r>
    </w:p>
    <w:p w14:paraId="57CF31C0">
      <w:pPr>
        <w:pStyle w:val="89"/>
        <w:spacing w:line="240" w:lineRule="auto"/>
        <w:jc w:val="right"/>
        <w:rPr>
          <w:rStyle w:val="40"/>
          <w:rFonts w:hint="eastAsia" w:ascii="宋体" w:hAnsi="宋体" w:eastAsia="宋体" w:cs="Times New Roman"/>
          <w:b/>
          <w:color w:val="auto"/>
          <w:sz w:val="30"/>
          <w:szCs w:val="30"/>
          <w:highlight w:val="none"/>
          <w:lang w:val="en-US" w:eastAsia="zh-CN"/>
        </w:rPr>
      </w:pPr>
      <w:r>
        <w:rPr>
          <w:rStyle w:val="40"/>
          <w:rFonts w:hint="eastAsia" w:ascii="宋体" w:hAnsi="宋体" w:eastAsia="宋体" w:cs="Times New Roman"/>
          <w:b/>
          <w:color w:val="auto"/>
          <w:sz w:val="30"/>
          <w:szCs w:val="30"/>
          <w:highlight w:val="none"/>
          <w:lang w:val="en-US" w:eastAsia="zh-CN"/>
        </w:rPr>
        <w:t>正副本</w:t>
      </w:r>
    </w:p>
    <w:p w14:paraId="168C6422">
      <w:pPr>
        <w:pStyle w:val="89"/>
        <w:spacing w:line="440" w:lineRule="exact"/>
        <w:jc w:val="right"/>
        <w:rPr>
          <w:rStyle w:val="40"/>
          <w:rFonts w:ascii="宋体" w:hAnsi="宋体" w:eastAsia="宋体" w:cs="Times New Roman"/>
          <w:b/>
          <w:color w:val="auto"/>
          <w:sz w:val="30"/>
          <w:szCs w:val="30"/>
          <w:highlight w:val="none"/>
        </w:rPr>
      </w:pPr>
      <w:r>
        <w:rPr>
          <w:rStyle w:val="40"/>
          <w:rFonts w:hint="eastAsia" w:ascii="宋体" w:hAnsi="宋体" w:eastAsia="宋体" w:cs="Times New Roman"/>
          <w:b/>
          <w:color w:val="auto"/>
          <w:sz w:val="30"/>
          <w:szCs w:val="30"/>
          <w:highlight w:val="none"/>
        </w:rPr>
        <w:t xml:space="preserve"> </w:t>
      </w:r>
      <w:r>
        <w:rPr>
          <w:rStyle w:val="40"/>
          <w:rFonts w:hint="eastAsia" w:ascii="宋体" w:hAnsi="宋体" w:eastAsia="宋体" w:cs="Times New Roman"/>
          <w:b/>
          <w:color w:val="auto"/>
          <w:sz w:val="30"/>
          <w:szCs w:val="30"/>
          <w:highlight w:val="none"/>
          <w:u w:val="none"/>
        </w:rPr>
        <w:t xml:space="preserve"> </w:t>
      </w:r>
    </w:p>
    <w:p w14:paraId="55F24CC3">
      <w:pPr>
        <w:pStyle w:val="89"/>
        <w:spacing w:line="440" w:lineRule="exact"/>
        <w:jc w:val="center"/>
        <w:rPr>
          <w:rStyle w:val="40"/>
          <w:rFonts w:ascii="宋体" w:hAnsi="宋体" w:eastAsia="宋体" w:cs="Times New Roman"/>
          <w:b/>
          <w:color w:val="auto"/>
          <w:sz w:val="30"/>
          <w:szCs w:val="30"/>
          <w:highlight w:val="none"/>
          <w:u w:val="single"/>
        </w:rPr>
      </w:pPr>
    </w:p>
    <w:p w14:paraId="02BCD3B0">
      <w:pPr>
        <w:pStyle w:val="90"/>
        <w:rPr>
          <w:rStyle w:val="40"/>
          <w:rFonts w:ascii="宋体" w:hAnsi="宋体" w:eastAsia="宋体" w:cs="Times New Roman"/>
          <w:b/>
          <w:color w:val="auto"/>
          <w:sz w:val="30"/>
          <w:szCs w:val="30"/>
          <w:highlight w:val="none"/>
          <w:u w:val="single"/>
        </w:rPr>
      </w:pPr>
    </w:p>
    <w:p w14:paraId="7FD5C35F">
      <w:pPr>
        <w:pStyle w:val="90"/>
        <w:rPr>
          <w:rStyle w:val="40"/>
          <w:rFonts w:ascii="宋体" w:hAnsi="宋体" w:eastAsia="宋体" w:cs="Times New Roman"/>
          <w:b/>
          <w:color w:val="auto"/>
          <w:sz w:val="30"/>
          <w:szCs w:val="30"/>
          <w:highlight w:val="none"/>
          <w:u w:val="single"/>
        </w:rPr>
      </w:pPr>
    </w:p>
    <w:p w14:paraId="2A84FF81">
      <w:pPr>
        <w:pStyle w:val="90"/>
        <w:rPr>
          <w:rStyle w:val="40"/>
          <w:rFonts w:ascii="宋体" w:hAnsi="宋体" w:eastAsia="宋体" w:cs="Times New Roman"/>
          <w:b/>
          <w:color w:val="auto"/>
          <w:sz w:val="30"/>
          <w:szCs w:val="30"/>
          <w:highlight w:val="none"/>
          <w:u w:val="single"/>
        </w:rPr>
      </w:pPr>
    </w:p>
    <w:p w14:paraId="6B82A132">
      <w:pPr>
        <w:pStyle w:val="89"/>
        <w:spacing w:line="800" w:lineRule="exact"/>
        <w:jc w:val="center"/>
        <w:rPr>
          <w:rStyle w:val="40"/>
          <w:rFonts w:ascii="宋体" w:hAnsi="宋体" w:eastAsia="宋体" w:cs="Times New Roman"/>
          <w:b/>
          <w:color w:val="auto"/>
          <w:sz w:val="48"/>
          <w:szCs w:val="48"/>
          <w:highlight w:val="none"/>
        </w:rPr>
      </w:pPr>
      <w:bookmarkStart w:id="1146" w:name="OLE_LINK23"/>
      <w:bookmarkStart w:id="1147" w:name="OLE_LINK8"/>
      <w:r>
        <w:rPr>
          <w:rStyle w:val="40"/>
          <w:rFonts w:hint="eastAsia" w:ascii="宋体" w:hAnsi="宋体" w:eastAsia="宋体" w:cs="Times New Roman"/>
          <w:b/>
          <w:color w:val="auto"/>
          <w:sz w:val="48"/>
          <w:szCs w:val="48"/>
          <w:highlight w:val="none"/>
          <w:u w:val="single"/>
          <w:lang w:val="zh-CN"/>
        </w:rPr>
        <w:t>南宁市白沙半岛片区城中村改造项目安置住房小区（地块1）</w:t>
      </w:r>
      <w:bookmarkEnd w:id="1146"/>
      <w:r>
        <w:rPr>
          <w:rStyle w:val="40"/>
          <w:rFonts w:ascii="宋体" w:hAnsi="宋体" w:eastAsia="宋体" w:cs="Times New Roman"/>
          <w:b/>
          <w:color w:val="auto"/>
          <w:sz w:val="48"/>
          <w:szCs w:val="48"/>
          <w:highlight w:val="none"/>
        </w:rPr>
        <w:t>建设工</w:t>
      </w:r>
      <w:bookmarkStart w:id="1148" w:name="OLE_LINK21"/>
      <w:r>
        <w:rPr>
          <w:rStyle w:val="40"/>
          <w:rFonts w:ascii="宋体" w:hAnsi="宋体" w:eastAsia="宋体" w:cs="Times New Roman"/>
          <w:b/>
          <w:color w:val="auto"/>
          <w:sz w:val="48"/>
          <w:szCs w:val="48"/>
          <w:highlight w:val="none"/>
        </w:rPr>
        <w:t>程</w:t>
      </w:r>
      <w:bookmarkEnd w:id="1148"/>
      <w:r>
        <w:rPr>
          <w:rStyle w:val="40"/>
          <w:rFonts w:hint="eastAsia" w:ascii="宋体" w:hAnsi="宋体" w:eastAsia="宋体" w:cs="Times New Roman"/>
          <w:b/>
          <w:color w:val="auto"/>
          <w:sz w:val="48"/>
          <w:szCs w:val="48"/>
          <w:highlight w:val="none"/>
        </w:rPr>
        <w:t>勘察</w:t>
      </w:r>
      <w:r>
        <w:rPr>
          <w:rStyle w:val="40"/>
          <w:rFonts w:ascii="宋体" w:hAnsi="宋体" w:eastAsia="宋体" w:cs="Times New Roman"/>
          <w:b/>
          <w:color w:val="auto"/>
          <w:sz w:val="48"/>
          <w:szCs w:val="48"/>
          <w:highlight w:val="none"/>
        </w:rPr>
        <w:t>合同</w:t>
      </w:r>
    </w:p>
    <w:bookmarkEnd w:id="1147"/>
    <w:p w14:paraId="72B489D8">
      <w:pPr>
        <w:pStyle w:val="89"/>
        <w:spacing w:line="440" w:lineRule="exact"/>
        <w:jc w:val="center"/>
        <w:rPr>
          <w:rStyle w:val="40"/>
          <w:rFonts w:ascii="宋体" w:hAnsi="宋体" w:eastAsia="宋体" w:cs="Times New Roman"/>
          <w:b/>
          <w:color w:val="auto"/>
          <w:sz w:val="52"/>
          <w:szCs w:val="52"/>
          <w:highlight w:val="none"/>
        </w:rPr>
      </w:pPr>
    </w:p>
    <w:p w14:paraId="43D56969">
      <w:pPr>
        <w:pStyle w:val="89"/>
        <w:spacing w:line="440" w:lineRule="exact"/>
        <w:jc w:val="center"/>
        <w:rPr>
          <w:rStyle w:val="40"/>
          <w:rFonts w:ascii="宋体" w:hAnsi="宋体" w:eastAsia="宋体" w:cs="Times New Roman"/>
          <w:b/>
          <w:color w:val="auto"/>
          <w:sz w:val="52"/>
          <w:szCs w:val="52"/>
          <w:highlight w:val="none"/>
        </w:rPr>
      </w:pPr>
    </w:p>
    <w:p w14:paraId="2763B1B2">
      <w:pPr>
        <w:pStyle w:val="89"/>
        <w:spacing w:line="440" w:lineRule="exact"/>
        <w:jc w:val="center"/>
        <w:rPr>
          <w:rStyle w:val="40"/>
          <w:rFonts w:ascii="宋体" w:hAnsi="宋体" w:eastAsia="宋体" w:cs="Times New Roman"/>
          <w:b/>
          <w:color w:val="auto"/>
          <w:sz w:val="52"/>
          <w:szCs w:val="52"/>
          <w:highlight w:val="none"/>
        </w:rPr>
      </w:pPr>
    </w:p>
    <w:p w14:paraId="6BFB6F66">
      <w:pPr>
        <w:pStyle w:val="89"/>
        <w:spacing w:line="440" w:lineRule="exact"/>
        <w:jc w:val="center"/>
        <w:rPr>
          <w:rStyle w:val="40"/>
          <w:rFonts w:ascii="宋体" w:hAnsi="宋体" w:eastAsia="宋体" w:cs="Times New Roman"/>
          <w:b/>
          <w:color w:val="auto"/>
          <w:sz w:val="52"/>
          <w:szCs w:val="52"/>
          <w:highlight w:val="none"/>
        </w:rPr>
      </w:pPr>
    </w:p>
    <w:p w14:paraId="2775F734">
      <w:pPr>
        <w:pStyle w:val="89"/>
        <w:spacing w:line="440" w:lineRule="exact"/>
        <w:jc w:val="center"/>
        <w:rPr>
          <w:rStyle w:val="40"/>
          <w:rFonts w:ascii="宋体" w:hAnsi="宋体" w:eastAsia="宋体" w:cs="Times New Roman"/>
          <w:b/>
          <w:color w:val="auto"/>
          <w:sz w:val="52"/>
          <w:szCs w:val="52"/>
          <w:highlight w:val="none"/>
        </w:rPr>
      </w:pPr>
    </w:p>
    <w:p w14:paraId="3558605A">
      <w:pPr>
        <w:pStyle w:val="89"/>
        <w:spacing w:line="440" w:lineRule="exact"/>
        <w:jc w:val="center"/>
        <w:rPr>
          <w:rStyle w:val="40"/>
          <w:rFonts w:ascii="宋体" w:hAnsi="宋体" w:eastAsia="宋体" w:cs="Times New Roman"/>
          <w:b/>
          <w:color w:val="auto"/>
          <w:sz w:val="52"/>
          <w:szCs w:val="52"/>
          <w:highlight w:val="none"/>
        </w:rPr>
      </w:pPr>
    </w:p>
    <w:p w14:paraId="0685BEC0">
      <w:pPr>
        <w:pStyle w:val="89"/>
        <w:spacing w:line="440" w:lineRule="exact"/>
        <w:jc w:val="center"/>
        <w:rPr>
          <w:rStyle w:val="40"/>
          <w:rFonts w:ascii="宋体" w:hAnsi="宋体" w:eastAsia="宋体" w:cs="Times New Roman"/>
          <w:b/>
          <w:color w:val="auto"/>
          <w:sz w:val="52"/>
          <w:szCs w:val="52"/>
          <w:highlight w:val="none"/>
        </w:rPr>
      </w:pPr>
    </w:p>
    <w:p w14:paraId="094CCEE8">
      <w:pPr>
        <w:pStyle w:val="89"/>
        <w:spacing w:line="440" w:lineRule="exact"/>
        <w:jc w:val="center"/>
        <w:rPr>
          <w:rStyle w:val="40"/>
          <w:rFonts w:ascii="宋体" w:hAnsi="宋体" w:eastAsia="宋体" w:cs="Times New Roman"/>
          <w:b/>
          <w:color w:val="auto"/>
          <w:sz w:val="52"/>
          <w:szCs w:val="52"/>
          <w:highlight w:val="none"/>
        </w:rPr>
      </w:pPr>
    </w:p>
    <w:p w14:paraId="64E632B6">
      <w:pPr>
        <w:pStyle w:val="89"/>
        <w:spacing w:line="440" w:lineRule="exact"/>
        <w:jc w:val="both"/>
        <w:rPr>
          <w:rStyle w:val="40"/>
          <w:rFonts w:ascii="宋体" w:hAnsi="宋体" w:eastAsia="宋体" w:cs="Times New Roman"/>
          <w:b/>
          <w:color w:val="auto"/>
          <w:sz w:val="52"/>
          <w:szCs w:val="52"/>
          <w:highlight w:val="none"/>
        </w:rPr>
      </w:pPr>
    </w:p>
    <w:p w14:paraId="3F2DFDC2">
      <w:pPr>
        <w:pStyle w:val="89"/>
        <w:ind w:left="2538" w:hanging="2538" w:hangingChars="790"/>
        <w:jc w:val="left"/>
        <w:rPr>
          <w:rStyle w:val="40"/>
          <w:rFonts w:ascii="宋体" w:hAnsi="宋体" w:eastAsia="宋体" w:cs="Times New Roman"/>
          <w:b/>
          <w:bCs/>
          <w:color w:val="auto"/>
          <w:sz w:val="32"/>
          <w:szCs w:val="32"/>
          <w:highlight w:val="none"/>
          <w:u w:val="single"/>
        </w:rPr>
      </w:pPr>
      <w:r>
        <w:rPr>
          <w:rStyle w:val="40"/>
          <w:rFonts w:hint="eastAsia" w:ascii="宋体" w:hAnsi="宋体" w:eastAsia="宋体" w:cs="Times New Roman"/>
          <w:b/>
          <w:bCs/>
          <w:color w:val="auto"/>
          <w:sz w:val="32"/>
          <w:szCs w:val="32"/>
          <w:highlight w:val="none"/>
        </w:rPr>
        <w:t>项目编号：</w:t>
      </w:r>
      <w:r>
        <w:rPr>
          <w:rStyle w:val="40"/>
          <w:rFonts w:hint="eastAsia" w:ascii="宋体" w:hAnsi="宋体" w:eastAsia="宋体" w:cs="Times New Roman"/>
          <w:b/>
          <w:bCs/>
          <w:color w:val="auto"/>
          <w:sz w:val="32"/>
          <w:szCs w:val="32"/>
          <w:highlight w:val="none"/>
          <w:u w:val="single"/>
        </w:rPr>
        <w:t xml:space="preserve">       </w:t>
      </w:r>
      <w:r>
        <w:rPr>
          <w:rStyle w:val="40"/>
          <w:rFonts w:hint="eastAsia" w:ascii="宋体" w:hAnsi="宋体" w:eastAsia="宋体" w:cs="Times New Roman"/>
          <w:b/>
          <w:bCs/>
          <w:color w:val="auto"/>
          <w:sz w:val="32"/>
          <w:szCs w:val="32"/>
          <w:highlight w:val="none"/>
          <w:u w:val="single"/>
          <w:lang w:val="en-US" w:eastAsia="zh-CN"/>
        </w:rPr>
        <w:t xml:space="preserve">                 </w:t>
      </w:r>
      <w:r>
        <w:rPr>
          <w:rStyle w:val="40"/>
          <w:rFonts w:hint="eastAsia" w:ascii="宋体" w:hAnsi="宋体" w:eastAsia="宋体" w:cs="Times New Roman"/>
          <w:b/>
          <w:bCs/>
          <w:color w:val="auto"/>
          <w:sz w:val="32"/>
          <w:szCs w:val="32"/>
          <w:highlight w:val="none"/>
          <w:u w:val="single"/>
        </w:rPr>
        <w:t xml:space="preserve">    </w:t>
      </w:r>
      <w:r>
        <w:rPr>
          <w:rStyle w:val="40"/>
          <w:rFonts w:hint="eastAsia" w:ascii="宋体" w:hAnsi="宋体" w:eastAsia="宋体" w:cs="Times New Roman"/>
          <w:b/>
          <w:bCs/>
          <w:color w:val="auto"/>
          <w:sz w:val="32"/>
          <w:szCs w:val="32"/>
          <w:highlight w:val="none"/>
          <w:u w:val="single"/>
          <w:lang w:val="en-US" w:eastAsia="zh-CN"/>
        </w:rPr>
        <w:t xml:space="preserve">  </w:t>
      </w:r>
      <w:r>
        <w:rPr>
          <w:rStyle w:val="40"/>
          <w:rFonts w:hint="eastAsia" w:ascii="宋体" w:hAnsi="宋体" w:eastAsia="宋体" w:cs="Times New Roman"/>
          <w:b/>
          <w:bCs/>
          <w:color w:val="auto"/>
          <w:sz w:val="32"/>
          <w:szCs w:val="32"/>
          <w:highlight w:val="none"/>
          <w:u w:val="single"/>
        </w:rPr>
        <w:t xml:space="preserve">   </w:t>
      </w:r>
      <w:r>
        <w:rPr>
          <w:rStyle w:val="40"/>
          <w:rFonts w:hint="eastAsia" w:ascii="宋体" w:hAnsi="宋体" w:eastAsia="宋体" w:cs="Times New Roman"/>
          <w:b/>
          <w:bCs/>
          <w:color w:val="auto"/>
          <w:sz w:val="32"/>
          <w:szCs w:val="32"/>
          <w:highlight w:val="none"/>
          <w:u w:val="single"/>
          <w:lang w:val="en-US" w:eastAsia="zh-CN"/>
        </w:rPr>
        <w:t xml:space="preserve">    </w:t>
      </w:r>
      <w:r>
        <w:rPr>
          <w:rStyle w:val="40"/>
          <w:rFonts w:hint="eastAsia" w:ascii="宋体" w:hAnsi="宋体" w:eastAsia="宋体" w:cs="Times New Roman"/>
          <w:b/>
          <w:bCs/>
          <w:color w:val="auto"/>
          <w:sz w:val="32"/>
          <w:szCs w:val="32"/>
          <w:highlight w:val="none"/>
          <w:u w:val="single"/>
        </w:rPr>
        <w:t xml:space="preserve">    </w:t>
      </w:r>
    </w:p>
    <w:p w14:paraId="26AB50C5">
      <w:pPr>
        <w:pStyle w:val="89"/>
        <w:ind w:left="2538" w:hanging="2538" w:hangingChars="790"/>
        <w:jc w:val="left"/>
        <w:rPr>
          <w:rStyle w:val="40"/>
          <w:rFonts w:ascii="宋体" w:hAnsi="宋体" w:eastAsia="宋体" w:cs="Times New Roman"/>
          <w:b/>
          <w:bCs/>
          <w:color w:val="auto"/>
          <w:sz w:val="32"/>
          <w:szCs w:val="32"/>
          <w:highlight w:val="none"/>
        </w:rPr>
      </w:pPr>
      <w:r>
        <w:rPr>
          <w:rStyle w:val="40"/>
          <w:rFonts w:hint="eastAsia" w:ascii="宋体" w:hAnsi="宋体" w:eastAsia="宋体" w:cs="Times New Roman"/>
          <w:b/>
          <w:bCs/>
          <w:color w:val="auto"/>
          <w:sz w:val="32"/>
          <w:szCs w:val="32"/>
          <w:highlight w:val="none"/>
        </w:rPr>
        <w:t>审批编号：</w:t>
      </w:r>
      <w:r>
        <w:rPr>
          <w:rStyle w:val="40"/>
          <w:rFonts w:hint="eastAsia" w:ascii="宋体" w:hAnsi="宋体" w:eastAsia="宋体" w:cs="Times New Roman"/>
          <w:b/>
          <w:bCs/>
          <w:color w:val="auto"/>
          <w:sz w:val="32"/>
          <w:szCs w:val="32"/>
          <w:highlight w:val="none"/>
          <w:u w:val="single"/>
        </w:rPr>
        <w:t xml:space="preserve">         </w:t>
      </w:r>
      <w:r>
        <w:rPr>
          <w:rStyle w:val="40"/>
          <w:rFonts w:hint="eastAsia" w:ascii="宋体" w:hAnsi="宋体" w:eastAsia="宋体" w:cs="Times New Roman"/>
          <w:b/>
          <w:bCs/>
          <w:color w:val="auto"/>
          <w:sz w:val="32"/>
          <w:szCs w:val="32"/>
          <w:highlight w:val="none"/>
          <w:u w:val="single"/>
          <w:lang w:val="en-US" w:eastAsia="zh-CN"/>
        </w:rPr>
        <w:t xml:space="preserve">                              </w:t>
      </w:r>
      <w:r>
        <w:rPr>
          <w:rStyle w:val="40"/>
          <w:rFonts w:hint="eastAsia" w:ascii="宋体" w:hAnsi="宋体" w:eastAsia="宋体" w:cs="Times New Roman"/>
          <w:b/>
          <w:bCs/>
          <w:color w:val="auto"/>
          <w:sz w:val="32"/>
          <w:szCs w:val="32"/>
          <w:highlight w:val="none"/>
          <w:u w:val="single"/>
        </w:rPr>
        <w:t xml:space="preserve"> </w:t>
      </w:r>
      <w:r>
        <w:rPr>
          <w:rStyle w:val="40"/>
          <w:rFonts w:ascii="宋体" w:hAnsi="宋体" w:eastAsia="宋体" w:cs="Times New Roman"/>
          <w:b/>
          <w:bCs/>
          <w:color w:val="auto"/>
          <w:sz w:val="32"/>
          <w:szCs w:val="32"/>
          <w:highlight w:val="none"/>
          <w:u w:val="single"/>
        </w:rPr>
        <w:t xml:space="preserve"> </w:t>
      </w:r>
    </w:p>
    <w:p w14:paraId="481A7CE8">
      <w:pPr>
        <w:pStyle w:val="89"/>
        <w:ind w:left="2538" w:hanging="2538" w:hangingChars="790"/>
        <w:jc w:val="left"/>
        <w:rPr>
          <w:rStyle w:val="40"/>
          <w:rFonts w:ascii="宋体" w:hAnsi="宋体" w:eastAsia="宋体" w:cs="Times New Roman"/>
          <w:b/>
          <w:bCs/>
          <w:color w:val="auto"/>
          <w:sz w:val="32"/>
          <w:szCs w:val="32"/>
          <w:highlight w:val="none"/>
        </w:rPr>
      </w:pPr>
      <w:r>
        <w:rPr>
          <w:rStyle w:val="40"/>
          <w:rFonts w:hint="eastAsia" w:ascii="宋体" w:hAnsi="宋体" w:eastAsia="宋体" w:cs="Times New Roman"/>
          <w:b/>
          <w:bCs/>
          <w:color w:val="auto"/>
          <w:sz w:val="32"/>
          <w:szCs w:val="32"/>
          <w:highlight w:val="none"/>
        </w:rPr>
        <w:t>工程地点：</w:t>
      </w:r>
      <w:r>
        <w:rPr>
          <w:rStyle w:val="40"/>
          <w:rFonts w:hint="eastAsia" w:ascii="宋体" w:hAnsi="宋体" w:eastAsia="宋体" w:cs="Times New Roman"/>
          <w:b/>
          <w:bCs/>
          <w:color w:val="auto"/>
          <w:sz w:val="32"/>
          <w:szCs w:val="32"/>
          <w:highlight w:val="none"/>
          <w:u w:val="single"/>
        </w:rPr>
        <w:t xml:space="preserve">                 南宁市                  </w:t>
      </w:r>
    </w:p>
    <w:p w14:paraId="76AF04F1">
      <w:pPr>
        <w:pStyle w:val="89"/>
        <w:rPr>
          <w:rStyle w:val="40"/>
          <w:rFonts w:ascii="宋体" w:hAnsi="宋体" w:eastAsia="宋体" w:cs="Times New Roman"/>
          <w:b/>
          <w:bCs/>
          <w:color w:val="auto"/>
          <w:sz w:val="32"/>
          <w:szCs w:val="32"/>
          <w:highlight w:val="none"/>
        </w:rPr>
      </w:pPr>
      <w:r>
        <w:rPr>
          <w:rStyle w:val="40"/>
          <w:rFonts w:hint="eastAsia" w:ascii="宋体" w:hAnsi="宋体" w:eastAsia="宋体" w:cs="Times New Roman"/>
          <w:b/>
          <w:bCs/>
          <w:color w:val="auto"/>
          <w:sz w:val="32"/>
          <w:szCs w:val="32"/>
          <w:highlight w:val="none"/>
        </w:rPr>
        <w:t>发 包 人：</w:t>
      </w:r>
      <w:r>
        <w:rPr>
          <w:rStyle w:val="40"/>
          <w:rFonts w:hint="eastAsia" w:ascii="宋体" w:hAnsi="宋体" w:eastAsia="宋体" w:cs="Times New Roman"/>
          <w:b/>
          <w:bCs/>
          <w:color w:val="auto"/>
          <w:sz w:val="32"/>
          <w:szCs w:val="32"/>
          <w:highlight w:val="none"/>
          <w:u w:val="single"/>
        </w:rPr>
        <w:t xml:space="preserve">       </w:t>
      </w:r>
      <w:r>
        <w:rPr>
          <w:rStyle w:val="40"/>
          <w:rFonts w:hint="eastAsia" w:ascii="宋体" w:hAnsi="宋体" w:eastAsia="宋体" w:cs="Times New Roman"/>
          <w:b/>
          <w:bCs/>
          <w:color w:val="auto"/>
          <w:sz w:val="32"/>
          <w:szCs w:val="32"/>
          <w:highlight w:val="none"/>
          <w:u w:val="single"/>
          <w:lang w:eastAsia="zh-CN"/>
        </w:rPr>
        <w:t>南宁兴邕城市更新有限责任公司</w:t>
      </w:r>
      <w:r>
        <w:rPr>
          <w:rStyle w:val="40"/>
          <w:rFonts w:hint="eastAsia" w:ascii="宋体" w:hAnsi="宋体" w:eastAsia="宋体" w:cs="Times New Roman"/>
          <w:b/>
          <w:bCs/>
          <w:color w:val="auto"/>
          <w:sz w:val="32"/>
          <w:szCs w:val="32"/>
          <w:highlight w:val="none"/>
          <w:u w:val="single"/>
        </w:rPr>
        <w:t xml:space="preserve">      </w:t>
      </w:r>
    </w:p>
    <w:p w14:paraId="732D7194">
      <w:pPr>
        <w:pStyle w:val="89"/>
        <w:rPr>
          <w:rStyle w:val="40"/>
          <w:rFonts w:ascii="宋体" w:hAnsi="宋体" w:eastAsia="宋体" w:cs="Times New Roman"/>
          <w:b/>
          <w:bCs/>
          <w:color w:val="auto"/>
          <w:sz w:val="32"/>
          <w:szCs w:val="32"/>
          <w:highlight w:val="none"/>
          <w:u w:val="single"/>
        </w:rPr>
      </w:pPr>
      <w:r>
        <w:rPr>
          <w:rStyle w:val="40"/>
          <w:rFonts w:hint="eastAsia" w:ascii="宋体" w:hAnsi="宋体" w:eastAsia="宋体" w:cs="Times New Roman"/>
          <w:b/>
          <w:bCs/>
          <w:color w:val="auto"/>
          <w:sz w:val="32"/>
          <w:szCs w:val="32"/>
          <w:highlight w:val="none"/>
        </w:rPr>
        <w:t>勘 察 人：</w:t>
      </w:r>
      <w:r>
        <w:rPr>
          <w:rStyle w:val="40"/>
          <w:rFonts w:hint="eastAsia" w:ascii="宋体" w:hAnsi="宋体" w:eastAsia="宋体" w:cs="Times New Roman"/>
          <w:b/>
          <w:bCs/>
          <w:color w:val="auto"/>
          <w:sz w:val="32"/>
          <w:szCs w:val="32"/>
          <w:highlight w:val="none"/>
          <w:u w:val="single"/>
        </w:rPr>
        <w:t xml:space="preserve">  </w:t>
      </w:r>
      <w:r>
        <w:rPr>
          <w:rStyle w:val="40"/>
          <w:rFonts w:hint="eastAsia" w:ascii="宋体" w:hAnsi="宋体" w:eastAsia="宋体" w:cs="Times New Roman"/>
          <w:b/>
          <w:bCs/>
          <w:color w:val="auto"/>
          <w:sz w:val="32"/>
          <w:szCs w:val="32"/>
          <w:highlight w:val="none"/>
          <w:u w:val="single"/>
          <w:lang w:val="en-US" w:eastAsia="zh-CN"/>
        </w:rPr>
        <w:t xml:space="preserve">                                      </w:t>
      </w:r>
      <w:r>
        <w:rPr>
          <w:rStyle w:val="40"/>
          <w:rFonts w:hint="eastAsia" w:ascii="宋体" w:hAnsi="宋体" w:eastAsia="宋体" w:cs="Times New Roman"/>
          <w:b/>
          <w:bCs/>
          <w:color w:val="auto"/>
          <w:sz w:val="32"/>
          <w:szCs w:val="32"/>
          <w:highlight w:val="none"/>
          <w:u w:val="single"/>
        </w:rPr>
        <w:t xml:space="preserve"> </w:t>
      </w:r>
    </w:p>
    <w:p w14:paraId="1ED6F15D">
      <w:pPr>
        <w:pStyle w:val="89"/>
        <w:spacing w:line="360" w:lineRule="auto"/>
        <w:jc w:val="center"/>
        <w:rPr>
          <w:rStyle w:val="40"/>
          <w:rFonts w:ascii="Calibri" w:hAnsi="Calibri" w:eastAsia="宋体" w:cs="Times New Roman"/>
          <w:color w:val="auto"/>
          <w:sz w:val="32"/>
          <w:szCs w:val="32"/>
          <w:highlight w:val="none"/>
        </w:rPr>
      </w:pPr>
      <w:r>
        <w:rPr>
          <w:rStyle w:val="40"/>
          <w:rFonts w:hint="eastAsia" w:ascii="Calibri" w:hAnsi="Calibri" w:eastAsia="宋体" w:cs="Times New Roman"/>
          <w:color w:val="auto"/>
          <w:sz w:val="32"/>
          <w:szCs w:val="32"/>
          <w:highlight w:val="none"/>
        </w:rPr>
        <w:t xml:space="preserve">  </w:t>
      </w:r>
    </w:p>
    <w:p w14:paraId="11F3D1A5">
      <w:pPr>
        <w:pStyle w:val="89"/>
        <w:rPr>
          <w:rStyle w:val="40"/>
          <w:rFonts w:hint="eastAsia" w:ascii="Calibri" w:hAnsi="Calibri" w:eastAsia="宋体" w:cs="Times New Roman"/>
          <w:color w:val="auto"/>
          <w:highlight w:val="none"/>
          <w:lang w:val="zh-CN"/>
        </w:rPr>
      </w:pPr>
    </w:p>
    <w:p w14:paraId="75E3F02C">
      <w:pPr>
        <w:pStyle w:val="92"/>
        <w:keepNext w:val="0"/>
        <w:keepLines w:val="0"/>
        <w:adjustRightInd w:val="0"/>
        <w:snapToGrid w:val="0"/>
        <w:spacing w:before="0" w:beforeLines="0" w:after="120" w:afterLines="50" w:line="240" w:lineRule="auto"/>
        <w:jc w:val="center"/>
        <w:rPr>
          <w:rStyle w:val="40"/>
          <w:rFonts w:hint="eastAsia" w:ascii="宋体" w:hAnsi="宋体" w:eastAsia="宋体" w:cs="宋体"/>
          <w:b w:val="0"/>
          <w:bCs/>
          <w:color w:val="auto"/>
          <w:szCs w:val="32"/>
          <w:highlight w:val="none"/>
          <w:lang w:val="zh-CN"/>
        </w:rPr>
      </w:pPr>
      <w:r>
        <w:rPr>
          <w:rStyle w:val="40"/>
          <w:rFonts w:hint="eastAsia" w:ascii="宋体" w:hAnsi="宋体" w:eastAsia="宋体" w:cs="宋体"/>
          <w:b w:val="0"/>
          <w:bCs/>
          <w:color w:val="auto"/>
          <w:szCs w:val="36"/>
          <w:highlight w:val="none"/>
          <w:lang w:val="zh-CN"/>
        </w:rPr>
        <w:t>说明</w:t>
      </w:r>
    </w:p>
    <w:p w14:paraId="3446A578">
      <w:pPr>
        <w:pStyle w:val="89"/>
        <w:rPr>
          <w:rStyle w:val="40"/>
          <w:rFonts w:hint="eastAsia" w:ascii="宋体" w:hAnsi="宋体" w:eastAsia="宋体" w:cs="宋体"/>
          <w:color w:val="auto"/>
          <w:highlight w:val="none"/>
          <w:lang w:val="zh-CN"/>
        </w:rPr>
      </w:pPr>
    </w:p>
    <w:p w14:paraId="45BFD50A">
      <w:pPr>
        <w:pStyle w:val="89"/>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为了指导建设工程勘察合同当事人的签约行为，维护合同当事人的合法权益，依据《中华人民共和国</w:t>
      </w:r>
      <w:r>
        <w:rPr>
          <w:rStyle w:val="40"/>
          <w:rFonts w:hint="eastAsia" w:ascii="宋体" w:hAnsi="宋体" w:eastAsia="宋体" w:cs="宋体"/>
          <w:color w:val="auto"/>
          <w:sz w:val="30"/>
          <w:szCs w:val="30"/>
          <w:highlight w:val="none"/>
          <w:lang w:eastAsia="zh-CN"/>
        </w:rPr>
        <w:t>民法典</w:t>
      </w:r>
      <w:r>
        <w:rPr>
          <w:rStyle w:val="40"/>
          <w:rFonts w:hint="eastAsia" w:ascii="宋体" w:hAnsi="宋体" w:eastAsia="宋体" w:cs="宋体"/>
          <w:color w:val="auto"/>
          <w:sz w:val="30"/>
          <w:szCs w:val="30"/>
          <w:highlight w:val="none"/>
        </w:rPr>
        <w:t>》、《中华人民共和国建筑法》、《中华人民共和国招标投标法》等相关法律法规的规定，住房和城乡建设部、国家工商行政管理总局对《建设工程勘察合同（一）[岩土工程勘察、水文地质勘察（含凿井）、工程测量、工程物探]》（GF-2000-0203）及《建设工程勘察合同（二）[岩土工程设计、治理、监测]》（GF-2000-0204）进行修订，制定了《建设工程勘察合同（示范文本）》（以下简称《示范文本》）。</w:t>
      </w:r>
    </w:p>
    <w:p w14:paraId="29532BC0">
      <w:pPr>
        <w:pStyle w:val="89"/>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为了便于合同当事人使用《示范文本》，现就有关问题说明如下：</w:t>
      </w:r>
    </w:p>
    <w:p w14:paraId="08886205">
      <w:pPr>
        <w:pStyle w:val="89"/>
        <w:ind w:firstLine="600" w:firstLineChars="200"/>
        <w:rPr>
          <w:rStyle w:val="40"/>
          <w:rFonts w:hint="eastAsia" w:ascii="宋体" w:hAnsi="宋体" w:eastAsia="宋体" w:cs="宋体"/>
          <w:bCs/>
          <w:color w:val="auto"/>
          <w:sz w:val="30"/>
          <w:szCs w:val="30"/>
          <w:highlight w:val="none"/>
        </w:rPr>
      </w:pPr>
      <w:r>
        <w:rPr>
          <w:rStyle w:val="40"/>
          <w:rFonts w:hint="eastAsia" w:ascii="宋体" w:hAnsi="宋体" w:eastAsia="宋体" w:cs="宋体"/>
          <w:bCs/>
          <w:color w:val="auto"/>
          <w:sz w:val="30"/>
          <w:szCs w:val="30"/>
          <w:highlight w:val="none"/>
        </w:rPr>
        <w:t>一、《示范文本》的组成</w:t>
      </w:r>
    </w:p>
    <w:p w14:paraId="6D4265A6">
      <w:pPr>
        <w:pStyle w:val="89"/>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《示范文本》由合同协议书、通用合同条款和专用合同条款三部分组成。</w:t>
      </w:r>
    </w:p>
    <w:p w14:paraId="22FD2000">
      <w:pPr>
        <w:pStyle w:val="89"/>
        <w:ind w:firstLine="602"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b/>
          <w:color w:val="auto"/>
          <w:sz w:val="30"/>
          <w:szCs w:val="30"/>
          <w:highlight w:val="none"/>
        </w:rPr>
        <w:t>（一）合同协议书</w:t>
      </w:r>
    </w:p>
    <w:p w14:paraId="335B5963">
      <w:pPr>
        <w:pStyle w:val="89"/>
        <w:ind w:left="147" w:leftChars="70"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示范文本》合同协议书共计12条，主要包括工程概况、勘察范围和阶段、技术要求及工作量、合同工期、质量标准、合同价款、合同文件构成、承诺、词语定义、签订时间、签订地点、合同生效和合同份数等内容，集中约定了合同当事人基本的合同权利义务。</w:t>
      </w:r>
    </w:p>
    <w:p w14:paraId="260E3BDB">
      <w:pPr>
        <w:pStyle w:val="89"/>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b/>
          <w:color w:val="auto"/>
          <w:sz w:val="30"/>
          <w:szCs w:val="30"/>
          <w:highlight w:val="none"/>
        </w:rPr>
        <w:t>（二）通用合同条款</w:t>
      </w:r>
    </w:p>
    <w:p w14:paraId="58074A7B">
      <w:pPr>
        <w:pStyle w:val="89"/>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通用合同条款是合同当事人根据《中华人民共和国</w:t>
      </w:r>
      <w:r>
        <w:rPr>
          <w:rStyle w:val="40"/>
          <w:rFonts w:hint="eastAsia" w:ascii="宋体" w:hAnsi="宋体" w:eastAsia="宋体" w:cs="宋体"/>
          <w:color w:val="auto"/>
          <w:sz w:val="30"/>
          <w:szCs w:val="30"/>
          <w:highlight w:val="none"/>
          <w:lang w:eastAsia="zh-CN"/>
        </w:rPr>
        <w:t>民法典</w:t>
      </w:r>
      <w:r>
        <w:rPr>
          <w:rStyle w:val="40"/>
          <w:rFonts w:hint="eastAsia" w:ascii="宋体" w:hAnsi="宋体" w:eastAsia="宋体" w:cs="宋体"/>
          <w:color w:val="auto"/>
          <w:sz w:val="30"/>
          <w:szCs w:val="30"/>
          <w:highlight w:val="none"/>
        </w:rPr>
        <w:t>》、《中华人民共和国建筑法》、《中华人民共和国招标投标法》等相关法律法规的规定，就工程勘察的实施及相关事项对合同当事人的权利义务作出的原则性约定。</w:t>
      </w:r>
    </w:p>
    <w:p w14:paraId="1A3F036B">
      <w:pPr>
        <w:pStyle w:val="89"/>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通用合同条款具体包括一般约定、发包人、勘察人、工期、成果资料、后期服务、合同价款与支付、变更与调整、知识产权、不可抗力、合同生效与终止、合同解除、责任与保险、违约、索赔、争议解决及补充条款等共计17条。上述条款安排既考虑了现行法律法规对工程建设的有关要求，也考虑了工程勘察管理的特殊需要。</w:t>
      </w:r>
    </w:p>
    <w:p w14:paraId="40B248DB">
      <w:pPr>
        <w:pStyle w:val="89"/>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b/>
          <w:color w:val="auto"/>
          <w:sz w:val="30"/>
          <w:szCs w:val="30"/>
          <w:highlight w:val="none"/>
        </w:rPr>
        <w:t>（三）专用合同条款</w:t>
      </w:r>
    </w:p>
    <w:p w14:paraId="0BC8A93B">
      <w:pPr>
        <w:pStyle w:val="89"/>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2A5CD8E">
      <w:pPr>
        <w:pStyle w:val="89"/>
        <w:ind w:right="25" w:rightChars="12"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1.专用合同条款编号应与相应的通用合同条款编号一致；</w:t>
      </w:r>
    </w:p>
    <w:p w14:paraId="174AE03F">
      <w:pPr>
        <w:pStyle w:val="89"/>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2.合同当事人可以通过对专用合同条款的修改，满足具体项目工程勘察的特殊要求，避免直接修改通用合同条款；</w:t>
      </w:r>
    </w:p>
    <w:p w14:paraId="2BE5CE39">
      <w:pPr>
        <w:pStyle w:val="89"/>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3.在专用合同条款中有横道线的地方，合同当事人可针对相应的通用合同条款进行细化、完善、补充、修改或另行约定；如无细化、完善、补充、修改或另行约定，则填写“无”或划“/”。</w:t>
      </w:r>
    </w:p>
    <w:p w14:paraId="7ABF1C08">
      <w:pPr>
        <w:pStyle w:val="89"/>
        <w:ind w:firstLine="600" w:firstLineChars="200"/>
        <w:rPr>
          <w:rStyle w:val="40"/>
          <w:rFonts w:hint="eastAsia" w:ascii="宋体" w:hAnsi="宋体" w:eastAsia="宋体" w:cs="宋体"/>
          <w:bCs/>
          <w:color w:val="auto"/>
          <w:sz w:val="30"/>
          <w:szCs w:val="30"/>
          <w:highlight w:val="none"/>
        </w:rPr>
      </w:pPr>
      <w:r>
        <w:rPr>
          <w:rStyle w:val="40"/>
          <w:rFonts w:hint="eastAsia" w:ascii="宋体" w:hAnsi="宋体" w:eastAsia="宋体" w:cs="宋体"/>
          <w:bCs/>
          <w:color w:val="auto"/>
          <w:sz w:val="30"/>
          <w:szCs w:val="30"/>
          <w:highlight w:val="none"/>
        </w:rPr>
        <w:t>二、《示范文本》的性质和适用范围</w:t>
      </w:r>
    </w:p>
    <w:p w14:paraId="1557DFDD">
      <w:pPr>
        <w:pStyle w:val="89"/>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《示范文本》为非强制性使用文本, 合同当事人可结合工程具体情况，根据《示范文本》订立合同，并按照法律法规和合同约定履行相应的权利义务，承担相应的法律责任。</w:t>
      </w:r>
    </w:p>
    <w:p w14:paraId="23692AD8">
      <w:pPr>
        <w:pStyle w:val="89"/>
        <w:ind w:firstLine="600" w:firstLineChars="200"/>
        <w:jc w:val="left"/>
        <w:rPr>
          <w:rStyle w:val="40"/>
          <w:rFonts w:hint="eastAsia" w:ascii="宋体" w:hAnsi="宋体" w:eastAsia="宋体" w:cs="宋体"/>
          <w:color w:val="auto"/>
          <w:kern w:val="0"/>
          <w:sz w:val="44"/>
          <w:szCs w:val="44"/>
          <w:highlight w:val="none"/>
        </w:rPr>
      </w:pPr>
      <w:r>
        <w:rPr>
          <w:rStyle w:val="40"/>
          <w:rFonts w:hint="eastAsia" w:ascii="宋体" w:hAnsi="宋体" w:eastAsia="宋体" w:cs="宋体"/>
          <w:color w:val="auto"/>
          <w:sz w:val="30"/>
          <w:szCs w:val="30"/>
          <w:highlight w:val="none"/>
        </w:rPr>
        <w:t>《示范文本》适用于岩土工程勘察、岩土工程设计、岩土工程物探/测试/检测/监测、水文地质勘察及工程测量等工程勘察活动，岩土工程设计也可使用《建设工程设计合同示范文本（专业建设工程）》（GF-2015-0210</w:t>
      </w:r>
      <w:r>
        <w:rPr>
          <w:rStyle w:val="40"/>
          <w:rFonts w:hint="eastAsia" w:ascii="宋体" w:hAnsi="宋体" w:eastAsia="宋体" w:cs="宋体"/>
          <w:color w:val="auto"/>
          <w:sz w:val="30"/>
          <w:szCs w:val="30"/>
          <w:highlight w:val="none"/>
          <w:lang w:eastAsia="zh-CN"/>
        </w:rPr>
        <w:t>）。</w:t>
      </w:r>
    </w:p>
    <w:p w14:paraId="1185C1C0">
      <w:pPr>
        <w:pStyle w:val="89"/>
        <w:tabs>
          <w:tab w:val="left" w:pos="2580"/>
          <w:tab w:val="center" w:pos="5121"/>
        </w:tabs>
        <w:snapToGrid w:val="0"/>
        <w:spacing w:line="360" w:lineRule="auto"/>
        <w:jc w:val="center"/>
        <w:outlineLvl w:val="0"/>
        <w:rPr>
          <w:rStyle w:val="40"/>
          <w:rFonts w:hint="eastAsia" w:ascii="宋体" w:hAnsi="宋体" w:eastAsia="宋体" w:cs="宋体"/>
          <w:color w:val="auto"/>
          <w:kern w:val="0"/>
          <w:sz w:val="44"/>
          <w:szCs w:val="44"/>
          <w:highlight w:val="none"/>
        </w:rPr>
      </w:pPr>
      <w:bookmarkStart w:id="1149" w:name="_Toc27538"/>
      <w:bookmarkStart w:id="1150" w:name="_Toc406150409"/>
      <w:r>
        <w:rPr>
          <w:rStyle w:val="40"/>
          <w:rFonts w:hint="eastAsia" w:ascii="宋体" w:hAnsi="宋体" w:eastAsia="宋体" w:cs="宋体"/>
          <w:color w:val="auto"/>
          <w:kern w:val="0"/>
          <w:sz w:val="44"/>
          <w:szCs w:val="44"/>
          <w:highlight w:val="none"/>
        </w:rPr>
        <w:br w:type="page"/>
      </w:r>
      <w:r>
        <w:rPr>
          <w:rStyle w:val="40"/>
          <w:rFonts w:hint="eastAsia" w:ascii="宋体" w:hAnsi="宋体" w:eastAsia="宋体" w:cs="宋体"/>
          <w:color w:val="auto"/>
          <w:kern w:val="0"/>
          <w:sz w:val="44"/>
          <w:szCs w:val="44"/>
          <w:highlight w:val="none"/>
        </w:rPr>
        <w:t>第一部分　合同协议书</w:t>
      </w:r>
      <w:bookmarkEnd w:id="1149"/>
      <w:bookmarkEnd w:id="1150"/>
    </w:p>
    <w:p w14:paraId="386D705D">
      <w:pPr>
        <w:pStyle w:val="89"/>
        <w:adjustRightInd w:val="0"/>
        <w:snapToGrid w:val="0"/>
        <w:spacing w:line="360" w:lineRule="auto"/>
        <w:ind w:firstLine="602"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b/>
          <w:color w:val="auto"/>
          <w:kern w:val="0"/>
          <w:sz w:val="30"/>
          <w:szCs w:val="30"/>
          <w:highlight w:val="none"/>
        </w:rPr>
        <w:t>发包人（全称）</w:t>
      </w:r>
      <w:r>
        <w:rPr>
          <w:rStyle w:val="40"/>
          <w:rFonts w:hint="eastAsia" w:ascii="宋体" w:hAnsi="宋体" w:eastAsia="宋体" w:cs="宋体"/>
          <w:b/>
          <w:color w:val="auto"/>
          <w:kern w:val="0"/>
          <w:sz w:val="30"/>
          <w:szCs w:val="30"/>
          <w:highlight w:val="none"/>
          <w:lang w:val="en-US" w:eastAsia="zh-CN"/>
        </w:rPr>
        <w:t>:</w:t>
      </w:r>
      <w:r>
        <w:rPr>
          <w:rStyle w:val="40"/>
          <w:rFonts w:hint="eastAsia" w:ascii="宋体" w:hAnsi="宋体" w:eastAsia="宋体" w:cs="宋体"/>
          <w:color w:val="auto"/>
          <w:sz w:val="30"/>
          <w:szCs w:val="30"/>
          <w:highlight w:val="none"/>
          <w:u w:val="single"/>
          <w:lang w:eastAsia="zh-CN"/>
        </w:rPr>
        <w:t>南宁兴邕城市更新有限责任公司</w:t>
      </w:r>
      <w:r>
        <w:rPr>
          <w:rStyle w:val="40"/>
          <w:rFonts w:hint="eastAsia" w:ascii="宋体" w:hAnsi="宋体" w:eastAsia="宋体" w:cs="宋体"/>
          <w:color w:val="auto"/>
          <w:sz w:val="30"/>
          <w:szCs w:val="30"/>
          <w:highlight w:val="none"/>
          <w:u w:val="single"/>
        </w:rPr>
        <w:t xml:space="preserve"> </w:t>
      </w:r>
    </w:p>
    <w:p w14:paraId="3F65A83B">
      <w:pPr>
        <w:pStyle w:val="89"/>
        <w:adjustRightInd w:val="0"/>
        <w:snapToGrid w:val="0"/>
        <w:spacing w:line="360" w:lineRule="auto"/>
        <w:ind w:firstLine="602"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b/>
          <w:color w:val="auto"/>
          <w:kern w:val="0"/>
          <w:sz w:val="30"/>
          <w:szCs w:val="30"/>
          <w:highlight w:val="none"/>
        </w:rPr>
        <w:t>勘察人（全称）：</w:t>
      </w:r>
      <w:r>
        <w:rPr>
          <w:rStyle w:val="40"/>
          <w:rFonts w:hint="eastAsia" w:ascii="宋体" w:hAnsi="宋体" w:eastAsia="宋体" w:cs="宋体"/>
          <w:color w:val="auto"/>
          <w:sz w:val="30"/>
          <w:szCs w:val="30"/>
          <w:highlight w:val="none"/>
          <w:u w:val="single"/>
          <w:lang w:val="en-US" w:eastAsia="zh-CN"/>
        </w:rPr>
        <w:t xml:space="preserve">                            </w:t>
      </w:r>
    </w:p>
    <w:p w14:paraId="0B1E14A9">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根据《中华人民共和国</w:t>
      </w:r>
      <w:r>
        <w:rPr>
          <w:rStyle w:val="40"/>
          <w:rFonts w:hint="eastAsia" w:ascii="宋体" w:hAnsi="宋体" w:eastAsia="宋体" w:cs="宋体"/>
          <w:color w:val="auto"/>
          <w:kern w:val="0"/>
          <w:sz w:val="30"/>
          <w:szCs w:val="30"/>
          <w:highlight w:val="none"/>
          <w:lang w:eastAsia="zh-CN"/>
        </w:rPr>
        <w:t>民法典</w:t>
      </w:r>
      <w:r>
        <w:rPr>
          <w:rStyle w:val="40"/>
          <w:rFonts w:hint="eastAsia" w:ascii="宋体" w:hAnsi="宋体" w:eastAsia="宋体" w:cs="宋体"/>
          <w:color w:val="auto"/>
          <w:kern w:val="0"/>
          <w:sz w:val="30"/>
          <w:szCs w:val="30"/>
          <w:highlight w:val="none"/>
        </w:rPr>
        <w:t>》、《中华人民共和国建筑法》、</w:t>
      </w:r>
      <w:r>
        <w:rPr>
          <w:rStyle w:val="40"/>
          <w:rFonts w:hint="eastAsia" w:ascii="宋体" w:hAnsi="宋体" w:eastAsia="宋体" w:cs="宋体"/>
          <w:color w:val="auto"/>
          <w:sz w:val="30"/>
          <w:szCs w:val="30"/>
          <w:highlight w:val="none"/>
        </w:rPr>
        <w:t>《中华人民共和国招标投标法》</w:t>
      </w:r>
      <w:r>
        <w:rPr>
          <w:rStyle w:val="40"/>
          <w:rFonts w:hint="eastAsia" w:ascii="宋体" w:hAnsi="宋体" w:eastAsia="宋体" w:cs="宋体"/>
          <w:color w:val="auto"/>
          <w:kern w:val="0"/>
          <w:sz w:val="30"/>
          <w:szCs w:val="30"/>
          <w:highlight w:val="none"/>
        </w:rPr>
        <w:t>等相关法律法规的规定，遵循平等、自愿、公平和诚实信用的原则，双方就</w:t>
      </w:r>
      <w:r>
        <w:rPr>
          <w:rStyle w:val="40"/>
          <w:rFonts w:hint="eastAsia" w:ascii="宋体" w:hAnsi="宋体" w:eastAsia="宋体" w:cs="宋体"/>
          <w:color w:val="auto"/>
          <w:sz w:val="30"/>
          <w:szCs w:val="30"/>
          <w:highlight w:val="none"/>
          <w:u w:val="single"/>
          <w:lang w:eastAsia="zh-CN"/>
        </w:rPr>
        <w:t xml:space="preserve"> （项目名称）勘察</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kern w:val="0"/>
          <w:sz w:val="30"/>
          <w:szCs w:val="30"/>
          <w:highlight w:val="none"/>
        </w:rPr>
        <w:t>项目工程勘察有关事项协商一致，达成如下协议。</w:t>
      </w:r>
    </w:p>
    <w:p w14:paraId="7D8BF616">
      <w:pPr>
        <w:pStyle w:val="89"/>
        <w:tabs>
          <w:tab w:val="left" w:pos="54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bookmarkStart w:id="1151" w:name="_Toc406150410"/>
      <w:r>
        <w:rPr>
          <w:rStyle w:val="40"/>
          <w:rFonts w:hint="eastAsia" w:ascii="宋体" w:hAnsi="宋体" w:eastAsia="宋体" w:cs="宋体"/>
          <w:b/>
          <w:color w:val="auto"/>
          <w:kern w:val="0"/>
          <w:sz w:val="30"/>
          <w:szCs w:val="30"/>
          <w:highlight w:val="none"/>
        </w:rPr>
        <w:t>一、工程概况</w:t>
      </w:r>
      <w:bookmarkEnd w:id="1151"/>
    </w:p>
    <w:p w14:paraId="6B922EDD">
      <w:pPr>
        <w:pStyle w:val="89"/>
        <w:keepNext w:val="0"/>
        <w:keepLines w:val="0"/>
        <w:widowControl/>
        <w:suppressLineNumbers w:val="0"/>
        <w:ind w:firstLine="600" w:firstLineChars="200"/>
        <w:jc w:val="left"/>
        <w:rPr>
          <w:rStyle w:val="40"/>
          <w:rFonts w:ascii="Calibri" w:hAnsi="Calibri" w:eastAsia="宋体" w:cs="Times New Roman"/>
          <w:color w:val="auto"/>
          <w:highlight w:val="none"/>
          <w:u w:val="single"/>
        </w:rPr>
      </w:pPr>
      <w:r>
        <w:rPr>
          <w:rStyle w:val="40"/>
          <w:rFonts w:hint="eastAsia" w:ascii="宋体" w:hAnsi="宋体" w:eastAsia="宋体" w:cs="宋体"/>
          <w:color w:val="auto"/>
          <w:kern w:val="0"/>
          <w:sz w:val="30"/>
          <w:szCs w:val="30"/>
          <w:highlight w:val="none"/>
        </w:rPr>
        <w:t>1.工程名称：</w:t>
      </w:r>
      <w:r>
        <w:rPr>
          <w:rStyle w:val="40"/>
          <w:rFonts w:hint="eastAsia" w:ascii="宋体" w:hAnsi="宋体" w:eastAsia="宋体" w:cs="宋体"/>
          <w:color w:val="auto"/>
          <w:kern w:val="0"/>
          <w:sz w:val="30"/>
          <w:szCs w:val="30"/>
          <w:highlight w:val="none"/>
          <w:u w:val="single"/>
          <w:lang w:val="en-US" w:eastAsia="zh-CN"/>
        </w:rPr>
        <w:t xml:space="preserve">（项目名称）勘察    </w:t>
      </w:r>
    </w:p>
    <w:p w14:paraId="0B25F031">
      <w:pPr>
        <w:pStyle w:val="89"/>
        <w:adjustRightInd w:val="0"/>
        <w:snapToGrid w:val="0"/>
        <w:spacing w:line="360" w:lineRule="auto"/>
        <w:ind w:firstLine="600" w:firstLineChars="200"/>
        <w:jc w:val="left"/>
        <w:rPr>
          <w:rStyle w:val="40"/>
          <w:rFonts w:hint="default" w:ascii="宋体" w:hAnsi="宋体" w:eastAsia="宋体" w:cs="宋体"/>
          <w:color w:val="auto"/>
          <w:kern w:val="0"/>
          <w:sz w:val="30"/>
          <w:szCs w:val="30"/>
          <w:highlight w:val="none"/>
          <w:lang w:val="en-US" w:eastAsia="zh-CN"/>
        </w:rPr>
      </w:pPr>
      <w:r>
        <w:rPr>
          <w:rStyle w:val="40"/>
          <w:rFonts w:hint="eastAsia" w:ascii="宋体" w:hAnsi="宋体" w:eastAsia="宋体" w:cs="宋体"/>
          <w:color w:val="auto"/>
          <w:kern w:val="0"/>
          <w:sz w:val="30"/>
          <w:szCs w:val="30"/>
          <w:highlight w:val="none"/>
        </w:rPr>
        <w:t>2.工程地点：</w:t>
      </w:r>
      <w:r>
        <w:rPr>
          <w:rStyle w:val="40"/>
          <w:rFonts w:hint="eastAsia" w:ascii="宋体" w:hAnsi="宋体" w:eastAsia="宋体" w:cs="宋体"/>
          <w:color w:val="auto"/>
          <w:sz w:val="30"/>
          <w:szCs w:val="30"/>
          <w:highlight w:val="none"/>
          <w:u w:val="single"/>
          <w:lang w:val="en-US" w:eastAsia="zh-CN"/>
        </w:rPr>
        <w:t xml:space="preserve">               </w:t>
      </w:r>
    </w:p>
    <w:p w14:paraId="3520198D">
      <w:pPr>
        <w:pStyle w:val="89"/>
        <w:pageBreakBefore w:val="0"/>
        <w:widowControl w:val="0"/>
        <w:kinsoku/>
        <w:wordWrap/>
        <w:overflowPunct/>
        <w:topLinePunct w:val="0"/>
        <w:autoSpaceDE/>
        <w:autoSpaceDN/>
        <w:bidi w:val="0"/>
        <w:adjustRightInd/>
        <w:spacing w:line="360" w:lineRule="auto"/>
        <w:ind w:firstLine="600" w:firstLineChars="200"/>
        <w:textAlignment w:val="auto"/>
        <w:rPr>
          <w:rStyle w:val="40"/>
          <w:rFonts w:hint="default"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kern w:val="0"/>
          <w:sz w:val="30"/>
          <w:szCs w:val="30"/>
          <w:highlight w:val="none"/>
        </w:rPr>
        <w:t xml:space="preserve">3.工程规模、特征： </w:t>
      </w:r>
      <w:r>
        <w:rPr>
          <w:rStyle w:val="40"/>
          <w:rFonts w:hint="eastAsia" w:ascii="宋体" w:hAnsi="宋体" w:eastAsia="宋体" w:cs="宋体"/>
          <w:color w:val="auto"/>
          <w:kern w:val="0"/>
          <w:sz w:val="30"/>
          <w:szCs w:val="30"/>
          <w:highlight w:val="none"/>
          <w:u w:val="single"/>
          <w:lang w:val="en-US" w:eastAsia="zh-CN"/>
        </w:rPr>
        <w:t xml:space="preserve">                                       </w:t>
      </w:r>
    </w:p>
    <w:p w14:paraId="4A0D15D9">
      <w:pPr>
        <w:pStyle w:val="89"/>
        <w:tabs>
          <w:tab w:val="left" w:pos="54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r>
        <w:rPr>
          <w:rStyle w:val="40"/>
          <w:rFonts w:hint="eastAsia" w:ascii="宋体" w:hAnsi="宋体" w:eastAsia="宋体" w:cs="宋体"/>
          <w:b/>
          <w:color w:val="auto"/>
          <w:kern w:val="0"/>
          <w:sz w:val="30"/>
          <w:szCs w:val="30"/>
          <w:highlight w:val="none"/>
        </w:rPr>
        <w:t>二、勘察范围和阶段、技术要求及工作量</w:t>
      </w:r>
    </w:p>
    <w:p w14:paraId="00433398">
      <w:pPr>
        <w:pStyle w:val="89"/>
        <w:adjustRightInd w:val="0"/>
        <w:snapToGrid w:val="0"/>
        <w:spacing w:line="360" w:lineRule="auto"/>
        <w:ind w:firstLine="600" w:firstLineChars="200"/>
        <w:jc w:val="left"/>
        <w:rPr>
          <w:rStyle w:val="40"/>
          <w:rFonts w:hint="default" w:ascii="宋体" w:hAnsi="宋体" w:eastAsia="宋体" w:cs="宋体"/>
          <w:color w:val="auto"/>
          <w:kern w:val="0"/>
          <w:sz w:val="30"/>
          <w:szCs w:val="30"/>
          <w:highlight w:val="none"/>
          <w:lang w:val="en-US" w:eastAsia="zh-CN"/>
        </w:rPr>
      </w:pPr>
      <w:r>
        <w:rPr>
          <w:rStyle w:val="40"/>
          <w:rFonts w:hint="eastAsia" w:ascii="宋体" w:hAnsi="宋体" w:eastAsia="宋体" w:cs="宋体"/>
          <w:color w:val="auto"/>
          <w:kern w:val="0"/>
          <w:sz w:val="30"/>
          <w:szCs w:val="30"/>
          <w:highlight w:val="none"/>
        </w:rPr>
        <w:t>1.勘察范围和阶段：</w:t>
      </w:r>
      <w:r>
        <w:rPr>
          <w:rStyle w:val="40"/>
          <w:rFonts w:hint="eastAsia" w:ascii="宋体" w:hAnsi="宋体" w:eastAsia="宋体" w:cs="宋体"/>
          <w:color w:val="auto"/>
          <w:sz w:val="30"/>
          <w:szCs w:val="30"/>
          <w:highlight w:val="none"/>
          <w:u w:val="single"/>
          <w:lang w:val="en-US" w:eastAsia="zh-CN"/>
        </w:rPr>
        <w:t xml:space="preserve">                                  </w:t>
      </w:r>
    </w:p>
    <w:p w14:paraId="0877DE6A">
      <w:pPr>
        <w:pStyle w:val="89"/>
        <w:tabs>
          <w:tab w:val="left" w:pos="540"/>
        </w:tabs>
        <w:spacing w:line="500" w:lineRule="exact"/>
        <w:ind w:firstLine="600" w:firstLineChars="200"/>
        <w:rPr>
          <w:rStyle w:val="40"/>
          <w:rFonts w:hint="default" w:ascii="宋体" w:hAnsi="宋体" w:eastAsia="宋体" w:cs="宋体"/>
          <w:color w:val="auto"/>
          <w:sz w:val="30"/>
          <w:szCs w:val="30"/>
          <w:highlight w:val="none"/>
          <w:u w:val="single"/>
          <w:lang w:val="en-US"/>
        </w:rPr>
      </w:pPr>
      <w:r>
        <w:rPr>
          <w:rStyle w:val="40"/>
          <w:rFonts w:hint="eastAsia" w:ascii="宋体" w:hAnsi="宋体" w:eastAsia="宋体" w:cs="宋体"/>
          <w:color w:val="auto"/>
          <w:kern w:val="0"/>
          <w:sz w:val="30"/>
          <w:szCs w:val="30"/>
          <w:highlight w:val="none"/>
        </w:rPr>
        <w:t>2.技术要求：</w:t>
      </w:r>
      <w:r>
        <w:rPr>
          <w:rStyle w:val="40"/>
          <w:rFonts w:hint="eastAsia" w:ascii="宋体" w:hAnsi="宋体" w:eastAsia="宋体" w:cs="宋体"/>
          <w:color w:val="auto"/>
          <w:sz w:val="30"/>
          <w:szCs w:val="30"/>
          <w:highlight w:val="none"/>
          <w:u w:val="single"/>
          <w:lang w:val="en-US" w:eastAsia="zh-CN"/>
        </w:rPr>
        <w:t xml:space="preserve">                                     </w:t>
      </w:r>
    </w:p>
    <w:p w14:paraId="4FCACA53">
      <w:pPr>
        <w:pStyle w:val="89"/>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Style w:val="40"/>
          <w:rFonts w:hint="eastAsia" w:ascii="Calibri" w:hAnsi="Calibri" w:eastAsia="宋体" w:cs="Times New Roman"/>
          <w:color w:val="auto"/>
          <w:highlight w:val="none"/>
        </w:rPr>
      </w:pPr>
      <w:r>
        <w:rPr>
          <w:rStyle w:val="40"/>
          <w:rFonts w:hint="eastAsia" w:ascii="宋体" w:hAnsi="宋体" w:eastAsia="宋体" w:cs="宋体"/>
          <w:color w:val="auto"/>
          <w:kern w:val="0"/>
          <w:sz w:val="30"/>
          <w:szCs w:val="30"/>
          <w:highlight w:val="none"/>
        </w:rPr>
        <w:t>3.工作量</w:t>
      </w:r>
      <w:r>
        <w:rPr>
          <w:rStyle w:val="40"/>
          <w:rFonts w:hint="eastAsia" w:ascii="宋体" w:hAnsi="宋体" w:eastAsia="宋体" w:cs="宋体"/>
          <w:color w:val="auto"/>
          <w:kern w:val="0"/>
          <w:sz w:val="30"/>
          <w:szCs w:val="30"/>
          <w:highlight w:val="none"/>
          <w:lang w:eastAsia="zh-CN"/>
        </w:rPr>
        <w:t>：</w:t>
      </w:r>
      <w:r>
        <w:rPr>
          <w:rStyle w:val="40"/>
          <w:rFonts w:hint="eastAsia" w:ascii="宋体" w:hAnsi="宋体" w:eastAsia="宋体" w:cs="宋体"/>
          <w:color w:val="auto"/>
          <w:sz w:val="30"/>
          <w:szCs w:val="30"/>
          <w:highlight w:val="none"/>
          <w:u w:val="single"/>
          <w:lang w:val="en-US" w:eastAsia="zh-CN"/>
        </w:rPr>
        <w:t xml:space="preserve">                                        </w:t>
      </w:r>
    </w:p>
    <w:p w14:paraId="3E711E13">
      <w:pPr>
        <w:pStyle w:val="89"/>
        <w:tabs>
          <w:tab w:val="left" w:pos="54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bookmarkStart w:id="1152" w:name="_Toc406150412"/>
      <w:r>
        <w:rPr>
          <w:rStyle w:val="40"/>
          <w:rFonts w:hint="eastAsia" w:ascii="宋体" w:hAnsi="宋体" w:eastAsia="宋体" w:cs="宋体"/>
          <w:b/>
          <w:color w:val="auto"/>
          <w:kern w:val="0"/>
          <w:sz w:val="30"/>
          <w:szCs w:val="30"/>
          <w:highlight w:val="none"/>
        </w:rPr>
        <w:t>三、合同工期</w:t>
      </w:r>
      <w:bookmarkEnd w:id="1152"/>
    </w:p>
    <w:p w14:paraId="192FEBB3">
      <w:pPr>
        <w:pStyle w:val="89"/>
        <w:tabs>
          <w:tab w:val="center" w:pos="4680"/>
        </w:tabs>
        <w:adjustRightInd w:val="0"/>
        <w:snapToGrid w:val="0"/>
        <w:spacing w:line="360" w:lineRule="auto"/>
        <w:ind w:left="1196" w:leftChars="284" w:hanging="600" w:hangingChars="200"/>
        <w:jc w:val="left"/>
        <w:rPr>
          <w:rStyle w:val="40"/>
          <w:rFonts w:hint="eastAsia" w:ascii="宋体" w:hAnsi="宋体" w:eastAsia="宋体" w:cs="宋体"/>
          <w:color w:val="auto"/>
          <w:kern w:val="0"/>
          <w:sz w:val="30"/>
          <w:szCs w:val="30"/>
          <w:highlight w:val="none"/>
          <w:lang w:val="en-US"/>
        </w:rPr>
      </w:pPr>
      <w:r>
        <w:rPr>
          <w:rStyle w:val="40"/>
          <w:rFonts w:hint="eastAsia" w:ascii="宋体" w:hAnsi="宋体" w:eastAsia="宋体" w:cs="宋体"/>
          <w:color w:val="auto"/>
          <w:kern w:val="0"/>
          <w:sz w:val="30"/>
          <w:szCs w:val="30"/>
          <w:highlight w:val="none"/>
        </w:rPr>
        <w:t>1.开工日期：</w:t>
      </w:r>
      <w:r>
        <w:rPr>
          <w:rStyle w:val="40"/>
          <w:rFonts w:hint="eastAsia" w:ascii="宋体" w:hAnsi="宋体" w:eastAsia="宋体" w:cs="宋体"/>
          <w:color w:val="auto"/>
          <w:kern w:val="0"/>
          <w:sz w:val="30"/>
          <w:szCs w:val="30"/>
          <w:highlight w:val="none"/>
          <w:u w:val="single"/>
          <w:lang w:val="en-US" w:eastAsia="zh-CN"/>
        </w:rPr>
        <w:t>202 年   月    日</w:t>
      </w:r>
    </w:p>
    <w:p w14:paraId="52F298B9">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lang w:val="en-US"/>
        </w:rPr>
      </w:pPr>
      <w:r>
        <w:rPr>
          <w:rStyle w:val="40"/>
          <w:rFonts w:hint="eastAsia" w:ascii="宋体" w:hAnsi="宋体" w:eastAsia="宋体" w:cs="宋体"/>
          <w:color w:val="auto"/>
          <w:kern w:val="0"/>
          <w:sz w:val="30"/>
          <w:szCs w:val="30"/>
          <w:highlight w:val="none"/>
        </w:rPr>
        <w:t>2.成果提交日期：</w:t>
      </w:r>
      <w:r>
        <w:rPr>
          <w:rStyle w:val="40"/>
          <w:rFonts w:hint="eastAsia" w:ascii="宋体" w:hAnsi="宋体" w:eastAsia="宋体" w:cs="宋体"/>
          <w:color w:val="auto"/>
          <w:kern w:val="0"/>
          <w:sz w:val="30"/>
          <w:szCs w:val="30"/>
          <w:highlight w:val="none"/>
          <w:u w:val="single"/>
          <w:lang w:val="en-US" w:eastAsia="zh-CN"/>
        </w:rPr>
        <w:t xml:space="preserve">202 年   月   日 </w:t>
      </w:r>
    </w:p>
    <w:p w14:paraId="4CCBF410">
      <w:pPr>
        <w:pStyle w:val="89"/>
        <w:adjustRightInd w:val="0"/>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3.合同工期（总日历天数）</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i w:val="0"/>
          <w:iCs w:val="0"/>
          <w:color w:val="auto"/>
          <w:kern w:val="0"/>
          <w:sz w:val="30"/>
          <w:szCs w:val="30"/>
          <w:highlight w:val="none"/>
          <w:u w:val="single"/>
          <w:lang w:val="en-US" w:eastAsia="zh-CN"/>
        </w:rPr>
        <w:t xml:space="preserve">   </w:t>
      </w:r>
      <w:r>
        <w:rPr>
          <w:rStyle w:val="40"/>
          <w:rFonts w:hint="eastAsia" w:ascii="宋体" w:hAnsi="宋体" w:eastAsia="宋体" w:cs="宋体"/>
          <w:color w:val="auto"/>
          <w:kern w:val="0"/>
          <w:sz w:val="30"/>
          <w:szCs w:val="30"/>
          <w:highlight w:val="none"/>
        </w:rPr>
        <w:t>天</w:t>
      </w:r>
    </w:p>
    <w:p w14:paraId="0FDEB4F0">
      <w:pPr>
        <w:pStyle w:val="89"/>
        <w:tabs>
          <w:tab w:val="left" w:pos="54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bookmarkStart w:id="1153" w:name="_Toc406150413"/>
      <w:r>
        <w:rPr>
          <w:rStyle w:val="40"/>
          <w:rFonts w:hint="eastAsia" w:ascii="宋体" w:hAnsi="宋体" w:eastAsia="宋体" w:cs="宋体"/>
          <w:b/>
          <w:color w:val="auto"/>
          <w:kern w:val="0"/>
          <w:sz w:val="30"/>
          <w:szCs w:val="30"/>
          <w:highlight w:val="none"/>
        </w:rPr>
        <w:t>四、质量标准</w:t>
      </w:r>
      <w:bookmarkEnd w:id="1153"/>
    </w:p>
    <w:p w14:paraId="2DE39BD2">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质量标准：</w:t>
      </w:r>
      <w:r>
        <w:rPr>
          <w:rStyle w:val="40"/>
          <w:rFonts w:hint="eastAsia" w:ascii="宋体" w:hAnsi="宋体" w:eastAsia="宋体" w:cs="宋体"/>
          <w:color w:val="auto"/>
          <w:sz w:val="30"/>
          <w:szCs w:val="30"/>
          <w:highlight w:val="none"/>
          <w:u w:val="single"/>
        </w:rPr>
        <w:t>真实反映地质情况，符合有关国家质量标准、技术规范及规程并满足设计、施工要求，并通过有关行政主管部门备案。</w:t>
      </w:r>
    </w:p>
    <w:p w14:paraId="76424549">
      <w:pPr>
        <w:pStyle w:val="89"/>
        <w:tabs>
          <w:tab w:val="left" w:pos="54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bookmarkStart w:id="1154" w:name="_Toc406150414"/>
      <w:r>
        <w:rPr>
          <w:rStyle w:val="40"/>
          <w:rFonts w:hint="eastAsia" w:ascii="宋体" w:hAnsi="宋体" w:eastAsia="宋体" w:cs="宋体"/>
          <w:b/>
          <w:color w:val="auto"/>
          <w:kern w:val="0"/>
          <w:sz w:val="30"/>
          <w:szCs w:val="30"/>
          <w:highlight w:val="none"/>
        </w:rPr>
        <w:t>五、合同价款</w:t>
      </w:r>
      <w:bookmarkEnd w:id="1154"/>
    </w:p>
    <w:p w14:paraId="24B899F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u w:val="single"/>
          <w:lang w:eastAsia="zh-CN"/>
        </w:rPr>
      </w:pPr>
      <w:r>
        <w:rPr>
          <w:rStyle w:val="40"/>
          <w:rFonts w:hint="eastAsia" w:ascii="宋体" w:hAnsi="宋体" w:eastAsia="宋体" w:cs="宋体"/>
          <w:color w:val="auto"/>
          <w:kern w:val="0"/>
          <w:sz w:val="30"/>
          <w:szCs w:val="30"/>
          <w:highlight w:val="none"/>
        </w:rPr>
        <w:t>1.合同</w:t>
      </w:r>
      <w:r>
        <w:rPr>
          <w:rStyle w:val="40"/>
          <w:rFonts w:hint="eastAsia" w:ascii="宋体" w:hAnsi="宋体" w:eastAsia="宋体" w:cs="宋体"/>
          <w:color w:val="auto"/>
          <w:kern w:val="0"/>
          <w:sz w:val="30"/>
          <w:szCs w:val="30"/>
          <w:highlight w:val="none"/>
          <w:lang w:eastAsia="zh-CN"/>
        </w:rPr>
        <w:t>含增值税</w:t>
      </w:r>
      <w:r>
        <w:rPr>
          <w:rStyle w:val="40"/>
          <w:rFonts w:hint="eastAsia" w:ascii="宋体" w:hAnsi="宋体" w:eastAsia="宋体" w:cs="宋体"/>
          <w:color w:val="auto"/>
          <w:kern w:val="0"/>
          <w:sz w:val="30"/>
          <w:szCs w:val="30"/>
          <w:highlight w:val="none"/>
        </w:rPr>
        <w:t>价款金额：人民币（大写）</w:t>
      </w:r>
      <w:r>
        <w:rPr>
          <w:rStyle w:val="40"/>
          <w:rFonts w:hint="eastAsia" w:ascii="宋体" w:hAnsi="宋体" w:eastAsia="宋体" w:cs="宋体"/>
          <w:color w:val="auto"/>
          <w:kern w:val="0"/>
          <w:sz w:val="30"/>
          <w:szCs w:val="30"/>
          <w:highlight w:val="none"/>
          <w:lang w:eastAsia="zh-CN"/>
        </w:rPr>
        <w:t>：</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color w:val="auto"/>
          <w:kern w:val="0"/>
          <w:sz w:val="30"/>
          <w:szCs w:val="30"/>
          <w:highlight w:val="none"/>
          <w:u w:val="single"/>
          <w:lang w:eastAsia="zh-CN"/>
        </w:rPr>
        <w:t>（¥</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color w:val="auto"/>
          <w:kern w:val="0"/>
          <w:sz w:val="30"/>
          <w:szCs w:val="30"/>
          <w:highlight w:val="none"/>
          <w:u w:val="single"/>
          <w:lang w:eastAsia="zh-CN"/>
        </w:rPr>
        <w:t>）</w:t>
      </w:r>
    </w:p>
    <w:p w14:paraId="34780342">
      <w:pPr>
        <w:pStyle w:val="89"/>
        <w:adjustRightInd w:val="0"/>
        <w:snapToGrid w:val="0"/>
        <w:spacing w:line="360" w:lineRule="auto"/>
        <w:ind w:firstLine="600" w:firstLineChars="200"/>
        <w:jc w:val="left"/>
        <w:rPr>
          <w:rStyle w:val="40"/>
          <w:rFonts w:hint="default" w:ascii="宋体" w:hAnsi="宋体" w:eastAsia="宋体" w:cs="宋体"/>
          <w:color w:val="auto"/>
          <w:kern w:val="0"/>
          <w:sz w:val="30"/>
          <w:szCs w:val="30"/>
          <w:highlight w:val="none"/>
          <w:lang w:val="en-US" w:eastAsia="zh-CN"/>
        </w:rPr>
      </w:pPr>
      <w:r>
        <w:rPr>
          <w:rStyle w:val="40"/>
          <w:rFonts w:hint="eastAsia" w:ascii="宋体" w:hAnsi="宋体" w:eastAsia="宋体" w:cs="宋体"/>
          <w:color w:val="auto"/>
          <w:kern w:val="0"/>
          <w:sz w:val="30"/>
          <w:szCs w:val="30"/>
          <w:highlight w:val="none"/>
        </w:rPr>
        <w:t>2.合同价款形式：</w:t>
      </w:r>
      <w:bookmarkStart w:id="1155" w:name="OLE_LINK42"/>
      <w:r>
        <w:rPr>
          <w:rStyle w:val="40"/>
          <w:rFonts w:hint="eastAsia" w:ascii="宋体" w:hAnsi="宋体" w:eastAsia="宋体" w:cs="宋体"/>
          <w:bCs/>
          <w:color w:val="auto"/>
          <w:kern w:val="0"/>
          <w:sz w:val="30"/>
          <w:szCs w:val="30"/>
          <w:highlight w:val="none"/>
          <w:u w:val="single"/>
        </w:rPr>
        <w:t>本合同价款为暂定价，最终的勘察费按实际勘察岩土类型和完成的工作量结算</w:t>
      </w:r>
      <w:r>
        <w:rPr>
          <w:rStyle w:val="40"/>
          <w:rFonts w:hint="eastAsia" w:ascii="宋体" w:hAnsi="宋体" w:eastAsia="宋体" w:cs="宋体"/>
          <w:bCs/>
          <w:color w:val="auto"/>
          <w:kern w:val="0"/>
          <w:sz w:val="30"/>
          <w:szCs w:val="30"/>
          <w:highlight w:val="none"/>
          <w:u w:val="single"/>
          <w:lang w:eastAsia="zh-CN"/>
        </w:rPr>
        <w:t>，</w:t>
      </w:r>
      <w:r>
        <w:rPr>
          <w:rStyle w:val="40"/>
          <w:rFonts w:hint="eastAsia" w:ascii="宋体" w:hAnsi="宋体" w:eastAsia="宋体" w:cs="宋体"/>
          <w:color w:val="auto"/>
          <w:sz w:val="30"/>
          <w:szCs w:val="30"/>
          <w:highlight w:val="none"/>
          <w:u w:val="single"/>
          <w:lang w:eastAsia="zh-CN"/>
        </w:rPr>
        <w:t>但对超设计规范及标准的超钻部分，不予计量。</w:t>
      </w:r>
      <w:r>
        <w:rPr>
          <w:rStyle w:val="40"/>
          <w:rFonts w:hint="eastAsia" w:ascii="宋体" w:hAnsi="宋体" w:eastAsia="宋体" w:cs="宋体"/>
          <w:bCs/>
          <w:color w:val="auto"/>
          <w:kern w:val="0"/>
          <w:sz w:val="30"/>
          <w:szCs w:val="30"/>
          <w:highlight w:val="none"/>
          <w:u w:val="single"/>
        </w:rPr>
        <w:t>[计算公式：勘察费=</w:t>
      </w:r>
      <w:bookmarkStart w:id="1156" w:name="OLE_LINK45"/>
      <w:r>
        <w:rPr>
          <w:rStyle w:val="40"/>
          <w:rFonts w:hint="eastAsia" w:ascii="宋体" w:hAnsi="宋体" w:eastAsia="宋体" w:cs="宋体"/>
          <w:bCs/>
          <w:color w:val="auto"/>
          <w:kern w:val="0"/>
          <w:sz w:val="30"/>
          <w:szCs w:val="30"/>
          <w:highlight w:val="none"/>
          <w:u w:val="single"/>
        </w:rPr>
        <w:t>勘察费收费基</w:t>
      </w:r>
      <w:bookmarkEnd w:id="1156"/>
      <w:r>
        <w:rPr>
          <w:rStyle w:val="40"/>
          <w:rFonts w:hint="eastAsia" w:ascii="宋体" w:hAnsi="宋体" w:eastAsia="宋体" w:cs="宋体"/>
          <w:bCs/>
          <w:color w:val="auto"/>
          <w:kern w:val="0"/>
          <w:sz w:val="30"/>
          <w:szCs w:val="30"/>
          <w:highlight w:val="none"/>
          <w:u w:val="single"/>
        </w:rPr>
        <w:t>价×（1-</w:t>
      </w:r>
      <w:r>
        <w:rPr>
          <w:rStyle w:val="40"/>
          <w:rFonts w:hint="eastAsia" w:ascii="宋体" w:hAnsi="宋体" w:eastAsia="宋体" w:cs="宋体"/>
          <w:bCs/>
          <w:color w:val="auto"/>
          <w:kern w:val="0"/>
          <w:sz w:val="30"/>
          <w:szCs w:val="30"/>
          <w:highlight w:val="none"/>
          <w:u w:val="single"/>
          <w:lang w:val="en-US" w:eastAsia="zh-CN"/>
        </w:rPr>
        <w:t>中标下浮系数</w:t>
      </w:r>
      <w:r>
        <w:rPr>
          <w:rStyle w:val="40"/>
          <w:rFonts w:hint="eastAsia" w:ascii="宋体" w:hAnsi="宋体" w:eastAsia="宋体" w:cs="宋体"/>
          <w:bCs/>
          <w:color w:val="auto"/>
          <w:kern w:val="0"/>
          <w:sz w:val="30"/>
          <w:szCs w:val="30"/>
          <w:highlight w:val="none"/>
          <w:u w:val="single"/>
        </w:rPr>
        <w:t>）]，</w:t>
      </w:r>
      <w:r>
        <w:rPr>
          <w:rStyle w:val="40"/>
          <w:rFonts w:hint="eastAsia" w:ascii="宋体" w:hAnsi="宋体" w:eastAsia="宋体" w:cs="宋体"/>
          <w:bCs/>
          <w:color w:val="auto"/>
          <w:kern w:val="0"/>
          <w:sz w:val="30"/>
          <w:szCs w:val="30"/>
          <w:highlight w:val="none"/>
          <w:u w:val="single"/>
          <w:lang w:val="en-US" w:eastAsia="zh-CN"/>
        </w:rPr>
        <w:t>中标下浮系数为   ％，</w:t>
      </w:r>
      <w:r>
        <w:rPr>
          <w:rStyle w:val="40"/>
          <w:rFonts w:hint="eastAsia" w:ascii="宋体" w:hAnsi="宋体" w:eastAsia="宋体" w:cs="宋体"/>
          <w:bCs/>
          <w:color w:val="auto"/>
          <w:kern w:val="0"/>
          <w:sz w:val="30"/>
          <w:szCs w:val="30"/>
          <w:highlight w:val="none"/>
          <w:u w:val="single"/>
        </w:rPr>
        <w:t>本项目最终结算</w:t>
      </w:r>
      <w:r>
        <w:rPr>
          <w:rStyle w:val="40"/>
          <w:rFonts w:hint="eastAsia" w:ascii="宋体" w:hAnsi="宋体" w:eastAsia="宋体" w:cs="宋体"/>
          <w:bCs/>
          <w:color w:val="auto"/>
          <w:sz w:val="30"/>
          <w:szCs w:val="30"/>
          <w:highlight w:val="none"/>
          <w:u w:val="single"/>
        </w:rPr>
        <w:t>价以</w:t>
      </w:r>
      <w:r>
        <w:rPr>
          <w:rStyle w:val="40"/>
          <w:rFonts w:hint="eastAsia" w:ascii="宋体" w:hAnsi="宋体" w:eastAsia="宋体" w:cs="宋体"/>
          <w:bCs/>
          <w:color w:val="auto"/>
          <w:sz w:val="30"/>
          <w:szCs w:val="30"/>
          <w:highlight w:val="none"/>
          <w:u w:val="single"/>
          <w:lang w:eastAsia="zh-CN"/>
        </w:rPr>
        <w:t>按</w:t>
      </w:r>
      <w:r>
        <w:rPr>
          <w:rStyle w:val="40"/>
          <w:rFonts w:hint="eastAsia" w:ascii="宋体" w:hAnsi="宋体" w:eastAsia="宋体" w:cs="宋体"/>
          <w:bCs/>
          <w:color w:val="auto"/>
          <w:kern w:val="0"/>
          <w:sz w:val="30"/>
          <w:szCs w:val="30"/>
          <w:highlight w:val="none"/>
          <w:u w:val="single"/>
        </w:rPr>
        <w:t>国家及南宁市有关规定执行</w:t>
      </w:r>
      <w:r>
        <w:rPr>
          <w:rStyle w:val="40"/>
          <w:rFonts w:hint="eastAsia" w:ascii="宋体" w:hAnsi="宋体" w:eastAsia="宋体" w:cs="宋体"/>
          <w:bCs/>
          <w:color w:val="auto"/>
          <w:sz w:val="30"/>
          <w:szCs w:val="30"/>
          <w:highlight w:val="none"/>
          <w:u w:val="single"/>
        </w:rPr>
        <w:t>审定为准。</w:t>
      </w:r>
      <w:bookmarkEnd w:id="1155"/>
    </w:p>
    <w:p w14:paraId="20821A90">
      <w:pPr>
        <w:pStyle w:val="89"/>
        <w:tabs>
          <w:tab w:val="left" w:pos="54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bookmarkStart w:id="1157" w:name="_Toc406150415"/>
      <w:r>
        <w:rPr>
          <w:rStyle w:val="40"/>
          <w:rFonts w:hint="eastAsia" w:ascii="宋体" w:hAnsi="宋体" w:eastAsia="宋体" w:cs="宋体"/>
          <w:b/>
          <w:color w:val="auto"/>
          <w:kern w:val="0"/>
          <w:sz w:val="30"/>
          <w:szCs w:val="30"/>
          <w:highlight w:val="none"/>
        </w:rPr>
        <w:t>六、合同文件构成</w:t>
      </w:r>
      <w:bookmarkEnd w:id="1157"/>
    </w:p>
    <w:p w14:paraId="3A97F622">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lang w:val="en-US" w:eastAsia="zh-CN"/>
        </w:rPr>
        <w:t>1.</w:t>
      </w:r>
      <w:r>
        <w:rPr>
          <w:rStyle w:val="40"/>
          <w:rFonts w:hint="eastAsia" w:ascii="宋体" w:hAnsi="宋体" w:eastAsia="宋体" w:cs="宋体"/>
          <w:color w:val="auto"/>
          <w:kern w:val="0"/>
          <w:sz w:val="30"/>
          <w:szCs w:val="30"/>
          <w:highlight w:val="none"/>
        </w:rPr>
        <w:t>组成本合同的文件包括：</w:t>
      </w:r>
    </w:p>
    <w:p w14:paraId="5B43CA11">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（1）合同协议书；</w:t>
      </w:r>
    </w:p>
    <w:p w14:paraId="7D57FC14">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（2）专用合同条款及其附件；</w:t>
      </w:r>
    </w:p>
    <w:p w14:paraId="4F8FCFE2">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（3）通用合同条款；</w:t>
      </w:r>
    </w:p>
    <w:p w14:paraId="79C84E2B">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（4）中标通知书（如果有）；</w:t>
      </w:r>
    </w:p>
    <w:p w14:paraId="0B50ED46">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（5）投标文件及其附件（如果有）；</w:t>
      </w:r>
    </w:p>
    <w:p w14:paraId="5985256E">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（6）技术标准和要求；</w:t>
      </w:r>
    </w:p>
    <w:p w14:paraId="54C5516C">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（7）图纸；</w:t>
      </w:r>
    </w:p>
    <w:p w14:paraId="39F970AF">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（8）其他合同文件。</w:t>
      </w:r>
    </w:p>
    <w:p w14:paraId="609CC8FE">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在合同履行过程中形成的与合同有关的文件构成合同文件组成部分。</w:t>
      </w:r>
    </w:p>
    <w:p w14:paraId="0016F2E8">
      <w:pPr>
        <w:pStyle w:val="89"/>
        <w:autoSpaceDE w:val="0"/>
        <w:autoSpaceDN w:val="0"/>
        <w:adjustRightInd w:val="0"/>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2. 上述合同文件互相补充和解释。如果合同文件之间存在矛盾或不一致之处，以上述文件的排列顺序在先者为准。</w:t>
      </w:r>
    </w:p>
    <w:p w14:paraId="666C6682">
      <w:pPr>
        <w:pStyle w:val="89"/>
        <w:autoSpaceDE w:val="0"/>
        <w:autoSpaceDN w:val="0"/>
        <w:adjustRightInd w:val="0"/>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3. 上述各项合同文件包括合同当事人就该项合同文件所作出的补充和修改，属于同一类内容的文件，应以最新签署的为准。</w:t>
      </w:r>
    </w:p>
    <w:p w14:paraId="072A21F7">
      <w:pPr>
        <w:pStyle w:val="89"/>
        <w:tabs>
          <w:tab w:val="left" w:pos="54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r>
        <w:rPr>
          <w:rStyle w:val="40"/>
          <w:rFonts w:hint="eastAsia" w:ascii="宋体" w:hAnsi="宋体" w:eastAsia="宋体" w:cs="宋体"/>
          <w:b/>
          <w:color w:val="auto"/>
          <w:kern w:val="0"/>
          <w:sz w:val="30"/>
          <w:szCs w:val="30"/>
          <w:highlight w:val="none"/>
        </w:rPr>
        <w:t>七、承诺</w:t>
      </w:r>
    </w:p>
    <w:p w14:paraId="298DA488">
      <w:pPr>
        <w:pStyle w:val="89"/>
        <w:tabs>
          <w:tab w:val="left" w:pos="72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 xml:space="preserve"> 1.发包人承诺按照法律规定履行项目审批手续，按照合同约定提供工程勘察条件和相关资料，并按照合同约定的期限和方式支付合同价款。</w:t>
      </w:r>
    </w:p>
    <w:p w14:paraId="51120003">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 xml:space="preserve"> 2.勘察人承诺按照法律法规和技术标准规定及合同约定提供勘察技术服务。　</w:t>
      </w:r>
    </w:p>
    <w:p w14:paraId="7BF12CA5">
      <w:pPr>
        <w:pStyle w:val="89"/>
        <w:tabs>
          <w:tab w:val="left" w:pos="540"/>
          <w:tab w:val="left" w:pos="72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bookmarkStart w:id="1158" w:name="_Toc406150417"/>
      <w:r>
        <w:rPr>
          <w:rStyle w:val="40"/>
          <w:rFonts w:hint="eastAsia" w:ascii="宋体" w:hAnsi="宋体" w:eastAsia="宋体" w:cs="宋体"/>
          <w:b/>
          <w:color w:val="auto"/>
          <w:kern w:val="0"/>
          <w:sz w:val="30"/>
          <w:szCs w:val="30"/>
          <w:highlight w:val="none"/>
        </w:rPr>
        <w:t>八、词语定义</w:t>
      </w:r>
      <w:bookmarkEnd w:id="1158"/>
    </w:p>
    <w:p w14:paraId="56F1C719">
      <w:pPr>
        <w:pStyle w:val="89"/>
        <w:tabs>
          <w:tab w:val="left" w:pos="540"/>
          <w:tab w:val="left" w:pos="720"/>
        </w:tabs>
        <w:adjustRightInd w:val="0"/>
        <w:snapToGrid w:val="0"/>
        <w:spacing w:line="360" w:lineRule="auto"/>
        <w:ind w:firstLine="600" w:firstLineChars="200"/>
        <w:jc w:val="left"/>
        <w:outlineLvl w:val="9"/>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本合同协议书中词语含义与合同第二部分《通用合同条款》中的词语含义相同。</w:t>
      </w:r>
      <w:bookmarkStart w:id="1159" w:name="_Toc406150418"/>
      <w:bookmarkStart w:id="1160" w:name="_Toc351203489"/>
    </w:p>
    <w:p w14:paraId="6B0E6C1C">
      <w:pPr>
        <w:pStyle w:val="89"/>
        <w:tabs>
          <w:tab w:val="left" w:pos="540"/>
          <w:tab w:val="left" w:pos="72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r>
        <w:rPr>
          <w:rStyle w:val="40"/>
          <w:rFonts w:hint="eastAsia" w:ascii="宋体" w:hAnsi="宋体" w:eastAsia="宋体" w:cs="宋体"/>
          <w:b/>
          <w:color w:val="auto"/>
          <w:kern w:val="0"/>
          <w:sz w:val="30"/>
          <w:szCs w:val="30"/>
          <w:highlight w:val="none"/>
        </w:rPr>
        <w:t>九、签订时间</w:t>
      </w:r>
      <w:bookmarkEnd w:id="1159"/>
      <w:bookmarkEnd w:id="1160"/>
    </w:p>
    <w:p w14:paraId="7AC9EF3A">
      <w:pPr>
        <w:pStyle w:val="89"/>
        <w:snapToGrid w:val="0"/>
        <w:spacing w:line="360" w:lineRule="auto"/>
        <w:ind w:firstLine="600" w:firstLineChars="200"/>
        <w:rPr>
          <w:rStyle w:val="40"/>
          <w:rFonts w:hint="eastAsia" w:ascii="宋体" w:hAnsi="宋体" w:eastAsia="宋体" w:cs="宋体"/>
          <w:bCs/>
          <w:color w:val="auto"/>
          <w:sz w:val="30"/>
          <w:szCs w:val="30"/>
          <w:highlight w:val="none"/>
        </w:rPr>
      </w:pPr>
      <w:r>
        <w:rPr>
          <w:rStyle w:val="40"/>
          <w:rFonts w:hint="eastAsia" w:ascii="宋体" w:hAnsi="宋体" w:eastAsia="宋体" w:cs="宋体"/>
          <w:bCs/>
          <w:color w:val="auto"/>
          <w:sz w:val="30"/>
          <w:szCs w:val="30"/>
          <w:highlight w:val="none"/>
        </w:rPr>
        <w:t>本合同于</w:t>
      </w:r>
      <w:r>
        <w:rPr>
          <w:rStyle w:val="40"/>
          <w:rFonts w:hint="eastAsia" w:ascii="宋体" w:hAnsi="宋体" w:eastAsia="宋体" w:cs="宋体"/>
          <w:bCs/>
          <w:color w:val="auto"/>
          <w:sz w:val="30"/>
          <w:szCs w:val="30"/>
          <w:highlight w:val="none"/>
          <w:u w:val="single"/>
        </w:rPr>
        <w:t xml:space="preserve"> </w:t>
      </w:r>
      <w:r>
        <w:rPr>
          <w:rStyle w:val="40"/>
          <w:rFonts w:hint="eastAsia" w:ascii="宋体" w:hAnsi="宋体" w:eastAsia="宋体" w:cs="宋体"/>
          <w:bCs/>
          <w:color w:val="auto"/>
          <w:sz w:val="30"/>
          <w:szCs w:val="30"/>
          <w:highlight w:val="none"/>
          <w:u w:val="single"/>
          <w:lang w:val="en-US" w:eastAsia="zh-CN"/>
        </w:rPr>
        <w:t xml:space="preserve">202  </w:t>
      </w:r>
      <w:r>
        <w:rPr>
          <w:rStyle w:val="40"/>
          <w:rFonts w:hint="eastAsia" w:ascii="宋体" w:hAnsi="宋体" w:eastAsia="宋体" w:cs="宋体"/>
          <w:bCs/>
          <w:color w:val="auto"/>
          <w:sz w:val="30"/>
          <w:szCs w:val="30"/>
          <w:highlight w:val="none"/>
          <w:u w:val="single"/>
        </w:rPr>
        <w:t xml:space="preserve"> </w:t>
      </w:r>
      <w:r>
        <w:rPr>
          <w:rStyle w:val="40"/>
          <w:rFonts w:hint="eastAsia" w:ascii="宋体" w:hAnsi="宋体" w:eastAsia="宋体" w:cs="宋体"/>
          <w:bCs/>
          <w:color w:val="auto"/>
          <w:sz w:val="30"/>
          <w:szCs w:val="30"/>
          <w:highlight w:val="none"/>
        </w:rPr>
        <w:t>年</w:t>
      </w:r>
      <w:r>
        <w:rPr>
          <w:rStyle w:val="40"/>
          <w:rFonts w:hint="eastAsia" w:ascii="宋体" w:hAnsi="宋体" w:eastAsia="宋体" w:cs="宋体"/>
          <w:bCs/>
          <w:color w:val="auto"/>
          <w:sz w:val="30"/>
          <w:szCs w:val="30"/>
          <w:highlight w:val="none"/>
          <w:u w:val="single"/>
        </w:rPr>
        <w:t xml:space="preserve">    </w:t>
      </w:r>
      <w:r>
        <w:rPr>
          <w:rStyle w:val="40"/>
          <w:rFonts w:hint="eastAsia" w:ascii="宋体" w:hAnsi="宋体" w:eastAsia="宋体" w:cs="宋体"/>
          <w:bCs/>
          <w:color w:val="auto"/>
          <w:sz w:val="30"/>
          <w:szCs w:val="30"/>
          <w:highlight w:val="none"/>
        </w:rPr>
        <w:t>月</w:t>
      </w:r>
      <w:r>
        <w:rPr>
          <w:rStyle w:val="40"/>
          <w:rFonts w:hint="eastAsia" w:ascii="宋体" w:hAnsi="宋体" w:eastAsia="宋体" w:cs="宋体"/>
          <w:bCs/>
          <w:color w:val="auto"/>
          <w:sz w:val="30"/>
          <w:szCs w:val="30"/>
          <w:highlight w:val="none"/>
          <w:u w:val="single"/>
        </w:rPr>
        <w:t xml:space="preserve">   </w:t>
      </w:r>
      <w:r>
        <w:rPr>
          <w:rStyle w:val="40"/>
          <w:rFonts w:hint="eastAsia" w:ascii="宋体" w:hAnsi="宋体" w:eastAsia="宋体" w:cs="宋体"/>
          <w:bCs/>
          <w:color w:val="auto"/>
          <w:sz w:val="30"/>
          <w:szCs w:val="30"/>
          <w:highlight w:val="none"/>
        </w:rPr>
        <w:t>日签订。</w:t>
      </w:r>
    </w:p>
    <w:p w14:paraId="42EB7F5D">
      <w:pPr>
        <w:pStyle w:val="89"/>
        <w:tabs>
          <w:tab w:val="left" w:pos="540"/>
          <w:tab w:val="left" w:pos="72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bookmarkStart w:id="1161" w:name="_Toc406150419"/>
      <w:bookmarkStart w:id="1162" w:name="_Toc351203490"/>
      <w:r>
        <w:rPr>
          <w:rStyle w:val="40"/>
          <w:rFonts w:hint="eastAsia" w:ascii="宋体" w:hAnsi="宋体" w:eastAsia="宋体" w:cs="宋体"/>
          <w:b/>
          <w:color w:val="auto"/>
          <w:kern w:val="0"/>
          <w:sz w:val="30"/>
          <w:szCs w:val="30"/>
          <w:highlight w:val="none"/>
        </w:rPr>
        <w:t>十、签订地点</w:t>
      </w:r>
      <w:bookmarkEnd w:id="1161"/>
      <w:bookmarkEnd w:id="1162"/>
    </w:p>
    <w:p w14:paraId="508FCFE0">
      <w:pPr>
        <w:pStyle w:val="89"/>
        <w:snapToGrid w:val="0"/>
        <w:spacing w:line="360" w:lineRule="auto"/>
        <w:ind w:firstLine="600" w:firstLineChars="200"/>
        <w:rPr>
          <w:rStyle w:val="40"/>
          <w:rFonts w:hint="eastAsia" w:ascii="宋体" w:hAnsi="宋体" w:eastAsia="宋体" w:cs="宋体"/>
          <w:bCs/>
          <w:color w:val="auto"/>
          <w:sz w:val="30"/>
          <w:szCs w:val="30"/>
          <w:highlight w:val="none"/>
        </w:rPr>
      </w:pPr>
      <w:r>
        <w:rPr>
          <w:rStyle w:val="40"/>
          <w:rFonts w:hint="eastAsia" w:ascii="宋体" w:hAnsi="宋体" w:eastAsia="宋体" w:cs="宋体"/>
          <w:bCs/>
          <w:color w:val="auto"/>
          <w:sz w:val="30"/>
          <w:szCs w:val="30"/>
          <w:highlight w:val="none"/>
        </w:rPr>
        <w:t>本合同在</w:t>
      </w:r>
      <w:r>
        <w:rPr>
          <w:rStyle w:val="40"/>
          <w:rFonts w:hint="eastAsia" w:ascii="宋体" w:hAnsi="宋体" w:eastAsia="宋体" w:cs="宋体"/>
          <w:bCs/>
          <w:color w:val="auto"/>
          <w:sz w:val="30"/>
          <w:szCs w:val="30"/>
          <w:highlight w:val="none"/>
          <w:u w:val="single"/>
        </w:rPr>
        <w:t xml:space="preserve"> </w:t>
      </w:r>
      <w:r>
        <w:rPr>
          <w:rStyle w:val="40"/>
          <w:rFonts w:hint="eastAsia" w:ascii="宋体" w:hAnsi="宋体" w:eastAsia="宋体" w:cs="宋体"/>
          <w:bCs/>
          <w:color w:val="auto"/>
          <w:sz w:val="30"/>
          <w:szCs w:val="30"/>
          <w:highlight w:val="none"/>
          <w:u w:val="single"/>
          <w:lang w:val="en-US" w:eastAsia="zh-CN"/>
        </w:rPr>
        <w:t xml:space="preserve"> </w:t>
      </w:r>
      <w:r>
        <w:rPr>
          <w:rStyle w:val="40"/>
          <w:rFonts w:hint="eastAsia" w:ascii="宋体" w:hAnsi="宋体" w:eastAsia="宋体" w:cs="宋体"/>
          <w:bCs/>
          <w:color w:val="auto"/>
          <w:sz w:val="30"/>
          <w:szCs w:val="30"/>
          <w:highlight w:val="none"/>
          <w:u w:val="single"/>
          <w:lang w:eastAsia="zh-CN"/>
        </w:rPr>
        <w:t>广西南宁市</w:t>
      </w:r>
      <w:r>
        <w:rPr>
          <w:rStyle w:val="40"/>
          <w:rFonts w:hint="eastAsia" w:ascii="宋体" w:hAnsi="宋体" w:eastAsia="宋体" w:cs="宋体"/>
          <w:bCs/>
          <w:color w:val="auto"/>
          <w:sz w:val="30"/>
          <w:szCs w:val="30"/>
          <w:highlight w:val="none"/>
          <w:u w:val="single"/>
          <w:lang w:val="en-US" w:eastAsia="zh-CN"/>
        </w:rPr>
        <w:t xml:space="preserve"> </w:t>
      </w:r>
      <w:r>
        <w:rPr>
          <w:rStyle w:val="40"/>
          <w:rFonts w:hint="eastAsia" w:ascii="宋体" w:hAnsi="宋体" w:eastAsia="宋体" w:cs="宋体"/>
          <w:bCs/>
          <w:color w:val="auto"/>
          <w:sz w:val="30"/>
          <w:szCs w:val="30"/>
          <w:highlight w:val="none"/>
          <w:u w:val="single"/>
        </w:rPr>
        <w:t xml:space="preserve"> </w:t>
      </w:r>
      <w:r>
        <w:rPr>
          <w:rStyle w:val="40"/>
          <w:rFonts w:hint="eastAsia" w:ascii="宋体" w:hAnsi="宋体" w:eastAsia="宋体" w:cs="宋体"/>
          <w:bCs/>
          <w:color w:val="auto"/>
          <w:sz w:val="30"/>
          <w:szCs w:val="30"/>
          <w:highlight w:val="none"/>
        </w:rPr>
        <w:t>签订。</w:t>
      </w:r>
    </w:p>
    <w:p w14:paraId="126FB442">
      <w:pPr>
        <w:pStyle w:val="89"/>
        <w:tabs>
          <w:tab w:val="left" w:pos="540"/>
          <w:tab w:val="left" w:pos="72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bookmarkStart w:id="1163" w:name="_Toc351203492"/>
      <w:bookmarkStart w:id="1164" w:name="_Toc406150420"/>
      <w:r>
        <w:rPr>
          <w:rStyle w:val="40"/>
          <w:rFonts w:hint="eastAsia" w:ascii="宋体" w:hAnsi="宋体" w:eastAsia="宋体" w:cs="宋体"/>
          <w:b/>
          <w:color w:val="auto"/>
          <w:kern w:val="0"/>
          <w:sz w:val="30"/>
          <w:szCs w:val="30"/>
          <w:highlight w:val="none"/>
        </w:rPr>
        <w:t>十一、合同生效</w:t>
      </w:r>
      <w:bookmarkEnd w:id="1163"/>
      <w:bookmarkEnd w:id="1164"/>
    </w:p>
    <w:p w14:paraId="3F4C064C">
      <w:pPr>
        <w:pStyle w:val="89"/>
        <w:adjustRightInd w:val="0"/>
        <w:snapToGrid w:val="0"/>
        <w:spacing w:line="360" w:lineRule="auto"/>
        <w:ind w:firstLine="600" w:firstLineChars="200"/>
        <w:rPr>
          <w:rStyle w:val="40"/>
          <w:rFonts w:hint="eastAsia" w:ascii="宋体" w:hAnsi="宋体" w:eastAsia="宋体" w:cs="宋体"/>
          <w:bCs/>
          <w:color w:val="auto"/>
          <w:sz w:val="30"/>
          <w:szCs w:val="30"/>
          <w:highlight w:val="none"/>
        </w:rPr>
      </w:pPr>
      <w:r>
        <w:rPr>
          <w:rStyle w:val="40"/>
          <w:rFonts w:hint="eastAsia" w:ascii="宋体" w:hAnsi="宋体" w:eastAsia="宋体" w:cs="宋体"/>
          <w:bCs/>
          <w:color w:val="auto"/>
          <w:sz w:val="30"/>
          <w:szCs w:val="30"/>
          <w:highlight w:val="none"/>
        </w:rPr>
        <w:t>本合同自</w:t>
      </w:r>
      <w:r>
        <w:rPr>
          <w:rStyle w:val="40"/>
          <w:rFonts w:hint="eastAsia" w:ascii="宋体" w:hAnsi="宋体" w:eastAsia="宋体" w:cs="宋体"/>
          <w:bCs/>
          <w:color w:val="auto"/>
          <w:sz w:val="30"/>
          <w:szCs w:val="30"/>
          <w:highlight w:val="none"/>
          <w:u w:val="single"/>
        </w:rPr>
        <w:t xml:space="preserve"> </w:t>
      </w:r>
      <w:r>
        <w:rPr>
          <w:rStyle w:val="40"/>
          <w:rFonts w:hint="eastAsia" w:ascii="宋体" w:hAnsi="宋体" w:eastAsia="宋体" w:cs="宋体"/>
          <w:bCs/>
          <w:color w:val="auto"/>
          <w:sz w:val="30"/>
          <w:szCs w:val="30"/>
          <w:highlight w:val="none"/>
          <w:u w:val="single"/>
          <w:lang w:eastAsia="zh-CN"/>
        </w:rPr>
        <w:t xml:space="preserve">发包人、勘察人签字盖公章后 </w:t>
      </w:r>
      <w:r>
        <w:rPr>
          <w:rStyle w:val="40"/>
          <w:rFonts w:hint="eastAsia" w:ascii="宋体" w:hAnsi="宋体" w:eastAsia="宋体" w:cs="宋体"/>
          <w:bCs/>
          <w:color w:val="auto"/>
          <w:sz w:val="30"/>
          <w:szCs w:val="30"/>
          <w:highlight w:val="none"/>
        </w:rPr>
        <w:t>生效。</w:t>
      </w:r>
    </w:p>
    <w:p w14:paraId="64065BC5">
      <w:pPr>
        <w:pStyle w:val="89"/>
        <w:tabs>
          <w:tab w:val="left" w:pos="540"/>
          <w:tab w:val="left" w:pos="720"/>
        </w:tabs>
        <w:adjustRightInd w:val="0"/>
        <w:snapToGrid w:val="0"/>
        <w:spacing w:line="360" w:lineRule="auto"/>
        <w:ind w:firstLine="602" w:firstLineChars="200"/>
        <w:jc w:val="left"/>
        <w:outlineLvl w:val="1"/>
        <w:rPr>
          <w:rStyle w:val="40"/>
          <w:rFonts w:hint="eastAsia" w:ascii="宋体" w:hAnsi="宋体" w:eastAsia="宋体" w:cs="宋体"/>
          <w:b/>
          <w:color w:val="auto"/>
          <w:kern w:val="0"/>
          <w:sz w:val="30"/>
          <w:szCs w:val="30"/>
          <w:highlight w:val="none"/>
        </w:rPr>
      </w:pPr>
      <w:r>
        <w:rPr>
          <w:rStyle w:val="40"/>
          <w:rFonts w:hint="eastAsia" w:ascii="宋体" w:hAnsi="宋体" w:eastAsia="宋体" w:cs="宋体"/>
          <w:b/>
          <w:color w:val="auto"/>
          <w:kern w:val="0"/>
          <w:sz w:val="30"/>
          <w:szCs w:val="30"/>
          <w:highlight w:val="none"/>
        </w:rPr>
        <w:t>十二、合同份数</w:t>
      </w:r>
    </w:p>
    <w:p w14:paraId="210708F3">
      <w:pPr>
        <w:pStyle w:val="89"/>
        <w:adjustRightInd w:val="0"/>
        <w:snapToGrid w:val="0"/>
        <w:spacing w:line="360" w:lineRule="auto"/>
        <w:ind w:firstLine="600" w:firstLineChars="200"/>
        <w:rPr>
          <w:rStyle w:val="40"/>
          <w:rFonts w:hint="eastAsia" w:ascii="宋体" w:hAnsi="宋体" w:eastAsia="宋体" w:cs="宋体"/>
          <w:color w:val="auto"/>
          <w:sz w:val="30"/>
          <w:szCs w:val="30"/>
          <w:highlight w:val="none"/>
          <w:lang w:eastAsia="zh-CN"/>
        </w:rPr>
      </w:pPr>
      <w:r>
        <w:rPr>
          <w:rStyle w:val="40"/>
          <w:rFonts w:hint="eastAsia" w:ascii="宋体" w:hAnsi="宋体" w:eastAsia="宋体" w:cs="宋体"/>
          <w:color w:val="auto"/>
          <w:sz w:val="30"/>
          <w:szCs w:val="30"/>
          <w:highlight w:val="none"/>
        </w:rPr>
        <w:t>本合同正本一式</w:t>
      </w:r>
      <w:r>
        <w:rPr>
          <w:rStyle w:val="40"/>
          <w:rFonts w:hint="eastAsia" w:ascii="宋体" w:hAnsi="宋体" w:eastAsia="宋体" w:cs="宋体"/>
          <w:color w:val="auto"/>
          <w:sz w:val="30"/>
          <w:szCs w:val="30"/>
          <w:highlight w:val="none"/>
          <w:u w:val="single"/>
        </w:rPr>
        <w:t xml:space="preserve"> </w:t>
      </w:r>
      <w:bookmarkStart w:id="1165" w:name="OLE_LINK46"/>
      <w:r>
        <w:rPr>
          <w:rStyle w:val="40"/>
          <w:rFonts w:hint="eastAsia" w:ascii="宋体" w:hAnsi="宋体" w:eastAsia="宋体" w:cs="宋体"/>
          <w:color w:val="auto"/>
          <w:sz w:val="30"/>
          <w:szCs w:val="30"/>
          <w:highlight w:val="none"/>
          <w:u w:val="single"/>
        </w:rPr>
        <w:t>2</w:t>
      </w:r>
      <w:bookmarkEnd w:id="1165"/>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份、副本一式</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份，均具有同等法律效力，发包人执正本</w:t>
      </w:r>
      <w:r>
        <w:rPr>
          <w:rStyle w:val="40"/>
          <w:rFonts w:hint="eastAsia" w:ascii="宋体" w:hAnsi="宋体" w:eastAsia="宋体" w:cs="宋体"/>
          <w:color w:val="auto"/>
          <w:sz w:val="30"/>
          <w:szCs w:val="30"/>
          <w:highlight w:val="none"/>
          <w:u w:val="single"/>
        </w:rPr>
        <w:t xml:space="preserve">  1</w:t>
      </w:r>
      <w:r>
        <w:rPr>
          <w:rStyle w:val="40"/>
          <w:rFonts w:hint="eastAsia" w:ascii="宋体" w:hAnsi="宋体" w:eastAsia="宋体" w:cs="宋体"/>
          <w:color w:val="auto"/>
          <w:sz w:val="30"/>
          <w:szCs w:val="30"/>
          <w:highlight w:val="none"/>
        </w:rPr>
        <w:t>份、副本</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份，</w:t>
      </w:r>
      <w:r>
        <w:rPr>
          <w:rStyle w:val="40"/>
          <w:rFonts w:hint="eastAsia" w:ascii="宋体" w:hAnsi="宋体" w:eastAsia="宋体" w:cs="宋体"/>
          <w:color w:val="auto"/>
          <w:sz w:val="30"/>
          <w:szCs w:val="30"/>
          <w:highlight w:val="none"/>
          <w:lang w:eastAsia="zh-CN"/>
        </w:rPr>
        <w:t>勘察</w:t>
      </w:r>
      <w:r>
        <w:rPr>
          <w:rStyle w:val="40"/>
          <w:rFonts w:hint="eastAsia" w:ascii="宋体" w:hAnsi="宋体" w:eastAsia="宋体" w:cs="宋体"/>
          <w:color w:val="auto"/>
          <w:sz w:val="30"/>
          <w:szCs w:val="30"/>
          <w:highlight w:val="none"/>
        </w:rPr>
        <w:t>人执正本</w:t>
      </w:r>
      <w:r>
        <w:rPr>
          <w:rStyle w:val="40"/>
          <w:rFonts w:hint="eastAsia" w:ascii="宋体" w:hAnsi="宋体" w:eastAsia="宋体" w:cs="宋体"/>
          <w:color w:val="auto"/>
          <w:sz w:val="30"/>
          <w:szCs w:val="30"/>
          <w:highlight w:val="none"/>
          <w:u w:val="single"/>
        </w:rPr>
        <w:t xml:space="preserve"> 1  </w:t>
      </w:r>
      <w:r>
        <w:rPr>
          <w:rStyle w:val="40"/>
          <w:rFonts w:hint="eastAsia" w:ascii="宋体" w:hAnsi="宋体" w:eastAsia="宋体" w:cs="宋体"/>
          <w:color w:val="auto"/>
          <w:sz w:val="30"/>
          <w:szCs w:val="30"/>
          <w:highlight w:val="none"/>
        </w:rPr>
        <w:t>份、副本</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份</w:t>
      </w:r>
      <w:r>
        <w:rPr>
          <w:rStyle w:val="40"/>
          <w:rFonts w:hint="eastAsia" w:ascii="宋体" w:hAnsi="宋体" w:eastAsia="宋体" w:cs="宋体"/>
          <w:color w:val="auto"/>
          <w:sz w:val="30"/>
          <w:szCs w:val="30"/>
          <w:highlight w:val="none"/>
          <w:lang w:eastAsia="zh-CN"/>
        </w:rPr>
        <w:t>。</w:t>
      </w:r>
    </w:p>
    <w:p w14:paraId="43BE193D">
      <w:pPr>
        <w:pStyle w:val="90"/>
        <w:rPr>
          <w:rStyle w:val="40"/>
          <w:rFonts w:hint="eastAsia" w:ascii="宋体" w:hAnsi="宋体" w:eastAsia="宋体" w:cs="宋体"/>
          <w:color w:val="auto"/>
          <w:sz w:val="30"/>
          <w:szCs w:val="30"/>
          <w:highlight w:val="none"/>
        </w:rPr>
      </w:pPr>
    </w:p>
    <w:p w14:paraId="1499400E">
      <w:pPr>
        <w:pStyle w:val="89"/>
        <w:widowControl/>
        <w:spacing w:line="360" w:lineRule="auto"/>
        <w:jc w:val="left"/>
        <w:rPr>
          <w:rStyle w:val="40"/>
          <w:rFonts w:hint="eastAsia" w:ascii="宋体" w:hAnsi="宋体" w:eastAsia="宋体" w:cs="宋体"/>
          <w:color w:val="auto"/>
          <w:sz w:val="30"/>
          <w:szCs w:val="30"/>
          <w:highlight w:val="none"/>
          <w:lang w:eastAsia="zh-CN"/>
        </w:rPr>
      </w:pPr>
      <w:bookmarkStart w:id="1166" w:name="_Toc406150422"/>
      <w:r>
        <w:rPr>
          <w:rStyle w:val="40"/>
          <w:rFonts w:hint="eastAsia" w:ascii="宋体" w:hAnsi="宋体" w:eastAsia="宋体" w:cs="宋体"/>
          <w:color w:val="auto"/>
          <w:sz w:val="30"/>
          <w:szCs w:val="30"/>
          <w:highlight w:val="none"/>
        </w:rPr>
        <w:t>发包人：</w:t>
      </w:r>
      <w:r>
        <w:rPr>
          <w:rStyle w:val="40"/>
          <w:rFonts w:hint="eastAsia" w:ascii="宋体" w:hAnsi="宋体" w:eastAsia="宋体" w:cs="宋体"/>
          <w:color w:val="auto"/>
          <w:sz w:val="30"/>
          <w:szCs w:val="30"/>
          <w:highlight w:val="none"/>
          <w:lang w:val="en-US" w:eastAsia="zh-CN"/>
        </w:rPr>
        <w:t xml:space="preserve">                    </w:t>
      </w:r>
      <w:r>
        <w:rPr>
          <w:rStyle w:val="40"/>
          <w:rFonts w:hint="eastAsia" w:ascii="宋体" w:hAnsi="宋体" w:eastAsia="宋体" w:cs="宋体"/>
          <w:color w:val="auto"/>
          <w:sz w:val="30"/>
          <w:szCs w:val="30"/>
          <w:highlight w:val="none"/>
        </w:rPr>
        <w:t xml:space="preserve"> </w:t>
      </w:r>
      <w:r>
        <w:rPr>
          <w:rStyle w:val="40"/>
          <w:rFonts w:hint="eastAsia" w:ascii="宋体" w:hAnsi="宋体" w:eastAsia="宋体" w:cs="宋体"/>
          <w:color w:val="auto"/>
          <w:sz w:val="30"/>
          <w:szCs w:val="30"/>
          <w:highlight w:val="none"/>
          <w:lang w:val="en-US" w:eastAsia="zh-CN"/>
        </w:rPr>
        <w:t xml:space="preserve">   </w:t>
      </w:r>
      <w:r>
        <w:rPr>
          <w:rStyle w:val="40"/>
          <w:rFonts w:hint="eastAsia" w:ascii="宋体" w:hAnsi="宋体" w:eastAsia="宋体" w:cs="宋体"/>
          <w:color w:val="auto"/>
          <w:sz w:val="30"/>
          <w:szCs w:val="30"/>
          <w:highlight w:val="none"/>
        </w:rPr>
        <w:t>勘察人：</w:t>
      </w:r>
      <w:r>
        <w:rPr>
          <w:rStyle w:val="40"/>
          <w:rFonts w:hint="eastAsia" w:ascii="宋体" w:hAnsi="宋体" w:eastAsia="宋体" w:cs="宋体"/>
          <w:color w:val="auto"/>
          <w:sz w:val="30"/>
          <w:szCs w:val="30"/>
          <w:highlight w:val="none"/>
          <w:lang w:val="en-US" w:eastAsia="zh-CN"/>
        </w:rPr>
        <w:t xml:space="preserve"> </w:t>
      </w:r>
    </w:p>
    <w:p w14:paraId="70374D1B">
      <w:pPr>
        <w:pStyle w:val="89"/>
        <w:widowControl/>
        <w:spacing w:line="360" w:lineRule="auto"/>
        <w:ind w:firstLine="1200" w:firstLineChars="400"/>
        <w:jc w:val="left"/>
        <w:rPr>
          <w:rStyle w:val="40"/>
          <w:rFonts w:hint="eastAsia" w:ascii="宋体" w:hAnsi="宋体" w:eastAsia="宋体" w:cs="宋体"/>
          <w:color w:val="auto"/>
          <w:sz w:val="30"/>
          <w:szCs w:val="30"/>
          <w:highlight w:val="none"/>
          <w:u w:val="single"/>
        </w:rPr>
      </w:pPr>
      <w:r>
        <w:rPr>
          <w:rStyle w:val="40"/>
          <w:rFonts w:hint="eastAsia" w:ascii="宋体" w:hAnsi="宋体" w:eastAsia="宋体" w:cs="宋体"/>
          <w:color w:val="auto"/>
          <w:sz w:val="30"/>
          <w:szCs w:val="30"/>
          <w:highlight w:val="none"/>
          <w:lang w:val="en-US" w:eastAsia="zh-CN"/>
        </w:rPr>
        <w:t xml:space="preserve">   </w:t>
      </w:r>
      <w:r>
        <w:rPr>
          <w:rStyle w:val="40"/>
          <w:rFonts w:hint="eastAsia" w:ascii="宋体" w:hAnsi="宋体" w:eastAsia="宋体" w:cs="宋体"/>
          <w:color w:val="auto"/>
          <w:sz w:val="30"/>
          <w:szCs w:val="30"/>
          <w:highlight w:val="none"/>
        </w:rPr>
        <w:t>（</w:t>
      </w:r>
      <w:r>
        <w:rPr>
          <w:rStyle w:val="40"/>
          <w:rFonts w:hint="eastAsia" w:ascii="宋体" w:hAnsi="宋体" w:eastAsia="宋体" w:cs="宋体"/>
          <w:color w:val="auto"/>
          <w:sz w:val="30"/>
          <w:szCs w:val="30"/>
          <w:highlight w:val="none"/>
          <w:lang w:eastAsia="zh-CN"/>
        </w:rPr>
        <w:t>公</w:t>
      </w:r>
      <w:r>
        <w:rPr>
          <w:rStyle w:val="40"/>
          <w:rFonts w:hint="eastAsia" w:ascii="宋体" w:hAnsi="宋体" w:eastAsia="宋体" w:cs="宋体"/>
          <w:color w:val="auto"/>
          <w:sz w:val="30"/>
          <w:szCs w:val="30"/>
          <w:highlight w:val="none"/>
        </w:rPr>
        <w:t xml:space="preserve">章）                </w:t>
      </w:r>
      <w:r>
        <w:rPr>
          <w:rStyle w:val="40"/>
          <w:rFonts w:hint="eastAsia" w:ascii="宋体" w:hAnsi="宋体" w:eastAsia="宋体" w:cs="宋体"/>
          <w:color w:val="auto"/>
          <w:sz w:val="30"/>
          <w:szCs w:val="30"/>
          <w:highlight w:val="none"/>
          <w:lang w:eastAsia="zh-CN"/>
        </w:rPr>
        <w:t xml:space="preserve">  </w:t>
      </w:r>
      <w:r>
        <w:rPr>
          <w:rStyle w:val="40"/>
          <w:rFonts w:hint="eastAsia" w:ascii="宋体" w:hAnsi="宋体" w:eastAsia="宋体" w:cs="宋体"/>
          <w:color w:val="auto"/>
          <w:sz w:val="30"/>
          <w:szCs w:val="30"/>
          <w:highlight w:val="none"/>
        </w:rPr>
        <w:t xml:space="preserve">   （</w:t>
      </w:r>
      <w:r>
        <w:rPr>
          <w:rStyle w:val="40"/>
          <w:rFonts w:hint="eastAsia" w:ascii="宋体" w:hAnsi="宋体" w:eastAsia="宋体" w:cs="宋体"/>
          <w:color w:val="auto"/>
          <w:sz w:val="30"/>
          <w:szCs w:val="30"/>
          <w:highlight w:val="none"/>
          <w:lang w:eastAsia="zh-CN"/>
        </w:rPr>
        <w:t>公</w:t>
      </w:r>
      <w:r>
        <w:rPr>
          <w:rStyle w:val="40"/>
          <w:rFonts w:hint="eastAsia" w:ascii="宋体" w:hAnsi="宋体" w:eastAsia="宋体" w:cs="宋体"/>
          <w:color w:val="auto"/>
          <w:sz w:val="30"/>
          <w:szCs w:val="30"/>
          <w:highlight w:val="none"/>
        </w:rPr>
        <w:t>章）</w:t>
      </w:r>
    </w:p>
    <w:p w14:paraId="3C534B93">
      <w:pPr>
        <w:pStyle w:val="89"/>
        <w:widowControl/>
        <w:spacing w:line="360" w:lineRule="auto"/>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法定代表人或其委托代理人：      法定代表人或其委托代理人：</w:t>
      </w:r>
    </w:p>
    <w:p w14:paraId="3960CA1E">
      <w:pPr>
        <w:pStyle w:val="89"/>
        <w:widowControl/>
        <w:spacing w:line="360" w:lineRule="auto"/>
        <w:jc w:val="left"/>
        <w:rPr>
          <w:rStyle w:val="40"/>
          <w:rFonts w:hint="eastAsia" w:ascii="宋体" w:hAnsi="宋体" w:eastAsia="宋体" w:cs="宋体"/>
          <w:color w:val="auto"/>
          <w:sz w:val="30"/>
          <w:szCs w:val="30"/>
          <w:highlight w:val="none"/>
          <w:u w:val="single"/>
        </w:rPr>
      </w:pPr>
      <w:r>
        <w:rPr>
          <w:rStyle w:val="40"/>
          <w:rFonts w:hint="eastAsia" w:ascii="宋体" w:hAnsi="宋体" w:eastAsia="宋体" w:cs="宋体"/>
          <w:color w:val="auto"/>
          <w:sz w:val="30"/>
          <w:szCs w:val="30"/>
          <w:highlight w:val="none"/>
        </w:rPr>
        <w:t>（签字或盖章）                        （签字或盖章）</w:t>
      </w:r>
    </w:p>
    <w:p w14:paraId="04FE8DE5">
      <w:pPr>
        <w:pStyle w:val="89"/>
        <w:widowControl/>
        <w:spacing w:line="360" w:lineRule="auto"/>
        <w:ind w:left="3920" w:hanging="4200" w:hangingChars="14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 xml:space="preserve">社会信用代码： </w:t>
      </w:r>
      <w:r>
        <w:rPr>
          <w:rStyle w:val="40"/>
          <w:rFonts w:hint="eastAsia" w:ascii="宋体" w:hAnsi="宋体" w:eastAsia="宋体" w:cs="宋体"/>
          <w:color w:val="auto"/>
          <w:sz w:val="30"/>
          <w:szCs w:val="30"/>
          <w:highlight w:val="none"/>
          <w:lang w:eastAsia="zh-CN"/>
        </w:rPr>
        <w:t xml:space="preserve">              </w:t>
      </w:r>
      <w:r>
        <w:rPr>
          <w:rStyle w:val="40"/>
          <w:rFonts w:hint="eastAsia" w:ascii="宋体" w:hAnsi="宋体" w:eastAsia="宋体" w:cs="宋体"/>
          <w:color w:val="auto"/>
          <w:sz w:val="30"/>
          <w:szCs w:val="30"/>
          <w:highlight w:val="none"/>
        </w:rPr>
        <w:t xml:space="preserve"> </w:t>
      </w:r>
      <w:r>
        <w:rPr>
          <w:rStyle w:val="40"/>
          <w:rFonts w:hint="eastAsia" w:ascii="宋体" w:hAnsi="宋体" w:eastAsia="宋体" w:cs="宋体"/>
          <w:color w:val="auto"/>
          <w:sz w:val="30"/>
          <w:szCs w:val="30"/>
          <w:highlight w:val="none"/>
          <w:lang w:eastAsia="zh-CN"/>
        </w:rPr>
        <w:t xml:space="preserve">  </w:t>
      </w:r>
      <w:r>
        <w:rPr>
          <w:rStyle w:val="40"/>
          <w:rFonts w:hint="eastAsia" w:ascii="宋体" w:hAnsi="宋体" w:eastAsia="宋体" w:cs="宋体"/>
          <w:color w:val="auto"/>
          <w:sz w:val="30"/>
          <w:szCs w:val="30"/>
          <w:highlight w:val="none"/>
        </w:rPr>
        <w:t>社会信用代码：</w:t>
      </w:r>
    </w:p>
    <w:p w14:paraId="7644B702">
      <w:pPr>
        <w:pStyle w:val="89"/>
        <w:widowControl/>
        <w:spacing w:line="360" w:lineRule="auto"/>
        <w:ind w:left="3920" w:hanging="4200" w:hangingChars="1400"/>
        <w:jc w:val="left"/>
        <w:rPr>
          <w:rStyle w:val="40"/>
          <w:rFonts w:hint="default"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 xml:space="preserve">  </w:t>
      </w:r>
      <w:r>
        <w:rPr>
          <w:rStyle w:val="40"/>
          <w:rFonts w:hint="eastAsia" w:ascii="宋体" w:hAnsi="宋体" w:eastAsia="宋体" w:cs="宋体"/>
          <w:color w:val="auto"/>
          <w:sz w:val="30"/>
          <w:szCs w:val="30"/>
          <w:highlight w:val="none"/>
          <w:lang w:eastAsia="zh-CN"/>
        </w:rPr>
        <w:t xml:space="preserve">          </w:t>
      </w:r>
      <w:r>
        <w:rPr>
          <w:rStyle w:val="40"/>
          <w:rFonts w:hint="eastAsia" w:ascii="宋体" w:hAnsi="宋体" w:eastAsia="宋体" w:cs="宋体"/>
          <w:color w:val="auto"/>
          <w:sz w:val="30"/>
          <w:szCs w:val="30"/>
          <w:highlight w:val="none"/>
          <w:lang w:val="en-US" w:eastAsia="zh-CN"/>
        </w:rPr>
        <w:t xml:space="preserve">    </w:t>
      </w:r>
      <w:r>
        <w:rPr>
          <w:rStyle w:val="40"/>
          <w:rFonts w:hint="eastAsia" w:ascii="宋体" w:hAnsi="宋体" w:eastAsia="宋体" w:cs="宋体"/>
          <w:color w:val="auto"/>
          <w:sz w:val="30"/>
          <w:szCs w:val="30"/>
          <w:highlight w:val="none"/>
          <w:u w:val="single"/>
          <w:lang w:val="en-US" w:eastAsia="zh-CN"/>
        </w:rPr>
        <w:t xml:space="preserve">                             </w:t>
      </w:r>
    </w:p>
    <w:p w14:paraId="4BF0EA76">
      <w:pPr>
        <w:pStyle w:val="89"/>
        <w:widowControl/>
        <w:spacing w:line="360" w:lineRule="auto"/>
        <w:ind w:left="5600" w:hanging="6000" w:hangingChars="2000"/>
        <w:jc w:val="left"/>
        <w:rPr>
          <w:rStyle w:val="40"/>
          <w:rFonts w:hint="default"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rPr>
        <w:t>地 址：</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none"/>
          <w:lang w:val="en-US" w:eastAsia="zh-CN"/>
        </w:rPr>
        <w:t xml:space="preserve">    </w:t>
      </w:r>
      <w:r>
        <w:rPr>
          <w:rStyle w:val="40"/>
          <w:rFonts w:hint="eastAsia" w:ascii="宋体" w:hAnsi="宋体" w:eastAsia="宋体" w:cs="宋体"/>
          <w:color w:val="auto"/>
          <w:sz w:val="30"/>
          <w:szCs w:val="30"/>
          <w:highlight w:val="none"/>
        </w:rPr>
        <w:t>地址：</w:t>
      </w:r>
      <w:r>
        <w:rPr>
          <w:rStyle w:val="40"/>
          <w:rFonts w:hint="eastAsia" w:ascii="宋体" w:hAnsi="宋体" w:eastAsia="宋体" w:cs="宋体"/>
          <w:color w:val="auto"/>
          <w:sz w:val="30"/>
          <w:szCs w:val="30"/>
          <w:highlight w:val="none"/>
          <w:u w:val="single"/>
          <w:lang w:val="en-US" w:eastAsia="zh-CN"/>
        </w:rPr>
        <w:t xml:space="preserve">                           </w:t>
      </w:r>
    </w:p>
    <w:p w14:paraId="1A0BFEA0">
      <w:pPr>
        <w:pStyle w:val="89"/>
        <w:widowControl/>
        <w:spacing w:line="360" w:lineRule="auto"/>
        <w:jc w:val="left"/>
        <w:rPr>
          <w:rStyle w:val="40"/>
          <w:rFonts w:hint="eastAsia"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rPr>
        <w:t>邮政编码：</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none"/>
          <w:lang w:val="en-US" w:eastAsia="zh-CN"/>
        </w:rPr>
        <w:t xml:space="preserve">        </w:t>
      </w:r>
      <w:r>
        <w:rPr>
          <w:rStyle w:val="40"/>
          <w:rFonts w:hint="eastAsia" w:ascii="宋体" w:hAnsi="宋体" w:eastAsia="宋体" w:cs="宋体"/>
          <w:color w:val="auto"/>
          <w:sz w:val="30"/>
          <w:szCs w:val="30"/>
          <w:highlight w:val="none"/>
        </w:rPr>
        <w:t>邮政编码：</w:t>
      </w:r>
      <w:r>
        <w:rPr>
          <w:rStyle w:val="40"/>
          <w:rFonts w:hint="eastAsia" w:ascii="宋体" w:hAnsi="宋体" w:eastAsia="宋体" w:cs="宋体"/>
          <w:color w:val="auto"/>
          <w:sz w:val="30"/>
          <w:szCs w:val="30"/>
          <w:highlight w:val="none"/>
          <w:u w:val="single"/>
          <w:lang w:val="en-US" w:eastAsia="zh-CN"/>
        </w:rPr>
        <w:t xml:space="preserve">                  </w:t>
      </w:r>
    </w:p>
    <w:p w14:paraId="5B9F4E0E">
      <w:pPr>
        <w:pStyle w:val="89"/>
        <w:widowControl/>
        <w:spacing w:line="360" w:lineRule="auto"/>
        <w:jc w:val="left"/>
        <w:rPr>
          <w:rStyle w:val="40"/>
          <w:rFonts w:hint="eastAsia"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rPr>
        <w:t>电  话：</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 xml:space="preserve">       </w:t>
      </w:r>
      <w:r>
        <w:rPr>
          <w:rStyle w:val="40"/>
          <w:rFonts w:hint="eastAsia" w:ascii="宋体" w:hAnsi="宋体" w:eastAsia="宋体" w:cs="宋体"/>
          <w:color w:val="auto"/>
          <w:sz w:val="30"/>
          <w:szCs w:val="30"/>
          <w:highlight w:val="none"/>
          <w:lang w:val="en-US" w:eastAsia="zh-CN"/>
        </w:rPr>
        <w:t xml:space="preserve"> </w:t>
      </w:r>
      <w:r>
        <w:rPr>
          <w:rStyle w:val="40"/>
          <w:rFonts w:hint="eastAsia" w:ascii="宋体" w:hAnsi="宋体" w:eastAsia="宋体" w:cs="宋体"/>
          <w:color w:val="auto"/>
          <w:sz w:val="30"/>
          <w:szCs w:val="30"/>
          <w:highlight w:val="none"/>
        </w:rPr>
        <w:t>电  话：</w:t>
      </w:r>
      <w:r>
        <w:rPr>
          <w:rStyle w:val="40"/>
          <w:rFonts w:hint="eastAsia" w:ascii="宋体" w:hAnsi="宋体" w:eastAsia="宋体" w:cs="宋体"/>
          <w:color w:val="auto"/>
          <w:sz w:val="30"/>
          <w:szCs w:val="30"/>
          <w:highlight w:val="none"/>
          <w:u w:val="single"/>
          <w:lang w:val="en-US" w:eastAsia="zh-CN"/>
        </w:rPr>
        <w:t xml:space="preserve">                         </w:t>
      </w:r>
    </w:p>
    <w:p w14:paraId="45937988">
      <w:pPr>
        <w:pStyle w:val="89"/>
        <w:widowControl/>
        <w:spacing w:line="360" w:lineRule="auto"/>
        <w:jc w:val="left"/>
        <w:rPr>
          <w:rStyle w:val="40"/>
          <w:rFonts w:hint="eastAsia"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rPr>
        <w:t>传  真：</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 xml:space="preserve">       传  真：</w:t>
      </w:r>
      <w:r>
        <w:rPr>
          <w:rStyle w:val="40"/>
          <w:rFonts w:hint="eastAsia" w:ascii="宋体" w:hAnsi="宋体" w:eastAsia="宋体" w:cs="宋体"/>
          <w:color w:val="auto"/>
          <w:sz w:val="30"/>
          <w:szCs w:val="30"/>
          <w:highlight w:val="none"/>
          <w:u w:val="single"/>
          <w:lang w:val="en-US" w:eastAsia="zh-CN"/>
        </w:rPr>
        <w:t xml:space="preserve">                      </w:t>
      </w:r>
    </w:p>
    <w:p w14:paraId="75B8EB8E">
      <w:pPr>
        <w:pStyle w:val="89"/>
        <w:widowControl/>
        <w:spacing w:line="360" w:lineRule="auto"/>
        <w:jc w:val="left"/>
        <w:rPr>
          <w:rStyle w:val="40"/>
          <w:rFonts w:hint="eastAsia"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rPr>
        <w:t>电子信箱：</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 xml:space="preserve">   </w:t>
      </w:r>
      <w:r>
        <w:rPr>
          <w:rStyle w:val="40"/>
          <w:rFonts w:hint="eastAsia" w:ascii="宋体" w:hAnsi="宋体" w:eastAsia="宋体" w:cs="宋体"/>
          <w:color w:val="auto"/>
          <w:sz w:val="30"/>
          <w:szCs w:val="30"/>
          <w:highlight w:val="none"/>
          <w:lang w:val="en-US" w:eastAsia="zh-CN"/>
        </w:rPr>
        <w:t xml:space="preserve">    </w:t>
      </w:r>
      <w:r>
        <w:rPr>
          <w:rStyle w:val="40"/>
          <w:rFonts w:hint="eastAsia" w:ascii="宋体" w:hAnsi="宋体" w:eastAsia="宋体" w:cs="宋体"/>
          <w:color w:val="auto"/>
          <w:sz w:val="30"/>
          <w:szCs w:val="30"/>
          <w:highlight w:val="none"/>
        </w:rPr>
        <w:t>电子信箱：</w:t>
      </w:r>
      <w:r>
        <w:rPr>
          <w:rStyle w:val="40"/>
          <w:rFonts w:hint="eastAsia" w:ascii="宋体" w:hAnsi="宋体" w:eastAsia="宋体" w:cs="宋体"/>
          <w:color w:val="auto"/>
          <w:sz w:val="30"/>
          <w:szCs w:val="30"/>
          <w:highlight w:val="none"/>
          <w:u w:val="single"/>
          <w:lang w:val="en-US" w:eastAsia="zh-CN"/>
        </w:rPr>
        <w:t xml:space="preserve">                  </w:t>
      </w:r>
    </w:p>
    <w:p w14:paraId="23111F18">
      <w:pPr>
        <w:pStyle w:val="89"/>
        <w:widowControl/>
        <w:spacing w:line="360" w:lineRule="auto"/>
        <w:ind w:left="6000" w:hanging="7500" w:hangingChars="2500"/>
        <w:jc w:val="left"/>
        <w:rPr>
          <w:rStyle w:val="40"/>
          <w:rFonts w:hint="default"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lang w:val="en-US" w:eastAsia="zh-CN"/>
        </w:rPr>
        <w:t>履保</w:t>
      </w:r>
      <w:r>
        <w:rPr>
          <w:rStyle w:val="40"/>
          <w:rFonts w:hint="eastAsia" w:ascii="宋体" w:hAnsi="宋体" w:eastAsia="宋体" w:cs="宋体"/>
          <w:color w:val="auto"/>
          <w:sz w:val="30"/>
          <w:szCs w:val="30"/>
          <w:highlight w:val="none"/>
        </w:rPr>
        <w:t>开户银行：</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none"/>
        </w:rPr>
        <w:t xml:space="preserve"> </w:t>
      </w:r>
      <w:r>
        <w:rPr>
          <w:rStyle w:val="40"/>
          <w:rFonts w:hint="eastAsia" w:ascii="宋体" w:hAnsi="宋体" w:eastAsia="宋体" w:cs="宋体"/>
          <w:color w:val="auto"/>
          <w:sz w:val="30"/>
          <w:szCs w:val="30"/>
          <w:highlight w:val="none"/>
          <w:u w:val="none"/>
          <w:lang w:val="en-US" w:eastAsia="zh-CN"/>
        </w:rPr>
        <w:t xml:space="preserve">  </w:t>
      </w:r>
      <w:r>
        <w:rPr>
          <w:rStyle w:val="40"/>
          <w:rFonts w:hint="eastAsia" w:ascii="宋体" w:hAnsi="宋体" w:eastAsia="宋体" w:cs="宋体"/>
          <w:color w:val="auto"/>
          <w:sz w:val="30"/>
          <w:szCs w:val="30"/>
          <w:highlight w:val="none"/>
        </w:rPr>
        <w:t>开户银行：</w:t>
      </w:r>
      <w:r>
        <w:rPr>
          <w:rStyle w:val="40"/>
          <w:rFonts w:hint="eastAsia" w:ascii="宋体" w:hAnsi="宋体" w:eastAsia="宋体" w:cs="宋体"/>
          <w:color w:val="auto"/>
          <w:sz w:val="30"/>
          <w:szCs w:val="30"/>
          <w:highlight w:val="none"/>
          <w:u w:val="single"/>
          <w:lang w:val="en-US" w:eastAsia="zh-CN"/>
        </w:rPr>
        <w:t xml:space="preserve">                      </w:t>
      </w:r>
    </w:p>
    <w:p w14:paraId="41CF7563">
      <w:pPr>
        <w:pStyle w:val="89"/>
        <w:widowControl/>
        <w:spacing w:line="360" w:lineRule="auto"/>
        <w:jc w:val="left"/>
        <w:rPr>
          <w:rStyle w:val="40"/>
          <w:rFonts w:hint="default"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lang w:eastAsia="zh-CN"/>
        </w:rPr>
        <w:t>履保</w:t>
      </w:r>
      <w:r>
        <w:rPr>
          <w:rStyle w:val="40"/>
          <w:rFonts w:hint="eastAsia" w:ascii="宋体" w:hAnsi="宋体" w:eastAsia="宋体" w:cs="宋体"/>
          <w:color w:val="auto"/>
          <w:sz w:val="30"/>
          <w:szCs w:val="30"/>
          <w:highlight w:val="none"/>
        </w:rPr>
        <w:t>账号：</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开户账号：</w:t>
      </w:r>
      <w:r>
        <w:rPr>
          <w:rStyle w:val="40"/>
          <w:rFonts w:hint="eastAsia" w:ascii="宋体" w:hAnsi="宋体" w:eastAsia="宋体" w:cs="宋体"/>
          <w:color w:val="auto"/>
          <w:sz w:val="30"/>
          <w:szCs w:val="30"/>
          <w:highlight w:val="none"/>
          <w:u w:val="single"/>
          <w:lang w:val="en-US" w:eastAsia="zh-CN"/>
        </w:rPr>
        <w:t xml:space="preserve">                        </w:t>
      </w:r>
    </w:p>
    <w:p w14:paraId="369E3F54">
      <w:pPr>
        <w:pStyle w:val="89"/>
        <w:widowControl/>
        <w:spacing w:line="360" w:lineRule="auto"/>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签订时间：</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年</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月</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日  签订时间：</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年</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月</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lang w:val="en-US" w:eastAsia="zh-CN"/>
        </w:rPr>
        <w:t xml:space="preserve"> </w:t>
      </w:r>
      <w:r>
        <w:rPr>
          <w:rStyle w:val="40"/>
          <w:rFonts w:hint="eastAsia" w:ascii="宋体" w:hAnsi="宋体" w:eastAsia="宋体" w:cs="宋体"/>
          <w:color w:val="auto"/>
          <w:sz w:val="30"/>
          <w:szCs w:val="30"/>
          <w:highlight w:val="none"/>
        </w:rPr>
        <w:t>日</w:t>
      </w:r>
    </w:p>
    <w:p w14:paraId="3746C1C7">
      <w:pPr>
        <w:pStyle w:val="90"/>
        <w:rPr>
          <w:rStyle w:val="40"/>
          <w:rFonts w:hint="eastAsia" w:ascii="宋体" w:hAnsi="宋体" w:eastAsia="宋体" w:cs="宋体"/>
          <w:color w:val="auto"/>
          <w:sz w:val="28"/>
          <w:szCs w:val="28"/>
          <w:highlight w:val="none"/>
        </w:rPr>
      </w:pPr>
    </w:p>
    <w:p w14:paraId="571444D2">
      <w:pPr>
        <w:pStyle w:val="90"/>
        <w:ind w:left="0" w:leftChars="0" w:firstLine="0" w:firstLineChars="0"/>
        <w:rPr>
          <w:rStyle w:val="40"/>
          <w:rFonts w:hint="eastAsia" w:ascii="宋体" w:hAnsi="宋体" w:eastAsia="宋体" w:cs="宋体"/>
          <w:color w:val="auto"/>
          <w:sz w:val="28"/>
          <w:szCs w:val="28"/>
          <w:highlight w:val="none"/>
        </w:rPr>
      </w:pPr>
    </w:p>
    <w:p w14:paraId="6B0C0DF5">
      <w:pPr>
        <w:pStyle w:val="90"/>
        <w:rPr>
          <w:rStyle w:val="40"/>
          <w:rFonts w:hint="eastAsia" w:ascii="宋体" w:hAnsi="宋体" w:eastAsia="宋体" w:cs="宋体"/>
          <w:color w:val="auto"/>
          <w:sz w:val="28"/>
          <w:szCs w:val="28"/>
          <w:highlight w:val="none"/>
        </w:rPr>
      </w:pPr>
    </w:p>
    <w:p w14:paraId="7BEAEAC5">
      <w:pPr>
        <w:pStyle w:val="90"/>
        <w:rPr>
          <w:rStyle w:val="40"/>
          <w:rFonts w:hint="eastAsia" w:ascii="宋体" w:hAnsi="宋体" w:eastAsia="宋体" w:cs="宋体"/>
          <w:color w:val="auto"/>
          <w:sz w:val="28"/>
          <w:szCs w:val="28"/>
          <w:highlight w:val="none"/>
        </w:rPr>
      </w:pPr>
    </w:p>
    <w:p w14:paraId="578B2571">
      <w:pPr>
        <w:pStyle w:val="90"/>
        <w:rPr>
          <w:rStyle w:val="40"/>
          <w:rFonts w:hint="eastAsia" w:ascii="宋体" w:hAnsi="宋体" w:eastAsia="宋体" w:cs="宋体"/>
          <w:color w:val="auto"/>
          <w:sz w:val="28"/>
          <w:szCs w:val="28"/>
          <w:highlight w:val="none"/>
        </w:rPr>
      </w:pPr>
    </w:p>
    <w:p w14:paraId="45C6D80A">
      <w:pPr>
        <w:pStyle w:val="90"/>
        <w:ind w:left="0" w:leftChars="0" w:firstLine="0" w:firstLineChars="0"/>
        <w:rPr>
          <w:rStyle w:val="40"/>
          <w:rFonts w:hint="eastAsia" w:ascii="宋体" w:hAnsi="宋体" w:eastAsia="宋体" w:cs="宋体"/>
          <w:color w:val="auto"/>
          <w:sz w:val="28"/>
          <w:szCs w:val="28"/>
          <w:highlight w:val="none"/>
        </w:rPr>
      </w:pPr>
    </w:p>
    <w:p w14:paraId="3712DAE9">
      <w:pPr>
        <w:pStyle w:val="90"/>
        <w:ind w:left="0" w:leftChars="0" w:firstLine="0" w:firstLineChars="0"/>
        <w:rPr>
          <w:rStyle w:val="40"/>
          <w:rFonts w:hint="eastAsia" w:ascii="宋体" w:hAnsi="宋体" w:eastAsia="宋体" w:cs="宋体"/>
          <w:color w:val="auto"/>
          <w:sz w:val="28"/>
          <w:szCs w:val="28"/>
          <w:highlight w:val="none"/>
        </w:rPr>
      </w:pPr>
    </w:p>
    <w:p w14:paraId="3F673E53">
      <w:pPr>
        <w:pStyle w:val="90"/>
        <w:ind w:left="0" w:leftChars="0" w:firstLine="0" w:firstLineChars="0"/>
        <w:rPr>
          <w:rStyle w:val="40"/>
          <w:rFonts w:hint="eastAsia" w:ascii="宋体" w:hAnsi="宋体" w:eastAsia="宋体" w:cs="宋体"/>
          <w:color w:val="auto"/>
          <w:sz w:val="28"/>
          <w:szCs w:val="28"/>
          <w:highlight w:val="none"/>
        </w:rPr>
      </w:pPr>
    </w:p>
    <w:p w14:paraId="45DE3DD5">
      <w:pPr>
        <w:pStyle w:val="90"/>
        <w:ind w:left="0" w:leftChars="0" w:firstLine="0" w:firstLineChars="0"/>
        <w:rPr>
          <w:rStyle w:val="40"/>
          <w:rFonts w:hint="eastAsia" w:ascii="宋体" w:hAnsi="宋体" w:eastAsia="宋体" w:cs="宋体"/>
          <w:color w:val="auto"/>
          <w:sz w:val="28"/>
          <w:szCs w:val="28"/>
          <w:highlight w:val="none"/>
        </w:rPr>
      </w:pPr>
    </w:p>
    <w:p w14:paraId="773BF838">
      <w:pPr>
        <w:pStyle w:val="90"/>
        <w:ind w:left="0" w:leftChars="0" w:firstLine="0" w:firstLineChars="0"/>
        <w:rPr>
          <w:rStyle w:val="40"/>
          <w:rFonts w:hint="eastAsia" w:ascii="宋体" w:hAnsi="宋体" w:eastAsia="宋体" w:cs="宋体"/>
          <w:color w:val="auto"/>
          <w:sz w:val="28"/>
          <w:szCs w:val="28"/>
          <w:highlight w:val="none"/>
        </w:rPr>
      </w:pPr>
    </w:p>
    <w:p w14:paraId="660C563A">
      <w:pPr>
        <w:pStyle w:val="90"/>
        <w:ind w:left="0" w:leftChars="0" w:firstLine="0" w:firstLineChars="0"/>
        <w:rPr>
          <w:rStyle w:val="40"/>
          <w:rFonts w:hint="eastAsia" w:ascii="宋体" w:hAnsi="宋体" w:eastAsia="宋体" w:cs="宋体"/>
          <w:color w:val="auto"/>
          <w:sz w:val="28"/>
          <w:szCs w:val="28"/>
          <w:highlight w:val="none"/>
        </w:rPr>
      </w:pPr>
    </w:p>
    <w:p w14:paraId="5F297614">
      <w:pPr>
        <w:pStyle w:val="89"/>
        <w:snapToGrid w:val="0"/>
        <w:spacing w:line="360" w:lineRule="auto"/>
        <w:jc w:val="center"/>
        <w:outlineLvl w:val="0"/>
        <w:rPr>
          <w:rStyle w:val="40"/>
          <w:rFonts w:hint="eastAsia" w:ascii="宋体" w:hAnsi="宋体" w:eastAsia="宋体" w:cs="宋体"/>
          <w:b/>
          <w:bCs/>
          <w:color w:val="auto"/>
          <w:kern w:val="0"/>
          <w:sz w:val="44"/>
          <w:szCs w:val="44"/>
          <w:highlight w:val="none"/>
        </w:rPr>
      </w:pPr>
      <w:r>
        <w:rPr>
          <w:rStyle w:val="40"/>
          <w:rFonts w:hint="eastAsia" w:ascii="宋体" w:hAnsi="宋体" w:eastAsia="宋体" w:cs="宋体"/>
          <w:color w:val="auto"/>
          <w:kern w:val="0"/>
          <w:sz w:val="44"/>
          <w:szCs w:val="44"/>
          <w:highlight w:val="none"/>
        </w:rPr>
        <w:br w:type="page"/>
      </w:r>
      <w:r>
        <w:rPr>
          <w:rStyle w:val="40"/>
          <w:rFonts w:hint="eastAsia" w:ascii="宋体" w:hAnsi="宋体" w:eastAsia="宋体" w:cs="宋体"/>
          <w:color w:val="auto"/>
          <w:kern w:val="0"/>
          <w:sz w:val="44"/>
          <w:szCs w:val="44"/>
          <w:highlight w:val="none"/>
        </w:rPr>
        <w:t>第二部分　通用合同条款</w:t>
      </w:r>
      <w:bookmarkEnd w:id="1166"/>
    </w:p>
    <w:p w14:paraId="51DDB5C2">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第1条 一般约定</w:t>
      </w:r>
    </w:p>
    <w:p w14:paraId="348A772A">
      <w:pPr>
        <w:pStyle w:val="95"/>
        <w:keepNext w:val="0"/>
        <w:keepLines w:val="0"/>
        <w:tabs>
          <w:tab w:val="left" w:pos="180"/>
          <w:tab w:val="left" w:pos="36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 词语定义</w:t>
      </w:r>
    </w:p>
    <w:p w14:paraId="69EC2819">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下列词语除专用合同条款另有约定外，应具有本条所赋予的含义。</w:t>
      </w:r>
    </w:p>
    <w:p w14:paraId="6C60ECB4">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1.1.1 合同：指根据法律规定和合同当事人约定具有约束力的文件，构成合同的文件包括合同协议书、专用合同条款及其附件、通用合同条款、中标通知书（如果有）、投标文件及其附件（如果有）、技术标准和要求、图纸以及其他合同文件。</w:t>
      </w:r>
    </w:p>
    <w:p w14:paraId="67C6D884">
      <w:pPr>
        <w:pStyle w:val="89"/>
        <w:adjustRightInd w:val="0"/>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1.1.2 合同协议书：指构成合同的由发包人和勘察人共同签署的称为“合同协议书”的书面文件。</w:t>
      </w:r>
    </w:p>
    <w:p w14:paraId="7843F132">
      <w:pPr>
        <w:pStyle w:val="89"/>
        <w:adjustRightInd w:val="0"/>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1.1.3 通用合同条款：是根据法律、行政法规规定及建设工程勘察的需要订立，通用于建设工程勘察的合同条款。</w:t>
      </w:r>
    </w:p>
    <w:p w14:paraId="09AAF3A5">
      <w:pPr>
        <w:pStyle w:val="89"/>
        <w:adjustRightInd w:val="0"/>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1.1.4 专用合同条款：是发包人与勘察人根据法律、行政法规规定，结合具体工程实际，经协商达成一致意见的合同条款，是对通用合同条款的细化、完善、补充、修改或另行约定。</w:t>
      </w:r>
    </w:p>
    <w:p w14:paraId="639390EC">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1.1.5 发包人：指与勘察人签定合同协议书的当事人以及取得该当事人资格的合法继承人。</w:t>
      </w:r>
    </w:p>
    <w:p w14:paraId="2D1BC581">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1.1.6 勘察人：指在合同协议书中约定，被发包人接受的具有工程勘察资质的当事人以及取得该当事人资格的合法继承人。</w:t>
      </w:r>
    </w:p>
    <w:p w14:paraId="35A2A8B4">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1.1.7 工程：指发包人与勘察人在合同协议书中约定的勘察范围内的项目。</w:t>
      </w:r>
    </w:p>
    <w:p w14:paraId="6E97E3F1">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1.1.8 勘察任务书：指由发包人就工程勘察范围、内容和技术标准等提出要求的书面文件。勘察任务书构成合同文件组成部分。</w:t>
      </w:r>
    </w:p>
    <w:p w14:paraId="4FCAF30E">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1.1.9 合同价款：指合同当事人在合同协议书中约定，发包人用以支付勘察人完成合同约定范围内工程勘察工作的款项。</w:t>
      </w:r>
    </w:p>
    <w:p w14:paraId="20F0D03B">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1.1.10 费用：指为履行合同所发生的或将要发生的</w:t>
      </w:r>
      <w:r>
        <w:rPr>
          <w:rStyle w:val="40"/>
          <w:rFonts w:hint="eastAsia" w:ascii="宋体" w:hAnsi="宋体" w:eastAsia="宋体" w:cs="宋体"/>
          <w:color w:val="auto"/>
          <w:kern w:val="0"/>
          <w:sz w:val="30"/>
          <w:szCs w:val="30"/>
          <w:highlight w:val="none"/>
          <w:lang w:eastAsia="zh-CN"/>
        </w:rPr>
        <w:t>必需的</w:t>
      </w:r>
      <w:r>
        <w:rPr>
          <w:rStyle w:val="40"/>
          <w:rFonts w:hint="eastAsia" w:ascii="宋体" w:hAnsi="宋体" w:eastAsia="宋体" w:cs="宋体"/>
          <w:color w:val="auto"/>
          <w:kern w:val="0"/>
          <w:sz w:val="30"/>
          <w:szCs w:val="30"/>
          <w:highlight w:val="none"/>
        </w:rPr>
        <w:t>支出。</w:t>
      </w:r>
    </w:p>
    <w:p w14:paraId="4A16C68A">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1.1.11 工期：指合同当事人在合同协议书中约定，按总日历天数（包括法定节假日）计算的工作天数。</w:t>
      </w:r>
    </w:p>
    <w:p w14:paraId="7BC2696C">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1.1.12 天：除特别指明外，均指日历天。约定按天计算时间的，开始当天不计入，从次日开始计算。时限的最后一天是休息日或者其他法定节假日的，以节假日次日为时限的最后一天，时限的最后一天的截止时间为当日24时。</w:t>
      </w:r>
    </w:p>
    <w:p w14:paraId="2C10E24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1.1.13 开工日期：指合同当事人在合同中约定，勘察人开始工作的绝对或相对日期。</w:t>
      </w:r>
    </w:p>
    <w:p w14:paraId="4C5E393E">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1.1.14 成果提交日期：指合同当事人在合同中约定，勘察人完成合同范围内工作并提交成果资料的绝对或相对日期。</w:t>
      </w:r>
    </w:p>
    <w:p w14:paraId="15C900B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1.1.15 图纸：指由发包人提供或由勘察人提供并经发包人认可，满足勘察人开展工作需要的所有图件，包括相关说明和资料。</w:t>
      </w:r>
    </w:p>
    <w:p w14:paraId="1591924F">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1.1.16 作业场地：指工程勘察作业的场所以及发包人具体指定的供工程勘察作业使用的其他场所。</w:t>
      </w:r>
    </w:p>
    <w:p w14:paraId="19ED3164">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1.1.17 书面形式：指合同书、信件和数据电文（包括电报、电传、传真、电子数据交换和电子邮件）等可以有形地表现所载内容的形式。</w:t>
      </w:r>
    </w:p>
    <w:p w14:paraId="04714BE7">
      <w:pPr>
        <w:pStyle w:val="89"/>
        <w:adjustRightInd w:val="0"/>
        <w:snapToGrid w:val="0"/>
        <w:spacing w:line="360" w:lineRule="auto"/>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 xml:space="preserve">    1.1.18 索赔：指在合同履行过程中，一方违反合同约定，直接或间接地给另一方造成实际损失，受损方向违约方提出经济赔偿和（或）工期顺延的要求。</w:t>
      </w:r>
    </w:p>
    <w:p w14:paraId="0183CDE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1.1.19 不利物质条件：指勘察人在作业场地遇到的不可预见的自然物质条件、非自然的物质障碍和污染物。</w:t>
      </w:r>
    </w:p>
    <w:p w14:paraId="1B3BB1D0">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1.1.20 后期服务：指勘察人提交成果资料后，为发包人提供的后续技术服务工作和程序性工作，如报告成果咨询、基槽检验、现场交桩和竣工验收等。</w:t>
      </w:r>
    </w:p>
    <w:p w14:paraId="54FA367F">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1.2 合同文件及优先解释顺序</w:t>
      </w:r>
    </w:p>
    <w:p w14:paraId="41FC65F0">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1.2.1 合同文件应能相互解释，互为说明。除专用合同条款另有约定外，组成本合同的文件及优先解释顺序如下：</w:t>
      </w:r>
    </w:p>
    <w:p w14:paraId="2821E645">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（1）合同协议书；</w:t>
      </w:r>
    </w:p>
    <w:p w14:paraId="730685E4">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（2）专用合同条款及其附件；</w:t>
      </w:r>
    </w:p>
    <w:p w14:paraId="4F068F6D">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（3）通用合同条款；</w:t>
      </w:r>
    </w:p>
    <w:p w14:paraId="11BCBBDF">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（4）中标通知书（如果有）；</w:t>
      </w:r>
    </w:p>
    <w:p w14:paraId="66980872">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（5）投标文件及其附件（如果有）；</w:t>
      </w:r>
    </w:p>
    <w:p w14:paraId="56A3D27E">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（6）技术标准和要求；</w:t>
      </w:r>
    </w:p>
    <w:p w14:paraId="6FCF1A1D">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（7）图纸；</w:t>
      </w:r>
    </w:p>
    <w:p w14:paraId="59CF87FE">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（8）其他合同文件。</w:t>
      </w:r>
    </w:p>
    <w:p w14:paraId="4B049112">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上述合同文件包括合同当事人就该项合同文件所作出的补充和修改，属于同一类内容的文件，应以最新签署的为准。</w:t>
      </w:r>
    </w:p>
    <w:p w14:paraId="43346126">
      <w:pPr>
        <w:pStyle w:val="89"/>
        <w:keepNext w:val="0"/>
        <w:keepLines w:val="0"/>
        <w:pageBreakBefore w:val="0"/>
        <w:widowControl w:val="0"/>
        <w:tabs>
          <w:tab w:val="left" w:pos="180"/>
        </w:tabs>
        <w:kinsoku/>
        <w:wordWrap/>
        <w:overflowPunct/>
        <w:topLinePunct w:val="0"/>
        <w:autoSpaceDE/>
        <w:autoSpaceDN/>
        <w:bidi w:val="0"/>
        <w:adjustRightInd/>
        <w:snapToGrid w:val="0"/>
        <w:spacing w:before="0" w:beforeLines="0" w:after="0" w:afterLines="0" w:line="360" w:lineRule="auto"/>
        <w:ind w:left="0" w:leftChars="0" w:right="0" w:rightChars="0" w:firstLine="600" w:firstLineChars="200"/>
        <w:jc w:val="both"/>
        <w:textAlignment w:val="auto"/>
        <w:outlineLvl w:val="9"/>
        <w:rPr>
          <w:rStyle w:val="40"/>
          <w:rFonts w:hint="eastAsia" w:ascii="宋体" w:hAnsi="宋体" w:eastAsia="宋体" w:cs="宋体"/>
          <w:b w:val="0"/>
          <w:bCs w:val="0"/>
          <w:color w:val="auto"/>
          <w:kern w:val="0"/>
          <w:sz w:val="30"/>
          <w:szCs w:val="30"/>
          <w:highlight w:val="none"/>
        </w:rPr>
      </w:pPr>
      <w:r>
        <w:rPr>
          <w:rStyle w:val="40"/>
          <w:rFonts w:hint="eastAsia" w:ascii="宋体" w:hAnsi="宋体" w:eastAsia="宋体" w:cs="宋体"/>
          <w:b w:val="0"/>
          <w:bCs w:val="0"/>
          <w:color w:val="auto"/>
          <w:kern w:val="0"/>
          <w:sz w:val="30"/>
          <w:szCs w:val="30"/>
          <w:highlight w:val="none"/>
        </w:rPr>
        <w:t>1.2.2 当合同文件内容含糊不清或不相一致时，在不影响工作正常进行的情况下，由发包人和勘察人协商解决。双方协商不成时，按第16条〔争议解决〕的约定处理。</w:t>
      </w:r>
    </w:p>
    <w:p w14:paraId="74F9E438">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1.3 适用法律法规、技术标准</w:t>
      </w:r>
    </w:p>
    <w:p w14:paraId="39CF6F2F">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1.3.1 适用法律法规</w:t>
      </w:r>
    </w:p>
    <w:p w14:paraId="4A2E4AEA">
      <w:pPr>
        <w:pStyle w:val="89"/>
        <w:adjustRightInd w:val="0"/>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本合同文件适用中华人民共和国法律、行政法规、部门规章以及工程所在地的地方性法规、自治条例、单行条例和地方政府规章等。其他需要明示的规范性文件，由合同当事人在专用合同条款中约定。</w:t>
      </w:r>
    </w:p>
    <w:p w14:paraId="0843FFA4">
      <w:pPr>
        <w:pStyle w:val="89"/>
        <w:adjustRightInd w:val="0"/>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1.3.2 适用技术标准</w:t>
      </w:r>
    </w:p>
    <w:p w14:paraId="6D13F98B">
      <w:pPr>
        <w:pStyle w:val="89"/>
        <w:autoSpaceDE w:val="0"/>
        <w:autoSpaceDN w:val="0"/>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适用于工程的现行有效国家标准、行业标准、工程所在地的地方标准以及相应的规范、规程为本合同文件适用的技术标准。合同当事人有特别要求的，应在专用合同条款中约定。</w:t>
      </w:r>
    </w:p>
    <w:p w14:paraId="2EE54E08">
      <w:pPr>
        <w:pStyle w:val="89"/>
        <w:autoSpaceDE w:val="0"/>
        <w:autoSpaceDN w:val="0"/>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发包人要求使用国外技术标准的，应在专用合同条款中约定所使用技术标准的名称及提供方，并约定技术标准原文版、中译本的份数、时间及费用承担等事项。</w:t>
      </w:r>
    </w:p>
    <w:p w14:paraId="201CD704">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1.4 语言文字</w:t>
      </w:r>
    </w:p>
    <w:p w14:paraId="133F0C1B">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本合同文件使用汉语语言文字书写、解释和说明。如专用合同条款约定使用两种以上（含两种）语言时，汉语为优先解释和说明本合同的语言。</w:t>
      </w:r>
    </w:p>
    <w:p w14:paraId="11DCB748">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1.5 联络</w:t>
      </w:r>
    </w:p>
    <w:p w14:paraId="50814263">
      <w:pPr>
        <w:pStyle w:val="89"/>
        <w:tabs>
          <w:tab w:val="left" w:pos="540"/>
          <w:tab w:val="left" w:pos="72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1.5.1 与合同有关的批准文件、通知、证明、证书、指示、指令、要求、请求、意见、确定和决定等，均应采用书面形式或合同双方确认的其他形式，并应在合同约定的期限内送达接收人。</w:t>
      </w:r>
    </w:p>
    <w:p w14:paraId="2E496970">
      <w:pPr>
        <w:pStyle w:val="89"/>
        <w:tabs>
          <w:tab w:val="left" w:pos="540"/>
          <w:tab w:val="left" w:pos="1260"/>
        </w:tabs>
        <w:adjustRightInd w:val="0"/>
        <w:snapToGrid w:val="0"/>
        <w:spacing w:line="360" w:lineRule="auto"/>
        <w:ind w:firstLine="600" w:firstLineChars="200"/>
        <w:jc w:val="left"/>
        <w:rPr>
          <w:rStyle w:val="40"/>
          <w:rFonts w:hint="eastAsia" w:ascii="宋体" w:hAnsi="宋体" w:eastAsia="宋体" w:cs="宋体"/>
          <w:b/>
          <w:color w:val="auto"/>
          <w:kern w:val="0"/>
          <w:sz w:val="30"/>
          <w:szCs w:val="32"/>
          <w:highlight w:val="none"/>
        </w:rPr>
      </w:pPr>
      <w:r>
        <w:rPr>
          <w:rStyle w:val="40"/>
          <w:rFonts w:hint="eastAsia" w:ascii="宋体" w:hAnsi="宋体" w:eastAsia="宋体" w:cs="宋体"/>
          <w:color w:val="auto"/>
          <w:kern w:val="0"/>
          <w:sz w:val="30"/>
          <w:szCs w:val="30"/>
          <w:highlight w:val="none"/>
        </w:rPr>
        <w:t>1.5.2 发包人和勘察人应在专用合同条款中约定各自的送达接收人、送达形式及联系方式。合同当事人指定的接收人、送达地点或联系方式发生变动的，应提前3天以书面形式通知对方，否则视为未发生变动。</w:t>
      </w:r>
    </w:p>
    <w:p w14:paraId="2457D214">
      <w:pPr>
        <w:pStyle w:val="89"/>
        <w:tabs>
          <w:tab w:val="left" w:pos="540"/>
          <w:tab w:val="left" w:pos="1260"/>
        </w:tabs>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1.5.3 发包人、勘察人应及时签收对方送达至约定送达地点和指定接收人的来往信函；如确有充分证据证明一方无正当理由拒不签收的，视为拒绝签收一方认可往来信函的内容。</w:t>
      </w:r>
    </w:p>
    <w:p w14:paraId="39808423">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1.6 严禁贿赂</w:t>
      </w:r>
    </w:p>
    <w:p w14:paraId="5719EE73">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合同当事人不得以贿赂或变相贿赂的方式，谋取非法利益或损害对方权益。因一方的贿赂造成对方损失的，应赔偿损失并承担相应的法律责任。</w:t>
      </w:r>
    </w:p>
    <w:p w14:paraId="42A44EB8">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1.7 保密</w:t>
      </w:r>
    </w:p>
    <w:p w14:paraId="6E808457">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除法律法规规定或合同另有约定外，未经发包人同意，勘察人不得将发包人提供的图纸、文件以及声明需要保密的资料信息等商业秘密泄露给第三方。</w:t>
      </w:r>
    </w:p>
    <w:p w14:paraId="1CF13148">
      <w:pPr>
        <w:pStyle w:val="89"/>
        <w:snapToGrid w:val="0"/>
        <w:spacing w:line="360" w:lineRule="auto"/>
        <w:ind w:firstLine="690" w:firstLineChars="230"/>
        <w:rPr>
          <w:rStyle w:val="40"/>
          <w:rFonts w:hint="eastAsia" w:ascii="宋体" w:hAnsi="宋体" w:eastAsia="宋体" w:cs="宋体"/>
          <w:color w:val="auto"/>
          <w:highlight w:val="none"/>
        </w:rPr>
      </w:pPr>
      <w:r>
        <w:rPr>
          <w:rStyle w:val="40"/>
          <w:rFonts w:hint="eastAsia" w:ascii="宋体" w:hAnsi="宋体" w:eastAsia="宋体" w:cs="宋体"/>
          <w:color w:val="auto"/>
          <w:kern w:val="0"/>
          <w:sz w:val="30"/>
          <w:szCs w:val="30"/>
          <w:highlight w:val="none"/>
        </w:rPr>
        <w:t>除法律法规规定或合同另有约定外，未经勘察人同意，发包人不得将勘察人提供的技术文件、成果资料、技术秘密及声明需要保密的资料信息等商业秘密泄露给第三方。</w:t>
      </w:r>
    </w:p>
    <w:p w14:paraId="3844FFA8">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第2条 发包人</w:t>
      </w:r>
    </w:p>
    <w:p w14:paraId="2045C07E">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2.1 发包人权利</w:t>
      </w:r>
    </w:p>
    <w:p w14:paraId="537761A9">
      <w:pPr>
        <w:pStyle w:val="89"/>
        <w:tabs>
          <w:tab w:val="left" w:pos="540"/>
        </w:tabs>
        <w:adjustRightInd w:val="0"/>
        <w:snapToGrid w:val="0"/>
        <w:spacing w:line="360" w:lineRule="auto"/>
        <w:ind w:firstLine="600" w:firstLineChars="200"/>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2.1.1 发包人对勘察人的勘察工作有权依照合同约定实施监督，并对勘察成果予以验收。</w:t>
      </w:r>
    </w:p>
    <w:p w14:paraId="201D6070">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 xml:space="preserve">2.1.2 </w:t>
      </w:r>
      <w:r>
        <w:rPr>
          <w:rStyle w:val="40"/>
          <w:rFonts w:hint="eastAsia" w:ascii="宋体" w:hAnsi="宋体" w:eastAsia="宋体" w:cs="宋体"/>
          <w:color w:val="auto"/>
          <w:sz w:val="30"/>
          <w:szCs w:val="30"/>
          <w:highlight w:val="none"/>
        </w:rPr>
        <w:t>发包人对勘察人无法胜任工程勘察工作的人员有权提出更换。</w:t>
      </w:r>
    </w:p>
    <w:p w14:paraId="56D768AD">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2.1.3 发包人拥有勘察人为其项目编制的所有文件资料的使用权，包括投标文件、成果资料和数据等。</w:t>
      </w:r>
    </w:p>
    <w:p w14:paraId="31662D18">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2.2 发包人义务</w:t>
      </w:r>
    </w:p>
    <w:p w14:paraId="0013C462">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 xml:space="preserve">2.2.1 </w:t>
      </w:r>
      <w:r>
        <w:rPr>
          <w:rStyle w:val="40"/>
          <w:rFonts w:hint="eastAsia" w:ascii="宋体" w:hAnsi="宋体" w:eastAsia="宋体" w:cs="宋体"/>
          <w:color w:val="auto"/>
          <w:sz w:val="30"/>
          <w:szCs w:val="30"/>
          <w:highlight w:val="none"/>
        </w:rPr>
        <w:t>发包人应以书面形式向勘察人明确勘察任务及技术要求。</w:t>
      </w:r>
    </w:p>
    <w:p w14:paraId="13450425">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 xml:space="preserve">2.2.2 </w:t>
      </w:r>
      <w:r>
        <w:rPr>
          <w:rStyle w:val="40"/>
          <w:rFonts w:hint="eastAsia" w:ascii="宋体" w:hAnsi="宋体" w:eastAsia="宋体" w:cs="宋体"/>
          <w:color w:val="auto"/>
          <w:sz w:val="30"/>
          <w:szCs w:val="30"/>
          <w:highlight w:val="none"/>
        </w:rPr>
        <w:t>发包人应提供开展工程勘察工作所需要的图纸及技术资料，包括总平面图、地形图、已有水准点和坐标控制点等，若上述资料由勘察人负责搜集时，发包人应承担相关费用。</w:t>
      </w:r>
    </w:p>
    <w:p w14:paraId="4F61829D">
      <w:pPr>
        <w:pStyle w:val="89"/>
        <w:tabs>
          <w:tab w:val="left" w:pos="540"/>
        </w:tabs>
        <w:adjustRightInd w:val="0"/>
        <w:snapToGrid w:val="0"/>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rPr>
        <w:t xml:space="preserve">2.2.3 </w:t>
      </w:r>
      <w:r>
        <w:rPr>
          <w:rStyle w:val="40"/>
          <w:rFonts w:hint="eastAsia" w:ascii="宋体" w:hAnsi="宋体" w:eastAsia="宋体" w:cs="宋体"/>
          <w:color w:val="auto"/>
          <w:sz w:val="30"/>
          <w:szCs w:val="30"/>
          <w:highlight w:val="none"/>
        </w:rPr>
        <w:t>发包人应提供工程勘察作业所需的批准及许可文件，包括立项批复、占用和挖掘道路许可等。</w:t>
      </w:r>
    </w:p>
    <w:p w14:paraId="7D436455">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2.2.4</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sz w:val="30"/>
          <w:szCs w:val="30"/>
          <w:highlight w:val="none"/>
        </w:rPr>
        <w:t>发包人应为勘察人提供具备条件的作业场地及进场通道（包括土地征用、障碍物清除、场地平整、提供水电接口和青苗赔偿等）并承担相关费用。</w:t>
      </w:r>
    </w:p>
    <w:p w14:paraId="510EB24A">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2.2.5</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sz w:val="30"/>
          <w:szCs w:val="30"/>
          <w:highlight w:val="none"/>
        </w:rPr>
        <w:t>发包人应为勘察人提供作业场地内地下埋藏物（包括地下管线、地下构筑物等）的资料、图纸，没有资料、图纸的地区，发包人应委托专业机构查清地下埋藏物。若因发包人未提供上述资料、图纸，或提供的资料、图纸不实，致使勘察人在工程勘察工作过程中发生人身伤害或造成经济损失时，由发包人承担赔偿责任。</w:t>
      </w:r>
    </w:p>
    <w:p w14:paraId="5137A995">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 xml:space="preserve">2.2.6 </w:t>
      </w:r>
      <w:r>
        <w:rPr>
          <w:rStyle w:val="40"/>
          <w:rFonts w:hint="eastAsia" w:ascii="宋体" w:hAnsi="宋体" w:eastAsia="宋体" w:cs="宋体"/>
          <w:color w:val="auto"/>
          <w:sz w:val="30"/>
          <w:szCs w:val="30"/>
          <w:highlight w:val="none"/>
        </w:rPr>
        <w:t>发包人应按照法律法规规定为勘察人安全生产提供条件并支付安全生产防护费用，发包人不得要求勘察人违反安全生产管理规定进行作业。</w:t>
      </w:r>
    </w:p>
    <w:p w14:paraId="41F806C3">
      <w:pPr>
        <w:pStyle w:val="89"/>
        <w:tabs>
          <w:tab w:val="left" w:pos="540"/>
        </w:tabs>
        <w:adjustRightInd w:val="0"/>
        <w:snapToGrid w:val="0"/>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rPr>
        <w:t xml:space="preserve">2.2.7 </w:t>
      </w:r>
      <w:r>
        <w:rPr>
          <w:rStyle w:val="40"/>
          <w:rFonts w:hint="eastAsia" w:ascii="宋体" w:hAnsi="宋体" w:eastAsia="宋体" w:cs="宋体"/>
          <w:color w:val="auto"/>
          <w:sz w:val="30"/>
          <w:szCs w:val="30"/>
          <w:highlight w:val="none"/>
        </w:rPr>
        <w:t>若勘察现场需要看守，特别是在有毒、有害等危险现场作业时，发包人应派人负责安全保卫工作；按国家有关规定，对从事危险作业的现场人员进行保健防护，并承担费用。发包人对安全文明施工有特殊要求时，应在专用合同条款中另行约定。</w:t>
      </w:r>
    </w:p>
    <w:p w14:paraId="6060657F">
      <w:pPr>
        <w:pStyle w:val="89"/>
        <w:tabs>
          <w:tab w:val="left" w:pos="540"/>
        </w:tabs>
        <w:adjustRightInd w:val="0"/>
        <w:snapToGrid w:val="0"/>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rPr>
        <w:t>2.2.8</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sz w:val="30"/>
          <w:szCs w:val="30"/>
          <w:highlight w:val="none"/>
        </w:rPr>
        <w:t>发包人应对勘察人满足质量标准的已完工作，按照合同约定及时支付相应的工程勘察合同价款及费用。</w:t>
      </w:r>
    </w:p>
    <w:p w14:paraId="081C3318">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2.3 发包人代表</w:t>
      </w:r>
    </w:p>
    <w:p w14:paraId="4A0A62F2">
      <w:pPr>
        <w:pStyle w:val="89"/>
        <w:tabs>
          <w:tab w:val="left" w:pos="540"/>
        </w:tabs>
        <w:adjustRightInd w:val="0"/>
        <w:snapToGrid w:val="0"/>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发包人应在专用合同条款中明确其负责工程勘察的发包人代表的姓名、职务、联系方式及授权范围等事项。发包人代表在发包人的授权范围内，负责处理合同履行过程中与发包人有关的具体事宜。</w:t>
      </w:r>
    </w:p>
    <w:p w14:paraId="618CD26C">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第3条 勘察人</w:t>
      </w:r>
    </w:p>
    <w:p w14:paraId="2AEDA5D2">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3.1 勘察人权利</w:t>
      </w:r>
    </w:p>
    <w:p w14:paraId="0ADE0FC0">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 xml:space="preserve">3.1.1 </w:t>
      </w:r>
      <w:r>
        <w:rPr>
          <w:rStyle w:val="40"/>
          <w:rFonts w:hint="eastAsia" w:ascii="宋体" w:hAnsi="宋体" w:eastAsia="宋体" w:cs="宋体"/>
          <w:color w:val="auto"/>
          <w:sz w:val="30"/>
          <w:szCs w:val="30"/>
          <w:highlight w:val="none"/>
        </w:rPr>
        <w:t>勘察人在工程勘察期间，根据项目条件和技术标准、法律法规规定等方面的变化，有权向发包人提出增减合同工作量或修改技术方案的建议。</w:t>
      </w:r>
    </w:p>
    <w:p w14:paraId="7B93BD4D">
      <w:pPr>
        <w:pStyle w:val="89"/>
        <w:tabs>
          <w:tab w:val="left" w:pos="540"/>
        </w:tabs>
        <w:adjustRightInd w:val="0"/>
        <w:snapToGrid w:val="0"/>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rPr>
        <w:t xml:space="preserve">3.1.2 </w:t>
      </w:r>
      <w:r>
        <w:rPr>
          <w:rStyle w:val="40"/>
          <w:rFonts w:hint="eastAsia" w:ascii="宋体" w:hAnsi="宋体" w:eastAsia="宋体" w:cs="宋体"/>
          <w:color w:val="auto"/>
          <w:sz w:val="30"/>
          <w:szCs w:val="30"/>
          <w:highlight w:val="none"/>
        </w:rPr>
        <w:t>除建设工程主体部分的勘察外，</w:t>
      </w:r>
      <w:r>
        <w:rPr>
          <w:rStyle w:val="40"/>
          <w:rFonts w:hint="eastAsia" w:ascii="宋体" w:hAnsi="宋体" w:eastAsia="宋体" w:cs="宋体"/>
          <w:color w:val="auto"/>
          <w:sz w:val="30"/>
          <w:szCs w:val="30"/>
          <w:highlight w:val="none"/>
          <w:lang w:eastAsia="zh-CN"/>
        </w:rPr>
        <w:t>根据合同约定或</w:t>
      </w:r>
      <w:r>
        <w:rPr>
          <w:rStyle w:val="40"/>
          <w:rFonts w:hint="eastAsia" w:ascii="宋体" w:hAnsi="宋体" w:eastAsia="宋体" w:cs="宋体"/>
          <w:color w:val="auto"/>
          <w:sz w:val="30"/>
          <w:szCs w:val="30"/>
          <w:highlight w:val="none"/>
        </w:rPr>
        <w:t>经发包人同意，勘察人可以将建设工程其他部分的勘察分包给</w:t>
      </w:r>
      <w:r>
        <w:rPr>
          <w:rStyle w:val="40"/>
          <w:rFonts w:hint="eastAsia" w:ascii="宋体" w:hAnsi="宋体" w:eastAsia="宋体" w:cs="宋体"/>
          <w:color w:val="auto"/>
          <w:sz w:val="30"/>
          <w:szCs w:val="30"/>
          <w:highlight w:val="none"/>
          <w:lang w:eastAsia="zh-CN"/>
        </w:rPr>
        <w:t>其他</w:t>
      </w:r>
      <w:r>
        <w:rPr>
          <w:rStyle w:val="40"/>
          <w:rFonts w:hint="eastAsia" w:ascii="宋体" w:hAnsi="宋体" w:eastAsia="宋体" w:cs="宋体"/>
          <w:color w:val="auto"/>
          <w:sz w:val="30"/>
          <w:szCs w:val="30"/>
          <w:highlight w:val="none"/>
        </w:rPr>
        <w:t>具有相应资质等级的建设工程勘察单位。发包人对分包的特殊要求应在专用合同条款中另行约定。</w:t>
      </w:r>
    </w:p>
    <w:p w14:paraId="3E54DF35">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 xml:space="preserve">3.1.3 </w:t>
      </w:r>
      <w:r>
        <w:rPr>
          <w:rStyle w:val="40"/>
          <w:rFonts w:hint="eastAsia" w:ascii="宋体" w:hAnsi="宋体" w:eastAsia="宋体" w:cs="宋体"/>
          <w:color w:val="auto"/>
          <w:sz w:val="30"/>
          <w:szCs w:val="30"/>
          <w:highlight w:val="none"/>
        </w:rPr>
        <w:t>勘察人对其编制的所有文件资料，包括投标文件、成果资料、数据和专利技术等拥有知识产权。</w:t>
      </w:r>
    </w:p>
    <w:p w14:paraId="06AF3656">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3.2 勘察人义务</w:t>
      </w:r>
    </w:p>
    <w:p w14:paraId="2D0D2E86">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 xml:space="preserve">3.2.1 </w:t>
      </w:r>
      <w:r>
        <w:rPr>
          <w:rStyle w:val="40"/>
          <w:rFonts w:hint="eastAsia" w:ascii="宋体" w:hAnsi="宋体" w:eastAsia="宋体" w:cs="宋体"/>
          <w:color w:val="auto"/>
          <w:sz w:val="30"/>
          <w:szCs w:val="30"/>
          <w:highlight w:val="none"/>
        </w:rPr>
        <w:t>勘察人应按勘察任务书和技术要求并依据有关技术标准进行工程勘察工作。</w:t>
      </w:r>
    </w:p>
    <w:p w14:paraId="0F471A2C">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3.2.2</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sz w:val="30"/>
          <w:szCs w:val="30"/>
          <w:highlight w:val="none"/>
        </w:rPr>
        <w:t>勘察人应建立质量保证体系，按本合同约定的时间提交质量合格的成果资料，并对其质量负责。</w:t>
      </w:r>
    </w:p>
    <w:p w14:paraId="39C20015">
      <w:pPr>
        <w:pStyle w:val="89"/>
        <w:tabs>
          <w:tab w:val="left" w:pos="0"/>
        </w:tabs>
        <w:adjustRightInd w:val="0"/>
        <w:snapToGrid w:val="0"/>
        <w:spacing w:line="360" w:lineRule="auto"/>
        <w:ind w:left="590" w:leftChars="281"/>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rPr>
        <w:t xml:space="preserve">3.2.3 </w:t>
      </w:r>
      <w:r>
        <w:rPr>
          <w:rStyle w:val="40"/>
          <w:rFonts w:hint="eastAsia" w:ascii="宋体" w:hAnsi="宋体" w:eastAsia="宋体" w:cs="宋体"/>
          <w:color w:val="auto"/>
          <w:sz w:val="30"/>
          <w:szCs w:val="30"/>
          <w:highlight w:val="none"/>
        </w:rPr>
        <w:t>勘察人在提交成果资料后，应为发包人继续提供后期服务。</w:t>
      </w:r>
      <w:r>
        <w:rPr>
          <w:rStyle w:val="40"/>
          <w:rFonts w:hint="eastAsia" w:ascii="宋体" w:hAnsi="宋体" w:eastAsia="宋体" w:cs="宋体"/>
          <w:color w:val="auto"/>
          <w:kern w:val="0"/>
          <w:sz w:val="30"/>
          <w:szCs w:val="30"/>
          <w:highlight w:val="none"/>
        </w:rPr>
        <w:t xml:space="preserve">3.2.4 </w:t>
      </w:r>
      <w:r>
        <w:rPr>
          <w:rStyle w:val="40"/>
          <w:rFonts w:hint="eastAsia" w:ascii="宋体" w:hAnsi="宋体" w:eastAsia="宋体" w:cs="宋体"/>
          <w:color w:val="auto"/>
          <w:sz w:val="30"/>
          <w:szCs w:val="30"/>
          <w:highlight w:val="none"/>
        </w:rPr>
        <w:t>勘察人在工程勘察期间遇到地下文物时，应及时向发包人和</w:t>
      </w:r>
    </w:p>
    <w:p w14:paraId="5815D783">
      <w:pPr>
        <w:pStyle w:val="89"/>
        <w:tabs>
          <w:tab w:val="left" w:pos="0"/>
        </w:tabs>
        <w:adjustRightInd w:val="0"/>
        <w:snapToGrid w:val="0"/>
        <w:spacing w:line="360" w:lineRule="auto"/>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文物主管部门报告并妥善保护。</w:t>
      </w:r>
    </w:p>
    <w:p w14:paraId="7C1511A4">
      <w:pPr>
        <w:pStyle w:val="89"/>
        <w:tabs>
          <w:tab w:val="left" w:pos="540"/>
        </w:tabs>
        <w:adjustRightInd w:val="0"/>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3.2.5 勘察人开展工程勘察活动时应遵守有关</w:t>
      </w:r>
      <w:r>
        <w:rPr>
          <w:rStyle w:val="40"/>
          <w:rFonts w:hint="eastAsia" w:ascii="宋体" w:hAnsi="宋体" w:eastAsia="宋体" w:cs="宋体"/>
          <w:color w:val="auto"/>
          <w:sz w:val="30"/>
          <w:szCs w:val="30"/>
          <w:highlight w:val="none"/>
        </w:rPr>
        <w:t>职业健康及</w:t>
      </w:r>
      <w:r>
        <w:rPr>
          <w:rStyle w:val="40"/>
          <w:rFonts w:hint="eastAsia" w:ascii="宋体" w:hAnsi="宋体" w:eastAsia="宋体" w:cs="宋体"/>
          <w:color w:val="auto"/>
          <w:kern w:val="0"/>
          <w:sz w:val="30"/>
          <w:szCs w:val="30"/>
          <w:highlight w:val="none"/>
        </w:rPr>
        <w:t>安全生产方面</w:t>
      </w:r>
      <w:r>
        <w:rPr>
          <w:rStyle w:val="40"/>
          <w:rFonts w:hint="eastAsia" w:ascii="宋体" w:hAnsi="宋体" w:eastAsia="宋体" w:cs="宋体"/>
          <w:color w:val="auto"/>
          <w:sz w:val="30"/>
          <w:szCs w:val="30"/>
          <w:highlight w:val="none"/>
        </w:rPr>
        <w:t>的各项法律法规的规定</w:t>
      </w:r>
      <w:r>
        <w:rPr>
          <w:rStyle w:val="40"/>
          <w:rFonts w:hint="eastAsia" w:ascii="宋体" w:hAnsi="宋体" w:eastAsia="宋体" w:cs="宋体"/>
          <w:color w:val="auto"/>
          <w:kern w:val="0"/>
          <w:sz w:val="30"/>
          <w:szCs w:val="30"/>
          <w:highlight w:val="none"/>
        </w:rPr>
        <w:t>，采取安全防护措施，确保人员、设备和设施的安全。</w:t>
      </w:r>
    </w:p>
    <w:p w14:paraId="00D01ED1">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3.2.6 勘察人在燃气管道、热力管道、动力设备、输水管道、输电线路、临街交通要</w:t>
      </w:r>
      <w:r>
        <w:rPr>
          <w:rStyle w:val="40"/>
          <w:rFonts w:hint="eastAsia" w:ascii="宋体" w:hAnsi="宋体" w:eastAsia="宋体" w:cs="宋体"/>
          <w:color w:val="auto"/>
          <w:sz w:val="30"/>
          <w:szCs w:val="30"/>
          <w:highlight w:val="none"/>
        </w:rPr>
        <w:t>道及地下通道（地下隧道）附近等风险性较大的地点，以及在易燃易爆地段及放射、有毒环境中进</w:t>
      </w:r>
      <w:r>
        <w:rPr>
          <w:rStyle w:val="40"/>
          <w:rFonts w:hint="eastAsia" w:ascii="宋体" w:hAnsi="宋体" w:eastAsia="宋体" w:cs="宋体"/>
          <w:color w:val="auto"/>
          <w:kern w:val="0"/>
          <w:sz w:val="30"/>
          <w:szCs w:val="30"/>
          <w:highlight w:val="none"/>
        </w:rPr>
        <w:t>行工程勘察作业时，应编制安全防护方案并制定应急预案。</w:t>
      </w:r>
    </w:p>
    <w:p w14:paraId="7A527C13">
      <w:pPr>
        <w:pStyle w:val="89"/>
        <w:tabs>
          <w:tab w:val="left" w:pos="540"/>
        </w:tabs>
        <w:adjustRightInd w:val="0"/>
        <w:snapToGrid w:val="0"/>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kern w:val="0"/>
          <w:sz w:val="30"/>
          <w:szCs w:val="30"/>
          <w:highlight w:val="none"/>
        </w:rPr>
        <w:t>3.2.7</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sz w:val="30"/>
          <w:szCs w:val="30"/>
          <w:highlight w:val="none"/>
        </w:rPr>
        <w:t>勘察人应在勘察方案中列明环境保护的具体措施，并在合同履行期间采取合理措施保护作业现场环境。</w:t>
      </w:r>
    </w:p>
    <w:p w14:paraId="3CA5E6B4">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3.3 勘察人代表</w:t>
      </w:r>
    </w:p>
    <w:p w14:paraId="0D8D64F1">
      <w:pPr>
        <w:pStyle w:val="89"/>
        <w:tabs>
          <w:tab w:val="left" w:pos="360"/>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勘察人接受任务时，应在专用合同条款中明确其负责工程勘察的勘察人代表的姓名、职务、联系方式及授权范围等事项。勘察人代表在勘察人的授权范围内，负责处理合同履行过程中与勘察人有关的具体事宜。</w:t>
      </w:r>
    </w:p>
    <w:p w14:paraId="7987AA01">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第4条 工期</w:t>
      </w:r>
    </w:p>
    <w:p w14:paraId="647DF210">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4.1</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kern w:val="0"/>
          <w:sz w:val="30"/>
          <w:szCs w:val="30"/>
          <w:highlight w:val="none"/>
        </w:rPr>
        <w:t>开工及延期开工</w:t>
      </w:r>
    </w:p>
    <w:p w14:paraId="01CA795C">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4.1.1 勘察人应按合同约定的工期进行工程勘察工作，并接受发包人对工程勘察工作进度的监督、检查。</w:t>
      </w:r>
    </w:p>
    <w:p w14:paraId="5A3527F4">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4.1.2 因发包人原因不能按照合同约定的日期开工，发包人应以书面形式通知勘察人，推迟开工日期并相应顺延工期。</w:t>
      </w:r>
    </w:p>
    <w:p w14:paraId="6E753F7F">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4.2 成果提交日期</w:t>
      </w:r>
    </w:p>
    <w:p w14:paraId="0654DD2C">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勘察人应按照合同约定的日期或双方同意顺延的工期提交成果资料，具体可在专用合同条款中约定。</w:t>
      </w:r>
    </w:p>
    <w:p w14:paraId="4306A799">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4.3 发包人造成的工期延误</w:t>
      </w:r>
    </w:p>
    <w:p w14:paraId="555E64C5">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4.3.1 因以下情形造成工期延误，勘察人有权要求发包人延长工期、增加合同价款和（或）补偿费用：</w:t>
      </w:r>
    </w:p>
    <w:p w14:paraId="4428232C">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（1）发包人未能按合同约定提供图纸及开工条件；</w:t>
      </w:r>
    </w:p>
    <w:p w14:paraId="06126F32">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（2）发包人未能按合同约定及时支付定金、预付款和（或）进度款；</w:t>
      </w:r>
    </w:p>
    <w:p w14:paraId="12D9138F">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（3）变更导致合同工作量增加；</w:t>
      </w:r>
    </w:p>
    <w:p w14:paraId="26652823">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（4）发包人增加合同工作内容；</w:t>
      </w:r>
    </w:p>
    <w:p w14:paraId="317931A1">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（5）发包人改变工程勘察技术要求；</w:t>
      </w:r>
    </w:p>
    <w:p w14:paraId="54549915">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（6）发包人导致工期延误的其他情形。</w:t>
      </w:r>
    </w:p>
    <w:p w14:paraId="1FC9618E">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 xml:space="preserve">4.3.2 </w:t>
      </w:r>
      <w:r>
        <w:rPr>
          <w:rStyle w:val="40"/>
          <w:rFonts w:hint="eastAsia" w:ascii="宋体" w:hAnsi="宋体" w:eastAsia="宋体" w:cs="宋体"/>
          <w:bCs/>
          <w:color w:val="auto"/>
          <w:kern w:val="0"/>
          <w:sz w:val="30"/>
          <w:szCs w:val="30"/>
          <w:highlight w:val="none"/>
        </w:rPr>
        <w:t>除专用合同条款对期限另有约定外，</w:t>
      </w:r>
      <w:r>
        <w:rPr>
          <w:rStyle w:val="40"/>
          <w:rFonts w:hint="eastAsia" w:ascii="宋体" w:hAnsi="宋体" w:eastAsia="宋体" w:cs="宋体"/>
          <w:color w:val="auto"/>
          <w:kern w:val="0"/>
          <w:sz w:val="30"/>
          <w:szCs w:val="30"/>
          <w:highlight w:val="none"/>
        </w:rPr>
        <w:t>勘察人在第4.3.1款情形发生后7天内，应就延误的工期以书面形式向发包人提出报告。发包人在收到报告后7天内予以确认；逾期不予确认也不提出修改意见，视为同意顺延工期。补偿费用的确认程序参照第7.1款〔合同价款与调整〕执行。</w:t>
      </w:r>
    </w:p>
    <w:p w14:paraId="5FE10688">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4.4 勘察人造成的工期延误</w:t>
      </w:r>
    </w:p>
    <w:p w14:paraId="541AACCC">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勘察人因以下情形不能按照合同约定的日期或双方同意顺延的工期提交成果资料的，勘察人承担违约责任：</w:t>
      </w:r>
    </w:p>
    <w:p w14:paraId="74DF958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（1）勘察人未按合同约定开工日期开展工作造成工期延误的；</w:t>
      </w:r>
    </w:p>
    <w:p w14:paraId="7147649D">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（2）勘察人管理不善、组织不力造成工期延误的；</w:t>
      </w:r>
    </w:p>
    <w:p w14:paraId="38812149">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（3）因弥补勘察人自身原因导致的质量缺陷而造成工期延误的；</w:t>
      </w:r>
    </w:p>
    <w:p w14:paraId="105FD3F0">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（4）因勘察人成果资料不合格返工造成工期延误的；</w:t>
      </w:r>
    </w:p>
    <w:p w14:paraId="6E454E4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（5）勘察人导致工期延误的其他情形。</w:t>
      </w:r>
    </w:p>
    <w:p w14:paraId="067A3B19">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4.5 恶劣气候条件</w:t>
      </w:r>
    </w:p>
    <w:p w14:paraId="697A324F">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恶劣气候条件影响现场作业，导致现场作业难以进行，造成工期延误的，勘察人有权要求发包人延长工期，具体可参照第4.3.2款处理。</w:t>
      </w:r>
    </w:p>
    <w:p w14:paraId="4A96D600">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第5条 成果资料</w:t>
      </w:r>
    </w:p>
    <w:p w14:paraId="0F8F6E18">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5.1 成果质量</w:t>
      </w:r>
    </w:p>
    <w:p w14:paraId="099DB40B">
      <w:pPr>
        <w:pStyle w:val="89"/>
        <w:tabs>
          <w:tab w:val="left" w:pos="540"/>
          <w:tab w:val="left" w:pos="1260"/>
        </w:tabs>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5.1.1 成果质量应符合相关技术标准</w:t>
      </w:r>
      <w:r>
        <w:rPr>
          <w:rStyle w:val="40"/>
          <w:rFonts w:hint="eastAsia" w:ascii="宋体" w:hAnsi="宋体" w:eastAsia="宋体" w:cs="宋体"/>
          <w:color w:val="auto"/>
          <w:kern w:val="0"/>
          <w:sz w:val="30"/>
          <w:szCs w:val="30"/>
          <w:highlight w:val="none"/>
          <w:lang w:eastAsia="zh-CN"/>
        </w:rPr>
        <w:t>和深度规定</w:t>
      </w:r>
      <w:r>
        <w:rPr>
          <w:rStyle w:val="40"/>
          <w:rFonts w:hint="eastAsia" w:ascii="宋体" w:hAnsi="宋体" w:eastAsia="宋体" w:cs="宋体"/>
          <w:color w:val="auto"/>
          <w:kern w:val="0"/>
          <w:sz w:val="30"/>
          <w:szCs w:val="30"/>
          <w:highlight w:val="none"/>
        </w:rPr>
        <w:t>，且满足合同约定的质量要求。</w:t>
      </w:r>
    </w:p>
    <w:p w14:paraId="3406F835">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5.1.2 双方对工程勘察成果质量有争议时，由双方同意的第三方机构鉴定，所需费用及因此造成的损失，由责任方承担；双方均有责任</w:t>
      </w:r>
      <w:r>
        <w:rPr>
          <w:rStyle w:val="40"/>
          <w:rFonts w:hint="eastAsia" w:ascii="宋体" w:hAnsi="宋体" w:eastAsia="宋体" w:cs="宋体"/>
          <w:color w:val="auto"/>
          <w:kern w:val="0"/>
          <w:sz w:val="30"/>
          <w:szCs w:val="30"/>
          <w:highlight w:val="none"/>
          <w:lang w:eastAsia="zh-CN"/>
        </w:rPr>
        <w:t>的</w:t>
      </w:r>
      <w:r>
        <w:rPr>
          <w:rStyle w:val="40"/>
          <w:rFonts w:hint="eastAsia" w:ascii="宋体" w:hAnsi="宋体" w:eastAsia="宋体" w:cs="宋体"/>
          <w:color w:val="auto"/>
          <w:kern w:val="0"/>
          <w:sz w:val="30"/>
          <w:szCs w:val="30"/>
          <w:highlight w:val="none"/>
        </w:rPr>
        <w:t>，由双方根据其责任分别承担。</w:t>
      </w:r>
    </w:p>
    <w:p w14:paraId="37B80A33">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5.2 成果份数</w:t>
      </w:r>
    </w:p>
    <w:p w14:paraId="67A4C1F8">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勘察人应向发包人提交成果资料四份，发包人要求增加的份数，在专用合同条款中另行约定，发包人另行支付相应的费用。</w:t>
      </w:r>
    </w:p>
    <w:p w14:paraId="350F9A7B">
      <w:pPr>
        <w:pStyle w:val="89"/>
        <w:tabs>
          <w:tab w:val="left" w:pos="540"/>
        </w:tabs>
        <w:adjustRightInd w:val="0"/>
        <w:snapToGrid w:val="0"/>
        <w:spacing w:before="260" w:beforeLines="0" w:after="260" w:afterLines="0" w:line="360" w:lineRule="auto"/>
        <w:ind w:firstLine="602" w:firstLineChars="200"/>
        <w:jc w:val="left"/>
        <w:outlineLvl w:val="2"/>
        <w:rPr>
          <w:rStyle w:val="40"/>
          <w:rFonts w:hint="eastAsia" w:ascii="宋体" w:hAnsi="宋体" w:eastAsia="宋体" w:cs="宋体"/>
          <w:color w:val="auto"/>
          <w:kern w:val="0"/>
          <w:sz w:val="30"/>
          <w:szCs w:val="30"/>
          <w:highlight w:val="none"/>
        </w:rPr>
      </w:pPr>
      <w:r>
        <w:rPr>
          <w:rStyle w:val="40"/>
          <w:rFonts w:hint="eastAsia" w:ascii="宋体" w:hAnsi="宋体" w:eastAsia="宋体" w:cs="宋体"/>
          <w:b/>
          <w:bCs/>
          <w:color w:val="auto"/>
          <w:kern w:val="0"/>
          <w:sz w:val="30"/>
          <w:szCs w:val="30"/>
          <w:highlight w:val="none"/>
        </w:rPr>
        <w:t>5.3 成果交付</w:t>
      </w:r>
    </w:p>
    <w:p w14:paraId="6AEE7920">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勘察人按照约定时间和地点向发包人交付成果资料，发包人应出具书面签收单，内容包括成果名称、成果组成、成果份数、提交和签收日期、提交人与接收人的亲笔签名等。</w:t>
      </w:r>
    </w:p>
    <w:p w14:paraId="4774B9F2">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5.4 成果验收</w:t>
      </w:r>
    </w:p>
    <w:p w14:paraId="30652DD0">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勘察人向发包人提交成果资料后，如需对勘察成果组织验收的，发包人应及时组织验收。</w:t>
      </w:r>
      <w:r>
        <w:rPr>
          <w:rStyle w:val="40"/>
          <w:rFonts w:hint="eastAsia" w:ascii="宋体" w:hAnsi="宋体" w:eastAsia="宋体" w:cs="宋体"/>
          <w:bCs/>
          <w:color w:val="auto"/>
          <w:kern w:val="0"/>
          <w:sz w:val="30"/>
          <w:szCs w:val="30"/>
          <w:highlight w:val="none"/>
        </w:rPr>
        <w:t>除专用合同条款对期限另有约定外，</w:t>
      </w:r>
      <w:r>
        <w:rPr>
          <w:rStyle w:val="40"/>
          <w:rFonts w:hint="eastAsia" w:ascii="宋体" w:hAnsi="宋体" w:eastAsia="宋体" w:cs="宋体"/>
          <w:color w:val="auto"/>
          <w:kern w:val="0"/>
          <w:sz w:val="30"/>
          <w:szCs w:val="30"/>
          <w:highlight w:val="none"/>
        </w:rPr>
        <w:t>发包人14天内无正当理由不予组织验收，视为验收通过。</w:t>
      </w:r>
    </w:p>
    <w:p w14:paraId="71A3D507">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第6条 后期服务</w:t>
      </w:r>
    </w:p>
    <w:p w14:paraId="13253036">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6.1</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kern w:val="0"/>
          <w:sz w:val="30"/>
          <w:szCs w:val="30"/>
          <w:highlight w:val="none"/>
        </w:rPr>
        <w:t>后续技术服务</w:t>
      </w:r>
    </w:p>
    <w:p w14:paraId="318CD4EE">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勘察人应派专业技术人员为发包人提供后续技术服务，发包人应为其提供必要的工作和生活条件，后续技术服务的内容、费用和时限应由双方在专用合同条款中另行约定。</w:t>
      </w:r>
    </w:p>
    <w:p w14:paraId="6954AD04">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6.2 竣工验收</w:t>
      </w:r>
    </w:p>
    <w:p w14:paraId="3B0C5A3B">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工程竣工验收时，勘察人应按发包人要求参加竣工验收工作，并提供竣工验收所需相关资料。</w:t>
      </w:r>
    </w:p>
    <w:p w14:paraId="7F1A7531">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第7条 合同价款与支付</w:t>
      </w:r>
    </w:p>
    <w:p w14:paraId="665997CE">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7.1 合同价款与调整</w:t>
      </w:r>
    </w:p>
    <w:p w14:paraId="47A8629E">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7.1.1 依照法定程序进行招标工程的合同价款由发包人和勘察人依据中标价格载明在合同协议书中；非招标工程的合同价款由发包人和勘察人议定，并载明在合同协议书中。合同价款在合同协议书中约定后，除合同条款约定的合同价款调整因素外，任何一方不得擅自改变。</w:t>
      </w:r>
    </w:p>
    <w:p w14:paraId="115CB5E9">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7.1.2 合同当事人可任选下列一种合同价款的形式，双方可在专用合同条款中约定：</w:t>
      </w:r>
    </w:p>
    <w:p w14:paraId="7D07B638">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（1）总价合同</w:t>
      </w:r>
    </w:p>
    <w:p w14:paraId="4FF3DA50">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双方在专用合同条款中约定合同价款包含的风险范围和风险费用的计算方法，在约定的风险范围内合同价款不再调整。风险范围以外的合同价款调整因素和方法，应在专用合同条款中约定。</w:t>
      </w:r>
    </w:p>
    <w:p w14:paraId="5E1D4931">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p>
    <w:p w14:paraId="7EF7CDF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（2）单价合同</w:t>
      </w:r>
    </w:p>
    <w:p w14:paraId="02D0764F">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合同价款根据工作量的变化而调整，合同单价在风险范围内一般不予调整，双方可在专用合同条款中约定合同单价调整因素和方法。</w:t>
      </w:r>
    </w:p>
    <w:p w14:paraId="05EF011C">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（3）其他合同价款形式</w:t>
      </w:r>
    </w:p>
    <w:p w14:paraId="2A13F1FE">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合同当事人可在专用合同条款中约定其他合同价格形式。</w:t>
      </w:r>
    </w:p>
    <w:p w14:paraId="27502685">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7.1.3 需调整合同价款时，合同一方应及时将调整原因、调整金额以书面形式通知对方，双方共同确认调整金额后作为追加或减少的合同价款，与进度款同期支付。</w:t>
      </w:r>
      <w:r>
        <w:rPr>
          <w:rStyle w:val="40"/>
          <w:rFonts w:hint="eastAsia" w:ascii="宋体" w:hAnsi="宋体" w:eastAsia="宋体" w:cs="宋体"/>
          <w:bCs/>
          <w:color w:val="auto"/>
          <w:kern w:val="0"/>
          <w:sz w:val="30"/>
          <w:szCs w:val="30"/>
          <w:highlight w:val="none"/>
        </w:rPr>
        <w:t>除专用合同条款对期限另有约定外，</w:t>
      </w:r>
      <w:r>
        <w:rPr>
          <w:rStyle w:val="40"/>
          <w:rFonts w:hint="eastAsia" w:ascii="宋体" w:hAnsi="宋体" w:eastAsia="宋体" w:cs="宋体"/>
          <w:color w:val="auto"/>
          <w:kern w:val="0"/>
          <w:sz w:val="30"/>
          <w:szCs w:val="30"/>
          <w:highlight w:val="none"/>
        </w:rPr>
        <w:t>一方在收到对方的通知后7天内不予确认也不提出修改意见，视为已经同意该项调整。合同当事人就调整事项不能达成一致的，则按照第16条〔争议解决〕的约定处理。</w:t>
      </w:r>
    </w:p>
    <w:p w14:paraId="1CE2E3E9">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7.2 定金或预付款</w:t>
      </w:r>
    </w:p>
    <w:p w14:paraId="5B8ABBFF">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7.2.1 实行定金或预付款的，双方应在专用合同条款中约定发包人向勘察人支付定金或预付款数额，支付时间应不迟于约定的开工日期前7天。发包人不按约定支付，勘察人向发包人发出要求支付的通知，发包人收到通知后仍不能按要求支付，勘察人可在发出通知后推迟开工日期，并由发包人承担违约责任。</w:t>
      </w:r>
    </w:p>
    <w:p w14:paraId="5D84C783">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7.2.2 定金或预付款在进度款中抵扣，抵扣办法可在专用合同条款中约定。</w:t>
      </w:r>
    </w:p>
    <w:p w14:paraId="13305F40">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7.3 进度款支付</w:t>
      </w:r>
    </w:p>
    <w:p w14:paraId="11E463FB">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7.3.1 发包人应按照专用合同条款约定的进度款支付方式、支付条件和支付时间进行支付。</w:t>
      </w:r>
    </w:p>
    <w:p w14:paraId="4498543D">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7.3.2 第7.1款〔合同价款与调整〕和第8.2款〔变更合同价款确定〕确定调整的合同价款及其他条款中约定的追加或减少的合同价款，应与进度款同期调整支付。</w:t>
      </w:r>
    </w:p>
    <w:p w14:paraId="4E1FA490">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7.3.3 发包人超过约定的支付时间不支付进度款，勘察人可向发包人发出要求付款的通知，发包人收到勘察人通知后仍不能按要求付款，可与勘察人协商签订延期付款协议，经勘察人同意后可延期支付。</w:t>
      </w:r>
    </w:p>
    <w:p w14:paraId="271CA9C8">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7.3.4 发包人不按合同约定支付进度款，双方又未达成延期付款协议，勘察人可停止工程勘察作业和后期服务，由发包人承担违约责任。</w:t>
      </w:r>
    </w:p>
    <w:p w14:paraId="7A09B5EA">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7.4 合同价款结算</w:t>
      </w:r>
    </w:p>
    <w:p w14:paraId="615D2C54">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除专用合同条款另有约定外，发包人应在勘察人提交成果资料</w:t>
      </w:r>
      <w:r>
        <w:rPr>
          <w:rStyle w:val="40"/>
          <w:rFonts w:hint="eastAsia" w:ascii="宋体" w:hAnsi="宋体" w:eastAsia="宋体" w:cs="宋体"/>
          <w:color w:val="auto"/>
          <w:kern w:val="0"/>
          <w:sz w:val="30"/>
          <w:szCs w:val="30"/>
          <w:highlight w:val="none"/>
          <w:lang w:eastAsia="zh-CN"/>
        </w:rPr>
        <w:t>后</w:t>
      </w:r>
      <w:r>
        <w:rPr>
          <w:rStyle w:val="40"/>
          <w:rFonts w:hint="eastAsia" w:ascii="宋体" w:hAnsi="宋体" w:eastAsia="宋体" w:cs="宋体"/>
          <w:color w:val="auto"/>
          <w:kern w:val="0"/>
          <w:sz w:val="30"/>
          <w:szCs w:val="30"/>
          <w:highlight w:val="none"/>
        </w:rPr>
        <w:t>28天内，依据第7.1款〔合同价款与调整〕和第8.2款〔变更合同价款确定〕的约定进行最终合同价款确定，并予以全额支付。</w:t>
      </w:r>
    </w:p>
    <w:p w14:paraId="5850DE28">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第8条 变更与调整</w:t>
      </w:r>
    </w:p>
    <w:p w14:paraId="381502B4">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8.1 变更范围与确认</w:t>
      </w:r>
    </w:p>
    <w:p w14:paraId="2443D246">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8.1.1 变更范围</w:t>
      </w:r>
    </w:p>
    <w:p w14:paraId="354517D4">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本合同变更是指在合同签订日后发生的以下变更：</w:t>
      </w:r>
    </w:p>
    <w:p w14:paraId="267EEC6D">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（1）法律法规及技术标准的变化引起的变更；</w:t>
      </w:r>
    </w:p>
    <w:p w14:paraId="344A4BC0">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（2）规划方案或设计条件的变化引起的变更；</w:t>
      </w:r>
    </w:p>
    <w:p w14:paraId="62A984A1">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（3）不利物质条件引起的变更；</w:t>
      </w:r>
    </w:p>
    <w:p w14:paraId="0E18DC54">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（4）发包人的要求变化引起的变更；</w:t>
      </w:r>
    </w:p>
    <w:p w14:paraId="7EEBDC70">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（5）因政府临时禁令引起的变更；</w:t>
      </w:r>
    </w:p>
    <w:p w14:paraId="13A68DD6">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（6）其他专用合同条款中约定的变更。</w:t>
      </w:r>
    </w:p>
    <w:p w14:paraId="22BDD63C">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p>
    <w:p w14:paraId="4C747D65">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8.1.2 变更确认</w:t>
      </w:r>
    </w:p>
    <w:p w14:paraId="7028C28E">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当引起变更的情形出现，除专用合同条款对期限另有约定外，勘察人应在7天内就调整后的技术方案以书面形式向发包人提出变更要求，发包人应在收到报告后7天内予以确认，逾期不予确认也不提出修改意见，视为同意变更。</w:t>
      </w:r>
    </w:p>
    <w:p w14:paraId="5EC44B2B">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8.2 变更合同价款确定</w:t>
      </w:r>
    </w:p>
    <w:p w14:paraId="0ADF206A">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8.2.1 变更合同价款按下列方法进行：</w:t>
      </w:r>
    </w:p>
    <w:p w14:paraId="4D468B79">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（1）合同中已有适用于变更工程的价格，按合同已有的价格变更合同价款；</w:t>
      </w:r>
    </w:p>
    <w:p w14:paraId="08DEF5DC">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（2）合同中只有类似于变更工程的价格，可以参照类似价格变更合同价款；</w:t>
      </w:r>
    </w:p>
    <w:p w14:paraId="29F12749">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（3）合同中没有适用或类似于变更工程的价格，由勘察人提出适当的变更价格，经发包人确认后执行。</w:t>
      </w:r>
    </w:p>
    <w:p w14:paraId="032BD7F6">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8.2.2 除专用合同条款对期限另有约定外，一方应在双方确定变更事项后14天内向对方提出变更合同价款报告，否则视为该项变更不涉及合同价款的变更。</w:t>
      </w:r>
    </w:p>
    <w:p w14:paraId="73BA8783">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8.2.3 除专用合同条款对期限另有约定外，一方应在收到对方提交的变更合同价款报告之日起14天内予以确认。逾期无正当理由不予确认的，则视为该项变更合同价款报告已被确认。</w:t>
      </w:r>
    </w:p>
    <w:p w14:paraId="5FDBA38F">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8.2.4 一方不同意对方提出的合同价款变更，按第16条〔争议解决〕的约定处理。</w:t>
      </w:r>
    </w:p>
    <w:p w14:paraId="5EE4350A">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8.2.5 因勘察人自身原因导致的变更，勘察人无权要求追加合同价款。</w:t>
      </w:r>
    </w:p>
    <w:p w14:paraId="27A6E332">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第9条 知识产权</w:t>
      </w:r>
    </w:p>
    <w:p w14:paraId="05DA153C">
      <w:pPr>
        <w:pStyle w:val="89"/>
        <w:tabs>
          <w:tab w:val="left" w:pos="540"/>
          <w:tab w:val="left" w:pos="1260"/>
        </w:tabs>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color w:val="auto"/>
          <w:kern w:val="0"/>
          <w:sz w:val="30"/>
          <w:szCs w:val="30"/>
          <w:highlight w:val="none"/>
        </w:rPr>
        <w:t xml:space="preserve">9.1 </w:t>
      </w:r>
      <w:r>
        <w:rPr>
          <w:rStyle w:val="40"/>
          <w:rFonts w:hint="eastAsia" w:ascii="宋体" w:hAnsi="宋体" w:eastAsia="宋体" w:cs="宋体"/>
          <w:color w:val="auto"/>
          <w:kern w:val="0"/>
          <w:sz w:val="30"/>
          <w:szCs w:val="30"/>
          <w:highlight w:val="none"/>
        </w:rPr>
        <w:t>除专用合同条款另有约定外，发包人提供给勘察人的图纸、发包人为实施工程自行编制或委托编制的反映发包人要求或其他类似性质的文件的著作权属于发包人，勘察人可以为实现本合同目的而复制、使用此类文件，但不能用于与本合同无关的其他事项。未经发包人书面同意，勘察人不得为了本合同以外的目的而复制、使用上述文件或将之提供给任何第三方。</w:t>
      </w:r>
    </w:p>
    <w:p w14:paraId="5ACE67A6">
      <w:pPr>
        <w:pStyle w:val="89"/>
        <w:tabs>
          <w:tab w:val="left" w:pos="720"/>
          <w:tab w:val="left" w:pos="1260"/>
        </w:tabs>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bCs/>
          <w:color w:val="auto"/>
          <w:kern w:val="0"/>
          <w:sz w:val="30"/>
          <w:szCs w:val="32"/>
          <w:highlight w:val="none"/>
        </w:rPr>
        <w:t xml:space="preserve">9.2 </w:t>
      </w:r>
      <w:r>
        <w:rPr>
          <w:rStyle w:val="40"/>
          <w:rFonts w:hint="eastAsia" w:ascii="宋体" w:hAnsi="宋体" w:eastAsia="宋体" w:cs="宋体"/>
          <w:color w:val="auto"/>
          <w:kern w:val="0"/>
          <w:sz w:val="30"/>
          <w:szCs w:val="30"/>
          <w:highlight w:val="none"/>
        </w:rPr>
        <w:t>除专用合同条款另有约定外，勘察人为实施工程所编制的成果文件的著作权属于勘察人，发包人可因本工程的需要而复制、使用此类文件，但不能擅自修改或用于与本合同无关的其他事项。未经勘察人书面同意，发包人不得为了本合同以外的目的而复制、使用上述文件或将之提供给任何第三方。</w:t>
      </w:r>
    </w:p>
    <w:p w14:paraId="623CA631">
      <w:pPr>
        <w:pStyle w:val="89"/>
        <w:tabs>
          <w:tab w:val="left" w:pos="720"/>
          <w:tab w:val="left" w:pos="1260"/>
        </w:tabs>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bCs/>
          <w:color w:val="auto"/>
          <w:kern w:val="0"/>
          <w:sz w:val="30"/>
          <w:szCs w:val="30"/>
          <w:highlight w:val="none"/>
        </w:rPr>
        <w:t xml:space="preserve">9.3 </w:t>
      </w:r>
      <w:r>
        <w:rPr>
          <w:rStyle w:val="40"/>
          <w:rFonts w:hint="eastAsia" w:ascii="宋体" w:hAnsi="宋体" w:eastAsia="宋体" w:cs="宋体"/>
          <w:color w:val="auto"/>
          <w:kern w:val="0"/>
          <w:sz w:val="30"/>
          <w:szCs w:val="30"/>
          <w:highlight w:val="none"/>
        </w:rPr>
        <w:t>合同当事人保证在履行本合同过程中不侵犯对方及第三方的知识产权。勘察人在工程勘察时，因侵犯他人的专利权或其他知识产权所引起的责任，由勘察人承担；因发包人提供的基础资料导致侵权的，由发包人承担责任。</w:t>
      </w:r>
    </w:p>
    <w:p w14:paraId="28954715">
      <w:pPr>
        <w:pStyle w:val="89"/>
        <w:tabs>
          <w:tab w:val="left" w:pos="720"/>
          <w:tab w:val="left" w:pos="1260"/>
        </w:tabs>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bCs/>
          <w:color w:val="auto"/>
          <w:kern w:val="0"/>
          <w:sz w:val="30"/>
          <w:szCs w:val="30"/>
          <w:highlight w:val="none"/>
        </w:rPr>
        <w:t xml:space="preserve">9.4 </w:t>
      </w:r>
      <w:r>
        <w:rPr>
          <w:rStyle w:val="40"/>
          <w:rFonts w:hint="eastAsia" w:ascii="宋体" w:hAnsi="宋体" w:eastAsia="宋体" w:cs="宋体"/>
          <w:color w:val="auto"/>
          <w:kern w:val="0"/>
          <w:sz w:val="30"/>
          <w:szCs w:val="30"/>
          <w:highlight w:val="none"/>
        </w:rPr>
        <w:t>在不损害对方利益情况下，合同当事人双方均有权在申报奖项、制作宣传印刷品及出版物时使用有关项目的文字和图片材料。</w:t>
      </w:r>
    </w:p>
    <w:p w14:paraId="6FF8F9B6">
      <w:pPr>
        <w:pStyle w:val="89"/>
        <w:tabs>
          <w:tab w:val="left" w:pos="720"/>
          <w:tab w:val="left" w:pos="1260"/>
        </w:tabs>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bCs/>
          <w:color w:val="auto"/>
          <w:kern w:val="0"/>
          <w:sz w:val="30"/>
          <w:szCs w:val="30"/>
          <w:highlight w:val="none"/>
        </w:rPr>
        <w:t xml:space="preserve">9.5 </w:t>
      </w:r>
      <w:r>
        <w:rPr>
          <w:rStyle w:val="40"/>
          <w:rFonts w:hint="eastAsia" w:ascii="宋体" w:hAnsi="宋体" w:eastAsia="宋体" w:cs="宋体"/>
          <w:color w:val="auto"/>
          <w:kern w:val="0"/>
          <w:sz w:val="30"/>
          <w:szCs w:val="30"/>
          <w:highlight w:val="none"/>
        </w:rPr>
        <w:t>除专用合同条款另有约定外，勘察人在合同签订前和签订时已确定采用的专利、专有技术、技术秘密的使用费已包含在合同价款中。</w:t>
      </w:r>
    </w:p>
    <w:p w14:paraId="1DDFED31">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第10条 不可抗力</w:t>
      </w:r>
    </w:p>
    <w:p w14:paraId="3A3C5665">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10.1 不可抗力的确认</w:t>
      </w:r>
    </w:p>
    <w:p w14:paraId="08F836F4">
      <w:pPr>
        <w:pStyle w:val="89"/>
        <w:tabs>
          <w:tab w:val="left" w:pos="720"/>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2"/>
          <w:highlight w:val="none"/>
        </w:rPr>
        <w:t xml:space="preserve">10.1.1 </w:t>
      </w:r>
      <w:r>
        <w:rPr>
          <w:rStyle w:val="40"/>
          <w:rFonts w:hint="eastAsia" w:ascii="宋体" w:hAnsi="宋体" w:eastAsia="宋体" w:cs="宋体"/>
          <w:color w:val="auto"/>
          <w:kern w:val="0"/>
          <w:sz w:val="30"/>
          <w:szCs w:val="30"/>
          <w:highlight w:val="none"/>
        </w:rPr>
        <w:t>不可抗力是在订立合同时不可合理预见，在履行合同中不可避免的发生且不能克服的自然灾害和社会突发事件，如地震、海啸、瘟疫、洪水、骚乱、暴动、战争以及专用条款约定的其他自然灾害和社会突发事件。</w:t>
      </w:r>
    </w:p>
    <w:p w14:paraId="0623D421">
      <w:pPr>
        <w:pStyle w:val="89"/>
        <w:tabs>
          <w:tab w:val="left" w:pos="720"/>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2"/>
          <w:highlight w:val="none"/>
        </w:rPr>
        <w:t xml:space="preserve">10.1.2 </w:t>
      </w:r>
      <w:r>
        <w:rPr>
          <w:rStyle w:val="40"/>
          <w:rFonts w:hint="eastAsia" w:ascii="宋体" w:hAnsi="宋体" w:eastAsia="宋体" w:cs="宋体"/>
          <w:color w:val="auto"/>
          <w:kern w:val="0"/>
          <w:sz w:val="30"/>
          <w:szCs w:val="30"/>
          <w:highlight w:val="none"/>
        </w:rPr>
        <w:t>不可抗力发生后，发包人和勘察人应收集不可抗力发生及造成损失的证据。合同当事双方对是否属于不可抗力或其损失发生争议时，按第16条〔争议解决〕的约定处理。</w:t>
      </w:r>
    </w:p>
    <w:p w14:paraId="51367AE9">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10.2 不可抗力的通知</w:t>
      </w:r>
    </w:p>
    <w:p w14:paraId="7FF91B72">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10.2.1 遇有不可抗力发生时，发包人和勘察人应立即通知对方，双方应共同采取措施减少损失。除专用合同条款对期限另有约定外，不可抗力持续发生，勘察人应每隔7天向发包人报告一次受害损失情况。</w:t>
      </w:r>
    </w:p>
    <w:p w14:paraId="21199DD7">
      <w:pPr>
        <w:pStyle w:val="89"/>
        <w:tabs>
          <w:tab w:val="left" w:pos="162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10.2.2 除专用合同条款对期限另有约定外，不可抗力结束后2天内，勘察人向发包人通报受害损失情况及预计清理和修复的费用；不可抗力结束后14天内，勘察人向发包人提交清理和修复费用的正式报告及有关资料。</w:t>
      </w:r>
    </w:p>
    <w:p w14:paraId="0C9E2674">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10.3 不可抗力后果的承担</w:t>
      </w:r>
    </w:p>
    <w:p w14:paraId="0681E5B7">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10.3.1 因不可抗力发生的费用及延误的工期由双方按以下方法分别承担：</w:t>
      </w:r>
    </w:p>
    <w:p w14:paraId="4C627725">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（1）发包人和勘察人人员伤亡由合同当事人双方自行负责，并承担相应费用；</w:t>
      </w:r>
    </w:p>
    <w:p w14:paraId="5D71B4AE">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（2）勘察人机械设备损坏及停工损失，由勘察人承担；</w:t>
      </w:r>
    </w:p>
    <w:p w14:paraId="57EC0620">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（3）停工期间，勘察人应发包人要求留在作业场地的管理人员及保卫人员的费用由发包人承担；</w:t>
      </w:r>
    </w:p>
    <w:p w14:paraId="64718AD4">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（4）作业场地发生的清理、修复费用由发包人承担；</w:t>
      </w:r>
    </w:p>
    <w:p w14:paraId="0065AE0D">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（5）延误的工期相应顺延。</w:t>
      </w:r>
    </w:p>
    <w:p w14:paraId="38A6919D">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10.3.2 因合同一方迟延履行合同后发生不可抗力的，不能免除迟延履行方的相应责任。</w:t>
      </w:r>
    </w:p>
    <w:p w14:paraId="462E9D98">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第11条 合同生效与终止</w:t>
      </w:r>
    </w:p>
    <w:p w14:paraId="79749505">
      <w:pPr>
        <w:pStyle w:val="89"/>
        <w:tabs>
          <w:tab w:val="left" w:pos="1260"/>
        </w:tabs>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color w:val="auto"/>
          <w:kern w:val="0"/>
          <w:sz w:val="30"/>
          <w:szCs w:val="30"/>
          <w:highlight w:val="none"/>
        </w:rPr>
        <w:t xml:space="preserve">11.1 </w:t>
      </w:r>
      <w:r>
        <w:rPr>
          <w:rStyle w:val="40"/>
          <w:rFonts w:hint="eastAsia" w:ascii="宋体" w:hAnsi="宋体" w:eastAsia="宋体" w:cs="宋体"/>
          <w:color w:val="auto"/>
          <w:kern w:val="0"/>
          <w:sz w:val="30"/>
          <w:szCs w:val="30"/>
          <w:highlight w:val="none"/>
        </w:rPr>
        <w:t>双方在合同协议书中约定合同生效方式。</w:t>
      </w:r>
    </w:p>
    <w:p w14:paraId="5FCFA257">
      <w:pPr>
        <w:pStyle w:val="89"/>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color w:val="auto"/>
          <w:kern w:val="0"/>
          <w:sz w:val="30"/>
          <w:szCs w:val="30"/>
          <w:highlight w:val="none"/>
        </w:rPr>
        <w:t xml:space="preserve">11.2 </w:t>
      </w:r>
      <w:r>
        <w:rPr>
          <w:rStyle w:val="40"/>
          <w:rFonts w:hint="eastAsia" w:ascii="宋体" w:hAnsi="宋体" w:eastAsia="宋体" w:cs="宋体"/>
          <w:color w:val="auto"/>
          <w:kern w:val="0"/>
          <w:sz w:val="30"/>
          <w:szCs w:val="30"/>
          <w:highlight w:val="none"/>
        </w:rPr>
        <w:t>发包人、勘察人履行合同全部义务，合同价款支付完毕，本合同即告终止。</w:t>
      </w:r>
    </w:p>
    <w:p w14:paraId="564C3A69">
      <w:pPr>
        <w:pStyle w:val="89"/>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color w:val="auto"/>
          <w:kern w:val="0"/>
          <w:sz w:val="30"/>
          <w:szCs w:val="30"/>
          <w:highlight w:val="none"/>
        </w:rPr>
        <w:t xml:space="preserve">11.3 </w:t>
      </w:r>
      <w:r>
        <w:rPr>
          <w:rStyle w:val="40"/>
          <w:rFonts w:hint="eastAsia" w:ascii="宋体" w:hAnsi="宋体" w:eastAsia="宋体" w:cs="宋体"/>
          <w:color w:val="auto"/>
          <w:kern w:val="0"/>
          <w:sz w:val="30"/>
          <w:szCs w:val="30"/>
          <w:highlight w:val="none"/>
        </w:rPr>
        <w:t>合同的权利义务终止后，合同当事人应遵循诚实信用原则，履行通知、协助和保密等义务。</w:t>
      </w:r>
    </w:p>
    <w:p w14:paraId="49045EB3">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第12条 合同解除</w:t>
      </w:r>
    </w:p>
    <w:p w14:paraId="7FB04149">
      <w:pPr>
        <w:pStyle w:val="89"/>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color w:val="auto"/>
          <w:kern w:val="0"/>
          <w:sz w:val="30"/>
          <w:szCs w:val="30"/>
          <w:highlight w:val="none"/>
        </w:rPr>
        <w:t>12.1</w:t>
      </w:r>
      <w:r>
        <w:rPr>
          <w:rStyle w:val="40"/>
          <w:rFonts w:hint="eastAsia" w:ascii="宋体" w:hAnsi="宋体" w:eastAsia="宋体" w:cs="宋体"/>
          <w:b/>
          <w:color w:val="auto"/>
          <w:kern w:val="0"/>
          <w:sz w:val="30"/>
          <w:szCs w:val="30"/>
          <w:highlight w:val="none"/>
          <w:lang w:val="en-US" w:eastAsia="zh-CN"/>
        </w:rPr>
        <w:t xml:space="preserve"> </w:t>
      </w:r>
      <w:r>
        <w:rPr>
          <w:rStyle w:val="40"/>
          <w:rFonts w:hint="eastAsia" w:ascii="宋体" w:hAnsi="宋体" w:eastAsia="宋体" w:cs="宋体"/>
          <w:color w:val="auto"/>
          <w:kern w:val="0"/>
          <w:sz w:val="30"/>
          <w:szCs w:val="30"/>
          <w:highlight w:val="none"/>
        </w:rPr>
        <w:t>有下列情形之一的，发包人、勘察人可以解除合同：</w:t>
      </w:r>
    </w:p>
    <w:p w14:paraId="6B3A169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（1）因不可抗力致使合同无法履行；</w:t>
      </w:r>
    </w:p>
    <w:p w14:paraId="775DF56B">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（2）发生未按第7.2款〔定金或预付款〕或第7.3款〔进度款支付〕约定按时支付合同价款的情况，停止作业超过28天，勘察人有权解除合同，由发包人承担违约责任；</w:t>
      </w:r>
    </w:p>
    <w:p w14:paraId="6E446B8C">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（3）勘察人将其承包的全部工程转包给他人或者肢解以后以分包的名义分别转包给他人，发包人有权解除合同，由勘察人承担违约责任；</w:t>
      </w:r>
    </w:p>
    <w:p w14:paraId="70306DB4">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（4）发包人和勘察人协商一致可以解除合同的其他情形。</w:t>
      </w:r>
    </w:p>
    <w:p w14:paraId="0EA1C2E2">
      <w:pPr>
        <w:pStyle w:val="89"/>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color w:val="auto"/>
          <w:kern w:val="0"/>
          <w:sz w:val="30"/>
          <w:szCs w:val="30"/>
          <w:highlight w:val="none"/>
        </w:rPr>
        <w:t xml:space="preserve">12.2 </w:t>
      </w:r>
      <w:r>
        <w:rPr>
          <w:rStyle w:val="40"/>
          <w:rFonts w:hint="eastAsia" w:ascii="宋体" w:hAnsi="宋体" w:eastAsia="宋体" w:cs="宋体"/>
          <w:color w:val="auto"/>
          <w:kern w:val="0"/>
          <w:sz w:val="30"/>
          <w:szCs w:val="30"/>
          <w:highlight w:val="none"/>
        </w:rPr>
        <w:t>一方依据第12.1款约定要求解除合同的，应以书面形式向对方发出解除合同的通知，并在发出通知前不少于14天告知对方，通知到达对方时合同解除。对解除合同有争议的，按第16条〔争议解决〕的约定处理。</w:t>
      </w:r>
    </w:p>
    <w:p w14:paraId="4841EC3C">
      <w:pPr>
        <w:pStyle w:val="89"/>
        <w:tabs>
          <w:tab w:val="left" w:pos="1260"/>
        </w:tabs>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color w:val="auto"/>
          <w:kern w:val="0"/>
          <w:sz w:val="30"/>
          <w:szCs w:val="30"/>
          <w:highlight w:val="none"/>
        </w:rPr>
        <w:t xml:space="preserve">12.3 </w:t>
      </w:r>
      <w:r>
        <w:rPr>
          <w:rStyle w:val="40"/>
          <w:rFonts w:hint="eastAsia" w:ascii="宋体" w:hAnsi="宋体" w:eastAsia="宋体" w:cs="宋体"/>
          <w:color w:val="auto"/>
          <w:kern w:val="0"/>
          <w:sz w:val="30"/>
          <w:szCs w:val="30"/>
          <w:highlight w:val="none"/>
        </w:rPr>
        <w:t>因不可抗力致使合同无法履行时，发包人应按合同约定向勘察人支付已完工作量相对应比例的合同价款后解除合同。</w:t>
      </w:r>
    </w:p>
    <w:p w14:paraId="7197F57B">
      <w:pPr>
        <w:pStyle w:val="89"/>
        <w:tabs>
          <w:tab w:val="left" w:pos="1260"/>
        </w:tabs>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color w:val="auto"/>
          <w:kern w:val="0"/>
          <w:sz w:val="30"/>
          <w:szCs w:val="30"/>
          <w:highlight w:val="none"/>
        </w:rPr>
        <w:t xml:space="preserve">12.4 </w:t>
      </w:r>
      <w:r>
        <w:rPr>
          <w:rStyle w:val="40"/>
          <w:rFonts w:hint="eastAsia" w:ascii="宋体" w:hAnsi="宋体" w:eastAsia="宋体" w:cs="宋体"/>
          <w:color w:val="auto"/>
          <w:kern w:val="0"/>
          <w:sz w:val="30"/>
          <w:szCs w:val="30"/>
          <w:highlight w:val="none"/>
        </w:rPr>
        <w:t>合同解除后，勘察人应按发包人要求将自有设备和人员撤出作业场地，发包人应为勘察人撤出提供必要条件。</w:t>
      </w:r>
    </w:p>
    <w:p w14:paraId="16012A96">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第13条 责任与保险</w:t>
      </w:r>
    </w:p>
    <w:p w14:paraId="6A4C7A4D">
      <w:pPr>
        <w:pStyle w:val="89"/>
        <w:tabs>
          <w:tab w:val="left" w:pos="540"/>
        </w:tabs>
        <w:adjustRightInd w:val="0"/>
        <w:snapToGrid w:val="0"/>
        <w:spacing w:line="360" w:lineRule="auto"/>
        <w:ind w:firstLine="602"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b/>
          <w:color w:val="auto"/>
          <w:kern w:val="0"/>
          <w:sz w:val="30"/>
          <w:szCs w:val="30"/>
          <w:highlight w:val="none"/>
        </w:rPr>
        <w:t xml:space="preserve">13.1 </w:t>
      </w:r>
      <w:r>
        <w:rPr>
          <w:rStyle w:val="40"/>
          <w:rFonts w:hint="eastAsia" w:ascii="宋体" w:hAnsi="宋体" w:eastAsia="宋体" w:cs="宋体"/>
          <w:color w:val="auto"/>
          <w:kern w:val="0"/>
          <w:sz w:val="30"/>
          <w:szCs w:val="30"/>
          <w:highlight w:val="none"/>
        </w:rPr>
        <w:t>勘察人应运用一切合理的专业技术和经验，按照公认的职业标准尽其全部职责和谨慎、勤勉地履行其在本合同项下的责任和义务。</w:t>
      </w:r>
    </w:p>
    <w:p w14:paraId="6B7CE786">
      <w:pPr>
        <w:pStyle w:val="89"/>
        <w:tabs>
          <w:tab w:val="left" w:pos="540"/>
        </w:tabs>
        <w:adjustRightInd w:val="0"/>
        <w:snapToGrid w:val="0"/>
        <w:spacing w:line="360" w:lineRule="auto"/>
        <w:ind w:firstLine="602"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b/>
          <w:color w:val="auto"/>
          <w:kern w:val="0"/>
          <w:sz w:val="30"/>
          <w:szCs w:val="30"/>
          <w:highlight w:val="none"/>
        </w:rPr>
        <w:t xml:space="preserve">13.2 </w:t>
      </w:r>
      <w:r>
        <w:rPr>
          <w:rStyle w:val="40"/>
          <w:rFonts w:hint="eastAsia" w:ascii="宋体" w:hAnsi="宋体" w:eastAsia="宋体" w:cs="宋体"/>
          <w:color w:val="auto"/>
          <w:kern w:val="0"/>
          <w:sz w:val="30"/>
          <w:szCs w:val="30"/>
          <w:highlight w:val="none"/>
        </w:rPr>
        <w:t>合同当事人可按照法律法规的要求在专用合同条款中约定履行本合同所需要的工程勘察责任保险，并使其于合同责任期内保持有效。</w:t>
      </w:r>
    </w:p>
    <w:p w14:paraId="36FD2A81">
      <w:pPr>
        <w:pStyle w:val="89"/>
        <w:tabs>
          <w:tab w:val="left" w:pos="540"/>
        </w:tabs>
        <w:adjustRightInd w:val="0"/>
        <w:snapToGrid w:val="0"/>
        <w:spacing w:line="360" w:lineRule="auto"/>
        <w:ind w:firstLine="602"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b/>
          <w:color w:val="auto"/>
          <w:kern w:val="0"/>
          <w:sz w:val="30"/>
          <w:szCs w:val="30"/>
          <w:highlight w:val="none"/>
        </w:rPr>
        <w:t xml:space="preserve">13.3 </w:t>
      </w:r>
      <w:r>
        <w:rPr>
          <w:rStyle w:val="40"/>
          <w:rFonts w:hint="eastAsia" w:ascii="宋体" w:hAnsi="宋体" w:eastAsia="宋体" w:cs="宋体"/>
          <w:color w:val="auto"/>
          <w:kern w:val="0"/>
          <w:sz w:val="30"/>
          <w:szCs w:val="30"/>
          <w:highlight w:val="none"/>
        </w:rPr>
        <w:t>勘察人应依照法律法规的规定为勘察作业人员参加工伤保险、人身意外伤害险和其他保险。</w:t>
      </w:r>
    </w:p>
    <w:p w14:paraId="0E379343">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第14条 违约</w:t>
      </w:r>
    </w:p>
    <w:p w14:paraId="745EDE08">
      <w:pPr>
        <w:pStyle w:val="95"/>
        <w:keepNext w:val="0"/>
        <w:keepLines w:val="0"/>
        <w:tabs>
          <w:tab w:val="left" w:pos="180"/>
          <w:tab w:val="left" w:pos="36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14.1 发包人违约</w:t>
      </w:r>
    </w:p>
    <w:p w14:paraId="2D47A233">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14.1.1 发包人违约情形</w:t>
      </w:r>
    </w:p>
    <w:p w14:paraId="5FFFC4FC">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（1）合同生效后，发包人无故要求终止或解除合同；</w:t>
      </w:r>
    </w:p>
    <w:p w14:paraId="0FDEFBEC">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（2）发包人未按第7.2款〔定金或预付款〕约定按时支付定金或预付款；</w:t>
      </w:r>
    </w:p>
    <w:p w14:paraId="298EFA4D">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（3）发包人未按第7.3款〔进度款支付〕约定按时支付进度款；</w:t>
      </w:r>
    </w:p>
    <w:p w14:paraId="4C359F5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（4）发包人不履行合同义务或不按合同约定履行义务的其他情形。</w:t>
      </w:r>
    </w:p>
    <w:p w14:paraId="43FCE794">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14.1.2 发包人违约责任</w:t>
      </w:r>
    </w:p>
    <w:p w14:paraId="78B023D1">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28"/>
          <w:highlight w:val="none"/>
        </w:rPr>
        <w:t>（1）</w:t>
      </w:r>
      <w:r>
        <w:rPr>
          <w:rStyle w:val="40"/>
          <w:rFonts w:hint="eastAsia" w:ascii="宋体" w:hAnsi="宋体" w:eastAsia="宋体" w:cs="宋体"/>
          <w:color w:val="auto"/>
          <w:kern w:val="0"/>
          <w:sz w:val="30"/>
          <w:szCs w:val="30"/>
          <w:highlight w:val="none"/>
        </w:rPr>
        <w:t>合同生效后，发包人无故要求终止或解除合同，勘察人未开始勘察工作的，不退还发包人已付的定金或发包人按照专用合同条款约定向勘察人支付违约金；勘察人已开始勘察工作的，若完成计划工作量不足50%的，发包人应支付勘察人合同价款的50%;完成计划工作量超过50%的，发包人应支付勘察人合同价款的100%。</w:t>
      </w:r>
    </w:p>
    <w:p w14:paraId="2C584B8D">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发包人发生其他违约情形时，发包人应承担由此增加的费用和工期延误损失，并给予勘察人合理赔偿。双方可在专用合同条款内约定发包人赔偿勘察人损失的计算方法或者发包人应支付违约金的数额或计算方法。</w:t>
      </w:r>
    </w:p>
    <w:p w14:paraId="39F7D2B1">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14.2 勘察人违约</w:t>
      </w:r>
    </w:p>
    <w:p w14:paraId="1D0367AB">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14.2.1 勘察人违约情形</w:t>
      </w:r>
    </w:p>
    <w:p w14:paraId="61C8AD2D">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（1）合同生效后，勘察人因自身原因要求终止或解除合同；</w:t>
      </w:r>
    </w:p>
    <w:p w14:paraId="569A69C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（2）因勘察人原因不能按照合同约定的日期或合同当事人同意顺延的工期提交成果资料；</w:t>
      </w:r>
    </w:p>
    <w:p w14:paraId="33D46141">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（3）因勘察人原因造成成果资料质量达不到合同约定的质量标准；</w:t>
      </w:r>
    </w:p>
    <w:p w14:paraId="6DE37F90">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（4）勘察人不履行合同义务或未按约定履行合同义务的其他情形。</w:t>
      </w:r>
    </w:p>
    <w:p w14:paraId="2C3BBB86">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14.2.2 勘察人违约责任</w:t>
      </w:r>
    </w:p>
    <w:p w14:paraId="687E69E5">
      <w:pPr>
        <w:pStyle w:val="89"/>
        <w:snapToGrid w:val="0"/>
        <w:spacing w:line="360" w:lineRule="auto"/>
        <w:ind w:firstLine="600" w:firstLineChars="200"/>
        <w:rPr>
          <w:rStyle w:val="40"/>
          <w:rFonts w:hint="eastAsia" w:ascii="宋体" w:hAnsi="宋体" w:eastAsia="宋体" w:cs="宋体"/>
          <w:color w:val="auto"/>
          <w:kern w:val="0"/>
          <w:sz w:val="30"/>
          <w:szCs w:val="28"/>
          <w:highlight w:val="none"/>
        </w:rPr>
      </w:pPr>
      <w:r>
        <w:rPr>
          <w:rStyle w:val="40"/>
          <w:rFonts w:hint="eastAsia" w:ascii="宋体" w:hAnsi="宋体" w:eastAsia="宋体" w:cs="宋体"/>
          <w:color w:val="auto"/>
          <w:kern w:val="0"/>
          <w:sz w:val="30"/>
          <w:szCs w:val="28"/>
          <w:highlight w:val="none"/>
        </w:rPr>
        <w:t>（1）</w:t>
      </w:r>
      <w:r>
        <w:rPr>
          <w:rStyle w:val="40"/>
          <w:rFonts w:hint="eastAsia" w:ascii="宋体" w:hAnsi="宋体" w:eastAsia="宋体" w:cs="宋体"/>
          <w:color w:val="auto"/>
          <w:kern w:val="0"/>
          <w:sz w:val="30"/>
          <w:szCs w:val="30"/>
          <w:highlight w:val="none"/>
        </w:rPr>
        <w:t>合同生效后，勘察人因自身原因要求终止或解除合同，勘察人应双倍返还发包人已支付的定金或勘察人按照专用合同条款约定向发包人支付违约金。</w:t>
      </w:r>
    </w:p>
    <w:p w14:paraId="01BCCA50">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（2）因勘察人原因造成工期延误的，应按专用合同条款约定向发包人支付违约金。</w:t>
      </w:r>
    </w:p>
    <w:p w14:paraId="6E4E5D8F">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（3）因勘察人原因造成成果资料质量达不到合同约定的质量标准，勘察人应负责无偿给予补充完善使其达到质量合格。因勘察人原因导致工程质量</w:t>
      </w:r>
      <w:r>
        <w:rPr>
          <w:rStyle w:val="40"/>
          <w:rFonts w:hint="eastAsia" w:ascii="宋体" w:hAnsi="宋体" w:eastAsia="宋体" w:cs="宋体"/>
          <w:color w:val="auto"/>
          <w:kern w:val="0"/>
          <w:sz w:val="30"/>
          <w:szCs w:val="30"/>
          <w:highlight w:val="none"/>
          <w:lang w:eastAsia="zh-CN"/>
        </w:rPr>
        <w:t>安全</w:t>
      </w:r>
      <w:r>
        <w:rPr>
          <w:rStyle w:val="40"/>
          <w:rFonts w:hint="eastAsia" w:ascii="宋体" w:hAnsi="宋体" w:eastAsia="宋体" w:cs="宋体"/>
          <w:color w:val="auto"/>
          <w:kern w:val="0"/>
          <w:sz w:val="30"/>
          <w:szCs w:val="30"/>
          <w:highlight w:val="none"/>
        </w:rPr>
        <w:t>事故或其他事故时，勘察人除负责采取补救措施外，应通过所投工程勘察责任保险向发包人承担赔偿责任或根据直接经济损失程度按专用合同条款约定向发包人支付赔偿金。</w:t>
      </w:r>
    </w:p>
    <w:p w14:paraId="0254366C">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（4）勘察人发生其他违约情形时，勘察人应承担违约责任并赔偿因其违约给发包人造成的损失，双方可在专用合同条款内约定勘察人赔偿发包人损失的计算方法和赔偿金额。</w:t>
      </w:r>
    </w:p>
    <w:p w14:paraId="581AB926">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第15条 索赔</w:t>
      </w:r>
    </w:p>
    <w:p w14:paraId="4F1FCA2C">
      <w:pPr>
        <w:pStyle w:val="89"/>
        <w:tabs>
          <w:tab w:val="left" w:pos="1260"/>
        </w:tabs>
        <w:adjustRightInd w:val="0"/>
        <w:snapToGrid w:val="0"/>
        <w:spacing w:line="360" w:lineRule="auto"/>
        <w:ind w:firstLine="602" w:firstLineChars="200"/>
        <w:jc w:val="left"/>
        <w:outlineLvl w:val="2"/>
        <w:rPr>
          <w:rStyle w:val="40"/>
          <w:rFonts w:hint="eastAsia" w:ascii="宋体" w:hAnsi="宋体" w:eastAsia="宋体" w:cs="宋体"/>
          <w:b/>
          <w:color w:val="auto"/>
          <w:kern w:val="0"/>
          <w:sz w:val="30"/>
          <w:szCs w:val="30"/>
          <w:highlight w:val="none"/>
        </w:rPr>
      </w:pPr>
      <w:r>
        <w:rPr>
          <w:rStyle w:val="40"/>
          <w:rFonts w:hint="eastAsia" w:ascii="宋体" w:hAnsi="宋体" w:eastAsia="宋体" w:cs="宋体"/>
          <w:b/>
          <w:color w:val="auto"/>
          <w:kern w:val="0"/>
          <w:sz w:val="30"/>
          <w:szCs w:val="30"/>
          <w:highlight w:val="none"/>
        </w:rPr>
        <w:t>15.1 发包人索赔</w:t>
      </w:r>
    </w:p>
    <w:p w14:paraId="5FF2D2A4">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勘察人未按合同约定履行义务或发生错误以及应由勘察人承担责任的其他情形，造成工期延误及发包人的经济损失，除专用合同条款另有约定外，发包人可按下列程序以书面形式向勘察人索赔：</w:t>
      </w:r>
    </w:p>
    <w:p w14:paraId="2200387A">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（1）违约事件发生后7天内，向勘察人发出索赔意向通知；</w:t>
      </w:r>
    </w:p>
    <w:p w14:paraId="2D8AF592">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（2）发出索赔意向通知后14天内，向勘察人提出经济损失的索赔报告及有关资料；</w:t>
      </w:r>
    </w:p>
    <w:p w14:paraId="7A0A948D">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（3）勘察人在收到发包人送交的索赔报告和有关资料或补充索赔理由、证据后，于28天内给予答复；</w:t>
      </w:r>
    </w:p>
    <w:p w14:paraId="3F8B39BF">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（4）勘察人在收到发包人送交的索赔报告和有关资料后28天内未予答复或未对发包人作进一步要求，视为该项索赔已被认可；</w:t>
      </w:r>
    </w:p>
    <w:p w14:paraId="6B5145C7">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（5）当该违约事件持续进行时，发包人应阶段性向勘察人发出索赔意向，在违约事件终了后21天内，向勘察人送交索赔的有关资料和最终索赔报告。索赔答复程序与本款第（3）、（4）项约定相同。</w:t>
      </w:r>
    </w:p>
    <w:p w14:paraId="6D4E8174">
      <w:pPr>
        <w:pStyle w:val="89"/>
        <w:tabs>
          <w:tab w:val="left" w:pos="1260"/>
        </w:tabs>
        <w:adjustRightInd w:val="0"/>
        <w:snapToGrid w:val="0"/>
        <w:spacing w:line="360" w:lineRule="auto"/>
        <w:ind w:firstLine="602" w:firstLineChars="200"/>
        <w:jc w:val="left"/>
        <w:outlineLvl w:val="2"/>
        <w:rPr>
          <w:rStyle w:val="40"/>
          <w:rFonts w:hint="eastAsia" w:ascii="宋体" w:hAnsi="宋体" w:eastAsia="宋体" w:cs="宋体"/>
          <w:b/>
          <w:color w:val="auto"/>
          <w:kern w:val="0"/>
          <w:sz w:val="30"/>
          <w:szCs w:val="30"/>
          <w:highlight w:val="none"/>
        </w:rPr>
      </w:pPr>
      <w:r>
        <w:rPr>
          <w:rStyle w:val="40"/>
          <w:rFonts w:hint="eastAsia" w:ascii="宋体" w:hAnsi="宋体" w:eastAsia="宋体" w:cs="宋体"/>
          <w:b/>
          <w:color w:val="auto"/>
          <w:kern w:val="0"/>
          <w:sz w:val="30"/>
          <w:szCs w:val="30"/>
          <w:highlight w:val="none"/>
        </w:rPr>
        <w:t>15.2 勘察人索赔</w:t>
      </w:r>
    </w:p>
    <w:p w14:paraId="3EF21E6F">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发包人未按合同约定履行义务或发生错误以及应由发包人承担责任的其他情形，造成工期延误和（或）勘察人不能及时得到合同价款及勘察人的经济损失，除专用合同条款另有约定外，勘察人可按下列程序以书面形式向发包人索赔：</w:t>
      </w:r>
    </w:p>
    <w:p w14:paraId="194F4230">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（1）违约事件发生后7天内，勘察人可向发包人发出要求其采取有效措施纠正违约行为的通知；发包人收到通知14天内仍不履行合同义务，勘察人有权停止作业，并向发包人发出索赔意向通知。</w:t>
      </w:r>
    </w:p>
    <w:p w14:paraId="56D94921">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（2）发出索赔意向通知后14天内，向发包人提出延长工期和（或）补偿经济损失的索赔报告及有关资料；</w:t>
      </w:r>
    </w:p>
    <w:p w14:paraId="476F8B2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（3）发包人在收到勘察人送交的索赔报告和有关资料或补充索赔理由、证据后，于28天内给予答复；</w:t>
      </w:r>
    </w:p>
    <w:p w14:paraId="4450CAC3">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（4）发包人在收到勘察人送交的索赔报告和有关资料后28天内未予答复或未对勘察人作进一步要求，视为该项索赔已被认可；</w:t>
      </w:r>
    </w:p>
    <w:p w14:paraId="37780537">
      <w:pPr>
        <w:pStyle w:val="89"/>
        <w:tabs>
          <w:tab w:val="left" w:pos="1260"/>
        </w:tabs>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（5）当该索赔事件持续进行时，勘察人应阶段性向发包人发出索赔意向，在索赔事件终了后21天内，向发包人送交索赔的有关资料和最终索赔报告。索赔答复程序与本款第（3）、（4）项约定相同。</w:t>
      </w:r>
    </w:p>
    <w:p w14:paraId="761DC6C4">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第16条 争议解决</w:t>
      </w:r>
    </w:p>
    <w:p w14:paraId="692E40A0">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16.1 和解</w:t>
      </w:r>
    </w:p>
    <w:p w14:paraId="1B7CDC38">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因本合同以及与本合同有关事项发生争议的，双方可以就争议自行和解。自行和解达成协议的，经签字并盖章后作为合同补充文件，双方均应遵照执行。</w:t>
      </w:r>
    </w:p>
    <w:p w14:paraId="63388758">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16.2 调解</w:t>
      </w:r>
    </w:p>
    <w:p w14:paraId="73095849">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因本合同以及与本合同有关事项发生争议的，双方可以就争议请求行政主管部门、行业协会或其他第三方进行调解。调解达成协议的，经签字并盖章后作为合同补充文件，双方均应遵照执行。</w:t>
      </w:r>
    </w:p>
    <w:p w14:paraId="06701A23">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p>
    <w:p w14:paraId="26E5AF42">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p>
    <w:p w14:paraId="17D31B8D">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16.3 仲裁或诉讼</w:t>
      </w:r>
    </w:p>
    <w:p w14:paraId="027F52A5">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因本合同以及与本合同有关事项发生争议的，当事人不愿和解、调解或者和解、调解不成的，双方可以在专用合同条款内约定以下一种方式解决争议：</w:t>
      </w:r>
    </w:p>
    <w:p w14:paraId="13F4AA0C">
      <w:pPr>
        <w:pStyle w:val="89"/>
        <w:adjustRightInd w:val="0"/>
        <w:snapToGrid w:val="0"/>
        <w:spacing w:line="360" w:lineRule="auto"/>
        <w:ind w:left="149" w:leftChars="71"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（1）双方达成仲裁协议，向约定的仲裁委员会申请仲裁；</w:t>
      </w:r>
    </w:p>
    <w:p w14:paraId="18B9FBD4">
      <w:pPr>
        <w:pStyle w:val="89"/>
        <w:adjustRightInd w:val="0"/>
        <w:snapToGrid w:val="0"/>
        <w:spacing w:line="360" w:lineRule="auto"/>
        <w:ind w:left="149" w:leftChars="71"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（2）向有管辖权的人民法院起诉。</w:t>
      </w:r>
    </w:p>
    <w:p w14:paraId="04547FF4">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第17条 补充条款</w:t>
      </w:r>
    </w:p>
    <w:p w14:paraId="2982B7C1">
      <w:pPr>
        <w:pStyle w:val="89"/>
        <w:adjustRightInd w:val="0"/>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双方根据有关法律法规规定，结合实际经协商一致，可对通用合同条款内容具体化、补充或修改，并在专用合同条款内约定。</w:t>
      </w:r>
    </w:p>
    <w:p w14:paraId="39ED57F0">
      <w:pPr>
        <w:pStyle w:val="89"/>
        <w:adjustRightInd w:val="0"/>
        <w:snapToGrid w:val="0"/>
        <w:spacing w:line="360" w:lineRule="auto"/>
        <w:ind w:firstLine="480" w:firstLineChars="200"/>
        <w:rPr>
          <w:rStyle w:val="40"/>
          <w:rFonts w:hint="eastAsia" w:ascii="宋体" w:hAnsi="宋体" w:eastAsia="宋体" w:cs="宋体"/>
          <w:color w:val="auto"/>
          <w:kern w:val="0"/>
          <w:sz w:val="24"/>
          <w:highlight w:val="none"/>
        </w:rPr>
      </w:pPr>
    </w:p>
    <w:p w14:paraId="7C5635A0">
      <w:pPr>
        <w:pStyle w:val="89"/>
        <w:snapToGrid w:val="0"/>
        <w:spacing w:line="360" w:lineRule="auto"/>
        <w:jc w:val="center"/>
        <w:outlineLvl w:val="0"/>
        <w:rPr>
          <w:rStyle w:val="40"/>
          <w:rFonts w:hint="eastAsia" w:ascii="宋体" w:hAnsi="宋体" w:eastAsia="宋体" w:cs="宋体"/>
          <w:color w:val="auto"/>
          <w:kern w:val="0"/>
          <w:sz w:val="44"/>
          <w:szCs w:val="44"/>
          <w:highlight w:val="none"/>
        </w:rPr>
      </w:pPr>
      <w:r>
        <w:rPr>
          <w:rStyle w:val="40"/>
          <w:rFonts w:hint="eastAsia" w:ascii="宋体" w:hAnsi="宋体" w:eastAsia="宋体" w:cs="宋体"/>
          <w:b/>
          <w:bCs/>
          <w:color w:val="auto"/>
          <w:kern w:val="0"/>
          <w:sz w:val="32"/>
          <w:szCs w:val="32"/>
          <w:highlight w:val="none"/>
        </w:rPr>
        <w:br w:type="page"/>
      </w:r>
      <w:bookmarkStart w:id="1167" w:name="_Toc406150478"/>
      <w:r>
        <w:rPr>
          <w:rStyle w:val="40"/>
          <w:rFonts w:hint="eastAsia" w:ascii="宋体" w:hAnsi="宋体" w:eastAsia="宋体" w:cs="宋体"/>
          <w:color w:val="auto"/>
          <w:kern w:val="0"/>
          <w:sz w:val="44"/>
          <w:szCs w:val="44"/>
          <w:highlight w:val="none"/>
        </w:rPr>
        <w:t>第三部分　专用合同条款</w:t>
      </w:r>
      <w:bookmarkEnd w:id="1167"/>
    </w:p>
    <w:p w14:paraId="2908F1CA">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168" w:name="_Toc406150479"/>
      <w:bookmarkStart w:id="1169" w:name="_Toc24617"/>
      <w:r>
        <w:rPr>
          <w:rStyle w:val="40"/>
          <w:rFonts w:hint="eastAsia" w:ascii="宋体" w:hAnsi="宋体" w:eastAsia="宋体" w:cs="宋体"/>
          <w:color w:val="auto"/>
          <w:sz w:val="30"/>
          <w:szCs w:val="30"/>
          <w:highlight w:val="none"/>
        </w:rPr>
        <w:t>第1条 一般约定</w:t>
      </w:r>
      <w:bookmarkEnd w:id="1168"/>
      <w:bookmarkEnd w:id="1169"/>
    </w:p>
    <w:p w14:paraId="7AB50D6C">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70" w:name="_Toc19928"/>
      <w:bookmarkStart w:id="1171" w:name="_Toc406150480"/>
      <w:r>
        <w:rPr>
          <w:rStyle w:val="40"/>
          <w:rFonts w:hint="eastAsia" w:ascii="宋体" w:hAnsi="宋体" w:eastAsia="宋体" w:cs="宋体"/>
          <w:color w:val="auto"/>
          <w:kern w:val="0"/>
          <w:sz w:val="30"/>
          <w:szCs w:val="30"/>
          <w:highlight w:val="none"/>
        </w:rPr>
        <w:t>1.1 词语定义</w:t>
      </w:r>
      <w:bookmarkEnd w:id="1170"/>
    </w:p>
    <w:p w14:paraId="5E5C5374">
      <w:pPr>
        <w:pStyle w:val="89"/>
        <w:snapToGrid w:val="0"/>
        <w:spacing w:line="360" w:lineRule="auto"/>
        <w:ind w:firstLine="1200" w:firstLineChars="4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u w:val="single"/>
        </w:rPr>
        <w:t>无。</w:t>
      </w:r>
    </w:p>
    <w:p w14:paraId="04B7F3CD">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72" w:name="_Toc12170"/>
      <w:r>
        <w:rPr>
          <w:rStyle w:val="40"/>
          <w:rFonts w:hint="eastAsia" w:ascii="宋体" w:hAnsi="宋体" w:eastAsia="宋体" w:cs="宋体"/>
          <w:color w:val="auto"/>
          <w:kern w:val="0"/>
          <w:sz w:val="30"/>
          <w:szCs w:val="30"/>
          <w:highlight w:val="none"/>
        </w:rPr>
        <w:t>1.2 合同文件及优先解释顺序</w:t>
      </w:r>
      <w:bookmarkEnd w:id="1172"/>
    </w:p>
    <w:p w14:paraId="2CFA8ADF">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1.2.1</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kern w:val="0"/>
          <w:sz w:val="30"/>
          <w:szCs w:val="30"/>
          <w:highlight w:val="none"/>
        </w:rPr>
        <w:t>合同文件组成及优先解释顺序：</w:t>
      </w:r>
      <w:r>
        <w:rPr>
          <w:rStyle w:val="40"/>
          <w:rFonts w:hint="eastAsia" w:ascii="宋体" w:hAnsi="宋体" w:eastAsia="宋体" w:cs="宋体"/>
          <w:color w:val="auto"/>
          <w:kern w:val="0"/>
          <w:sz w:val="30"/>
          <w:szCs w:val="30"/>
          <w:highlight w:val="none"/>
          <w:u w:val="single"/>
          <w:lang w:eastAsia="zh-CN"/>
        </w:rPr>
        <w:t>合同协议书、</w:t>
      </w:r>
      <w:r>
        <w:rPr>
          <w:rStyle w:val="40"/>
          <w:rFonts w:hint="eastAsia" w:ascii="宋体" w:hAnsi="宋体" w:eastAsia="宋体" w:cs="宋体"/>
          <w:color w:val="auto"/>
          <w:kern w:val="0"/>
          <w:sz w:val="30"/>
          <w:szCs w:val="30"/>
          <w:highlight w:val="none"/>
          <w:u w:val="single"/>
        </w:rPr>
        <w:t>中标通知书、</w:t>
      </w:r>
      <w:r>
        <w:rPr>
          <w:rStyle w:val="40"/>
          <w:rFonts w:hint="eastAsia" w:ascii="宋体" w:hAnsi="宋体" w:eastAsia="宋体" w:cs="宋体"/>
          <w:color w:val="auto"/>
          <w:kern w:val="0"/>
          <w:sz w:val="30"/>
          <w:szCs w:val="30"/>
          <w:highlight w:val="none"/>
          <w:u w:val="single"/>
          <w:lang w:eastAsia="zh-CN"/>
        </w:rPr>
        <w:t>专用条款、通用条款、</w:t>
      </w:r>
      <w:r>
        <w:rPr>
          <w:rStyle w:val="40"/>
          <w:rFonts w:hint="eastAsia" w:ascii="宋体" w:hAnsi="宋体" w:eastAsia="宋体" w:cs="宋体"/>
          <w:color w:val="auto"/>
          <w:kern w:val="0"/>
          <w:sz w:val="30"/>
          <w:szCs w:val="30"/>
          <w:highlight w:val="none"/>
          <w:u w:val="single"/>
        </w:rPr>
        <w:t>投标函及其附录、发包人要求、技术标准以及其他合同文件</w:t>
      </w:r>
      <w:r>
        <w:rPr>
          <w:rStyle w:val="40"/>
          <w:rFonts w:hint="eastAsia" w:ascii="宋体" w:hAnsi="宋体" w:eastAsia="宋体" w:cs="宋体"/>
          <w:color w:val="auto"/>
          <w:sz w:val="30"/>
          <w:szCs w:val="30"/>
          <w:highlight w:val="none"/>
        </w:rPr>
        <w:t>。</w:t>
      </w:r>
    </w:p>
    <w:bookmarkEnd w:id="1171"/>
    <w:p w14:paraId="1C208B5A">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73" w:name="_Toc24676"/>
      <w:bookmarkStart w:id="1174" w:name="_Toc406150481"/>
      <w:r>
        <w:rPr>
          <w:rStyle w:val="40"/>
          <w:rFonts w:hint="eastAsia" w:ascii="宋体" w:hAnsi="宋体" w:eastAsia="宋体" w:cs="宋体"/>
          <w:color w:val="auto"/>
          <w:kern w:val="0"/>
          <w:sz w:val="30"/>
          <w:szCs w:val="30"/>
          <w:highlight w:val="none"/>
        </w:rPr>
        <w:t>1.3 适用法律法规、技术标准</w:t>
      </w:r>
      <w:bookmarkEnd w:id="1173"/>
      <w:bookmarkEnd w:id="1174"/>
    </w:p>
    <w:p w14:paraId="0678359F">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1.3.1</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kern w:val="0"/>
          <w:sz w:val="30"/>
          <w:szCs w:val="30"/>
          <w:highlight w:val="none"/>
        </w:rPr>
        <w:t>适用法律法规</w:t>
      </w:r>
    </w:p>
    <w:p w14:paraId="024F74D6">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rPr>
        <w:t>需要明示的规范性文件：</w:t>
      </w:r>
      <w:r>
        <w:rPr>
          <w:rStyle w:val="40"/>
          <w:rFonts w:hint="eastAsia" w:ascii="宋体" w:hAnsi="宋体" w:eastAsia="宋体" w:cs="宋体"/>
          <w:color w:val="auto"/>
          <w:kern w:val="0"/>
          <w:sz w:val="30"/>
          <w:szCs w:val="30"/>
          <w:highlight w:val="none"/>
          <w:u w:val="single"/>
        </w:rPr>
        <w:t>国家及地方有关建设工程勘察设计现行规范、规则、规程</w:t>
      </w:r>
      <w:r>
        <w:rPr>
          <w:rStyle w:val="40"/>
          <w:rFonts w:hint="eastAsia" w:ascii="宋体" w:hAnsi="宋体" w:eastAsia="宋体" w:cs="宋体"/>
          <w:color w:val="auto"/>
          <w:sz w:val="30"/>
          <w:szCs w:val="30"/>
          <w:highlight w:val="none"/>
        </w:rPr>
        <w:t>。</w:t>
      </w:r>
    </w:p>
    <w:p w14:paraId="6FBC80B9">
      <w:pPr>
        <w:pStyle w:val="89"/>
        <w:tabs>
          <w:tab w:val="left" w:pos="1260"/>
        </w:tabs>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1.3.2</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kern w:val="0"/>
          <w:sz w:val="30"/>
          <w:szCs w:val="30"/>
          <w:highlight w:val="none"/>
        </w:rPr>
        <w:t>适用技术标准</w:t>
      </w:r>
    </w:p>
    <w:p w14:paraId="5775537F">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特别要求：</w:t>
      </w:r>
      <w:r>
        <w:rPr>
          <w:rStyle w:val="40"/>
          <w:rFonts w:hint="eastAsia" w:ascii="宋体" w:hAnsi="宋体" w:eastAsia="宋体" w:cs="宋体"/>
          <w:color w:val="auto"/>
          <w:kern w:val="0"/>
          <w:sz w:val="30"/>
          <w:szCs w:val="30"/>
          <w:highlight w:val="none"/>
          <w:u w:val="single"/>
        </w:rPr>
        <w:t>符合国家规定的工程技术质量标准、技术规范及规程要求，并通过有关行政主管部门审批或备案</w:t>
      </w:r>
      <w:r>
        <w:rPr>
          <w:rStyle w:val="40"/>
          <w:rFonts w:hint="eastAsia" w:ascii="宋体" w:hAnsi="宋体" w:eastAsia="宋体" w:cs="宋体"/>
          <w:color w:val="auto"/>
          <w:sz w:val="30"/>
          <w:szCs w:val="30"/>
          <w:highlight w:val="none"/>
        </w:rPr>
        <w:t>；</w:t>
      </w:r>
    </w:p>
    <w:p w14:paraId="65618E5C">
      <w:pPr>
        <w:pStyle w:val="89"/>
        <w:tabs>
          <w:tab w:val="left" w:pos="72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lang w:eastAsia="zh-CN"/>
        </w:rPr>
      </w:pPr>
      <w:r>
        <w:rPr>
          <w:rStyle w:val="40"/>
          <w:rFonts w:hint="eastAsia" w:ascii="宋体" w:hAnsi="宋体" w:eastAsia="宋体" w:cs="宋体"/>
          <w:color w:val="auto"/>
          <w:kern w:val="0"/>
          <w:sz w:val="30"/>
          <w:szCs w:val="30"/>
          <w:highlight w:val="none"/>
        </w:rPr>
        <w:t>使用国外技术标准的名称、提供方、原文版、中译本的份数、时间及费用承担：</w:t>
      </w:r>
      <w:r>
        <w:rPr>
          <w:rStyle w:val="40"/>
          <w:rFonts w:hint="eastAsia" w:ascii="宋体" w:hAnsi="宋体" w:eastAsia="宋体" w:cs="宋体"/>
          <w:color w:val="auto"/>
          <w:sz w:val="30"/>
          <w:szCs w:val="30"/>
          <w:highlight w:val="none"/>
          <w:u w:val="single"/>
        </w:rPr>
        <w:t xml:space="preserve">无 </w:t>
      </w:r>
      <w:r>
        <w:rPr>
          <w:rStyle w:val="40"/>
          <w:rFonts w:hint="eastAsia" w:ascii="宋体" w:hAnsi="宋体" w:eastAsia="宋体" w:cs="宋体"/>
          <w:color w:val="auto"/>
          <w:sz w:val="30"/>
          <w:szCs w:val="30"/>
          <w:highlight w:val="none"/>
          <w:u w:val="single"/>
          <w:lang w:eastAsia="zh-CN"/>
        </w:rPr>
        <w:t>。</w:t>
      </w:r>
    </w:p>
    <w:p w14:paraId="72FD50A7">
      <w:pPr>
        <w:pStyle w:val="95"/>
        <w:keepNext w:val="0"/>
        <w:keepLines w:val="0"/>
        <w:tabs>
          <w:tab w:val="left" w:pos="180"/>
        </w:tabs>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75" w:name="_Toc2420"/>
      <w:r>
        <w:rPr>
          <w:rStyle w:val="40"/>
          <w:rFonts w:hint="eastAsia" w:ascii="宋体" w:hAnsi="宋体" w:eastAsia="宋体" w:cs="宋体"/>
          <w:color w:val="auto"/>
          <w:kern w:val="0"/>
          <w:sz w:val="30"/>
          <w:szCs w:val="30"/>
          <w:highlight w:val="none"/>
        </w:rPr>
        <w:t>1.4 语言文字</w:t>
      </w:r>
      <w:bookmarkEnd w:id="1175"/>
    </w:p>
    <w:p w14:paraId="623DFDE7">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本合同除使用汉语外，还使用</w:t>
      </w:r>
      <w:r>
        <w:rPr>
          <w:rStyle w:val="40"/>
          <w:rFonts w:hint="eastAsia" w:ascii="宋体" w:hAnsi="宋体" w:eastAsia="宋体" w:cs="宋体"/>
          <w:color w:val="auto"/>
          <w:sz w:val="30"/>
          <w:szCs w:val="30"/>
          <w:highlight w:val="none"/>
          <w:u w:val="single"/>
        </w:rPr>
        <w:t xml:space="preserve"> / </w:t>
      </w:r>
      <w:r>
        <w:rPr>
          <w:rStyle w:val="40"/>
          <w:rFonts w:hint="eastAsia" w:ascii="宋体" w:hAnsi="宋体" w:eastAsia="宋体" w:cs="宋体"/>
          <w:color w:val="auto"/>
          <w:kern w:val="0"/>
          <w:sz w:val="30"/>
          <w:szCs w:val="30"/>
          <w:highlight w:val="none"/>
        </w:rPr>
        <w:t>语言文字。</w:t>
      </w:r>
    </w:p>
    <w:p w14:paraId="4474AF3F">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76" w:name="_Toc25370"/>
      <w:bookmarkStart w:id="1177" w:name="_Toc406150483"/>
      <w:r>
        <w:rPr>
          <w:rStyle w:val="40"/>
          <w:rFonts w:hint="eastAsia" w:ascii="宋体" w:hAnsi="宋体" w:eastAsia="宋体" w:cs="宋体"/>
          <w:color w:val="auto"/>
          <w:kern w:val="0"/>
          <w:sz w:val="30"/>
          <w:szCs w:val="30"/>
          <w:highlight w:val="none"/>
        </w:rPr>
        <w:t>1.5 联络</w:t>
      </w:r>
      <w:bookmarkEnd w:id="1176"/>
      <w:bookmarkEnd w:id="1177"/>
    </w:p>
    <w:p w14:paraId="60253B5C">
      <w:pPr>
        <w:pStyle w:val="89"/>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1.5.1</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kern w:val="0"/>
          <w:sz w:val="30"/>
          <w:szCs w:val="30"/>
          <w:highlight w:val="none"/>
        </w:rPr>
        <w:t>发包人和勘察人应在</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5</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kern w:val="0"/>
          <w:sz w:val="30"/>
          <w:szCs w:val="30"/>
          <w:highlight w:val="none"/>
        </w:rPr>
        <w:t>天内将与合同有关的通知、批准、证明、证书、指示、指令、要求、请求、同意、意见、确定和决定等书面函件送达对方当事人。</w:t>
      </w:r>
    </w:p>
    <w:p w14:paraId="723BA973">
      <w:pPr>
        <w:pStyle w:val="89"/>
        <w:snapToGrid w:val="0"/>
        <w:spacing w:line="360" w:lineRule="auto"/>
        <w:ind w:firstLine="600" w:firstLineChars="200"/>
        <w:rPr>
          <w:rStyle w:val="40"/>
          <w:rFonts w:hint="eastAsia" w:ascii="宋体" w:hAnsi="宋体" w:eastAsia="宋体" w:cs="宋体"/>
          <w:color w:val="auto"/>
          <w:kern w:val="0"/>
          <w:sz w:val="30"/>
          <w:szCs w:val="30"/>
          <w:highlight w:val="yellow"/>
          <w:lang w:eastAsia="zh-CN"/>
        </w:rPr>
      </w:pPr>
      <w:r>
        <w:rPr>
          <w:rStyle w:val="40"/>
          <w:rFonts w:hint="eastAsia" w:ascii="宋体" w:hAnsi="宋体" w:eastAsia="宋体" w:cs="宋体"/>
          <w:color w:val="auto"/>
          <w:kern w:val="0"/>
          <w:sz w:val="30"/>
          <w:szCs w:val="30"/>
          <w:highlight w:val="none"/>
        </w:rPr>
        <w:t>1.5.2 发包人接收文件的地点：</w:t>
      </w:r>
      <w:r>
        <w:rPr>
          <w:rStyle w:val="40"/>
          <w:rFonts w:hint="eastAsia" w:ascii="宋体" w:hAnsi="宋体" w:eastAsia="宋体" w:cs="宋体"/>
          <w:color w:val="auto"/>
          <w:sz w:val="30"/>
          <w:szCs w:val="30"/>
          <w:highlight w:val="none"/>
          <w:u w:val="single"/>
          <w:lang w:eastAsia="zh-CN"/>
        </w:rPr>
        <w:t>南宁兴邕城市更新有限责任公司</w:t>
      </w:r>
      <w:r>
        <w:rPr>
          <w:rStyle w:val="40"/>
          <w:rFonts w:hint="eastAsia" w:ascii="宋体" w:hAnsi="宋体" w:eastAsia="宋体" w:cs="宋体"/>
          <w:color w:val="auto"/>
          <w:kern w:val="0"/>
          <w:sz w:val="30"/>
          <w:szCs w:val="30"/>
          <w:highlight w:val="none"/>
          <w:lang w:eastAsia="zh-CN"/>
        </w:rPr>
        <w:t>。</w:t>
      </w:r>
    </w:p>
    <w:p w14:paraId="29543663">
      <w:pPr>
        <w:pStyle w:val="89"/>
        <w:snapToGrid w:val="0"/>
        <w:spacing w:line="360" w:lineRule="auto"/>
        <w:ind w:firstLine="600" w:firstLineChars="200"/>
        <w:rPr>
          <w:rStyle w:val="40"/>
          <w:rFonts w:hint="default" w:ascii="宋体" w:hAnsi="宋体" w:eastAsia="宋体" w:cs="宋体"/>
          <w:color w:val="auto"/>
          <w:sz w:val="30"/>
          <w:szCs w:val="30"/>
          <w:highlight w:val="none"/>
          <w:u w:val="none"/>
          <w:lang w:val="en-US"/>
        </w:rPr>
      </w:pPr>
      <w:r>
        <w:rPr>
          <w:rStyle w:val="40"/>
          <w:rFonts w:hint="eastAsia" w:ascii="宋体" w:hAnsi="宋体" w:eastAsia="宋体" w:cs="宋体"/>
          <w:color w:val="auto"/>
          <w:kern w:val="0"/>
          <w:sz w:val="30"/>
          <w:szCs w:val="30"/>
          <w:highlight w:val="none"/>
        </w:rPr>
        <w:t>发包人指定的接收人：</w:t>
      </w:r>
      <w:r>
        <w:rPr>
          <w:rStyle w:val="40"/>
          <w:rFonts w:hint="eastAsia" w:ascii="宋体" w:hAnsi="宋体" w:eastAsia="宋体" w:cs="宋体"/>
          <w:color w:val="auto"/>
          <w:kern w:val="0"/>
          <w:sz w:val="30"/>
          <w:szCs w:val="30"/>
          <w:highlight w:val="none"/>
          <w:u w:val="single"/>
          <w:lang w:val="en-US" w:eastAsia="zh-CN"/>
        </w:rPr>
        <w:t xml:space="preserve">                                   </w:t>
      </w:r>
    </w:p>
    <w:p w14:paraId="3E6675E1">
      <w:pPr>
        <w:pStyle w:val="89"/>
        <w:tabs>
          <w:tab w:val="left" w:pos="720"/>
        </w:tabs>
        <w:snapToGrid w:val="0"/>
        <w:spacing w:line="360" w:lineRule="auto"/>
        <w:ind w:firstLine="600" w:firstLineChars="200"/>
        <w:rPr>
          <w:rStyle w:val="40"/>
          <w:rFonts w:hint="eastAsia" w:ascii="宋体" w:hAnsi="宋体" w:eastAsia="宋体" w:cs="宋体"/>
          <w:color w:val="auto"/>
          <w:kern w:val="0"/>
          <w:sz w:val="30"/>
          <w:szCs w:val="30"/>
          <w:highlight w:val="none"/>
          <w:u w:val="single"/>
        </w:rPr>
      </w:pPr>
      <w:r>
        <w:rPr>
          <w:rStyle w:val="40"/>
          <w:rFonts w:hint="eastAsia" w:ascii="宋体" w:hAnsi="宋体" w:eastAsia="宋体" w:cs="宋体"/>
          <w:color w:val="auto"/>
          <w:kern w:val="0"/>
          <w:sz w:val="30"/>
          <w:szCs w:val="30"/>
          <w:highlight w:val="none"/>
        </w:rPr>
        <w:t>发包人指定的联系方式：</w:t>
      </w:r>
      <w:r>
        <w:rPr>
          <w:rStyle w:val="40"/>
          <w:rFonts w:hint="eastAsia" w:ascii="宋体" w:hAnsi="宋体" w:eastAsia="宋体" w:cs="宋体"/>
          <w:color w:val="auto"/>
          <w:kern w:val="0"/>
          <w:sz w:val="30"/>
          <w:szCs w:val="30"/>
          <w:highlight w:val="none"/>
          <w:u w:val="single"/>
          <w:lang w:val="en-US" w:eastAsia="zh-CN"/>
        </w:rPr>
        <w:t xml:space="preserve">                                 </w:t>
      </w:r>
    </w:p>
    <w:p w14:paraId="1C1DEFDA">
      <w:pPr>
        <w:pStyle w:val="89"/>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勘察人接收文件的地点：</w:t>
      </w:r>
      <w:r>
        <w:rPr>
          <w:rStyle w:val="40"/>
          <w:rFonts w:hint="eastAsia" w:ascii="宋体" w:hAnsi="宋体" w:eastAsia="宋体" w:cs="宋体"/>
          <w:color w:val="auto"/>
          <w:sz w:val="30"/>
          <w:szCs w:val="30"/>
          <w:highlight w:val="none"/>
          <w:u w:val="single"/>
          <w:lang w:val="en-US" w:eastAsia="zh-CN"/>
        </w:rPr>
        <w:t xml:space="preserve">                                    </w:t>
      </w:r>
    </w:p>
    <w:p w14:paraId="17502445">
      <w:pPr>
        <w:pStyle w:val="89"/>
        <w:snapToGrid w:val="0"/>
        <w:spacing w:line="360" w:lineRule="auto"/>
        <w:ind w:firstLine="600" w:firstLineChars="200"/>
        <w:rPr>
          <w:rStyle w:val="40"/>
          <w:rFonts w:hint="eastAsia" w:ascii="宋体" w:hAnsi="宋体" w:eastAsia="宋体" w:cs="宋体"/>
          <w:color w:val="auto"/>
          <w:sz w:val="30"/>
          <w:szCs w:val="30"/>
          <w:highlight w:val="none"/>
          <w:u w:val="single"/>
        </w:rPr>
      </w:pPr>
      <w:r>
        <w:rPr>
          <w:rStyle w:val="40"/>
          <w:rFonts w:hint="eastAsia" w:ascii="宋体" w:hAnsi="宋体" w:eastAsia="宋体" w:cs="宋体"/>
          <w:color w:val="auto"/>
          <w:kern w:val="0"/>
          <w:sz w:val="30"/>
          <w:szCs w:val="30"/>
          <w:highlight w:val="none"/>
        </w:rPr>
        <w:t>勘察人指定的接收人：</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p>
    <w:p w14:paraId="03B2F378">
      <w:pPr>
        <w:pStyle w:val="89"/>
        <w:tabs>
          <w:tab w:val="left" w:pos="720"/>
          <w:tab w:val="left" w:pos="900"/>
        </w:tabs>
        <w:snapToGrid w:val="0"/>
        <w:spacing w:line="360" w:lineRule="auto"/>
        <w:ind w:firstLine="600" w:firstLineChars="200"/>
        <w:rPr>
          <w:rStyle w:val="40"/>
          <w:rFonts w:hint="eastAsia"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rPr>
        <w:t>勘察人</w:t>
      </w:r>
      <w:r>
        <w:rPr>
          <w:rStyle w:val="40"/>
          <w:rFonts w:hint="eastAsia" w:ascii="宋体" w:hAnsi="宋体" w:eastAsia="宋体" w:cs="宋体"/>
          <w:color w:val="auto"/>
          <w:kern w:val="0"/>
          <w:sz w:val="30"/>
          <w:szCs w:val="30"/>
          <w:highlight w:val="none"/>
        </w:rPr>
        <w:t>指定的联系方式：</w:t>
      </w:r>
      <w:r>
        <w:rPr>
          <w:rStyle w:val="40"/>
          <w:rFonts w:ascii="宋体" w:hAnsi="宋体" w:eastAsia="宋体" w:cs="宋体"/>
          <w:color w:val="auto"/>
          <w:sz w:val="30"/>
          <w:szCs w:val="30"/>
          <w:highlight w:val="none"/>
          <w:u w:val="single"/>
        </w:rPr>
        <w:t></w:t>
      </w:r>
      <w:r>
        <w:rPr>
          <w:rStyle w:val="40"/>
          <w:rFonts w:hint="eastAsia" w:ascii="宋体" w:hAnsi="宋体" w:eastAsia="宋体" w:cs="宋体"/>
          <w:color w:val="auto"/>
          <w:sz w:val="30"/>
          <w:szCs w:val="30"/>
          <w:highlight w:val="none"/>
          <w:u w:val="single"/>
          <w:lang w:val="en-US" w:eastAsia="zh-CN"/>
        </w:rPr>
        <w:t xml:space="preserve">                                   </w:t>
      </w:r>
    </w:p>
    <w:p w14:paraId="761BE122">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lang w:val="en-US" w:eastAsia="zh-CN"/>
        </w:rPr>
      </w:pPr>
      <w:bookmarkStart w:id="1178" w:name="_Toc152"/>
      <w:r>
        <w:rPr>
          <w:rStyle w:val="40"/>
          <w:rFonts w:hint="eastAsia" w:ascii="宋体" w:hAnsi="宋体" w:eastAsia="宋体" w:cs="宋体"/>
          <w:color w:val="auto"/>
          <w:kern w:val="0"/>
          <w:sz w:val="30"/>
          <w:szCs w:val="30"/>
          <w:highlight w:val="none"/>
        </w:rPr>
        <w:t>1.7 保密</w:t>
      </w:r>
      <w:bookmarkEnd w:id="1178"/>
      <w:r>
        <w:rPr>
          <w:rStyle w:val="40"/>
          <w:rFonts w:hint="eastAsia" w:ascii="宋体" w:hAnsi="宋体" w:eastAsia="宋体" w:cs="宋体"/>
          <w:color w:val="auto"/>
          <w:kern w:val="0"/>
          <w:sz w:val="30"/>
          <w:szCs w:val="30"/>
          <w:highlight w:val="none"/>
          <w:lang w:val="en-US" w:eastAsia="zh-CN"/>
        </w:rPr>
        <w:t xml:space="preserve"> </w:t>
      </w:r>
    </w:p>
    <w:p w14:paraId="5D4C4EDC">
      <w:pPr>
        <w:pStyle w:val="89"/>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合同当事人关于保密的约定：</w:t>
      </w:r>
      <w:r>
        <w:rPr>
          <w:rStyle w:val="40"/>
          <w:rFonts w:hint="eastAsia" w:ascii="宋体" w:hAnsi="宋体" w:eastAsia="宋体" w:cs="宋体"/>
          <w:color w:val="auto"/>
          <w:sz w:val="30"/>
          <w:szCs w:val="30"/>
          <w:highlight w:val="none"/>
          <w:u w:val="single"/>
        </w:rPr>
        <w:t>除法律规定外，未经发包人同意，勘察人不得将发包人提供的图纸、文件以及声明需要保密的资料信息等商业秘密泄露给第三方。</w:t>
      </w:r>
    </w:p>
    <w:p w14:paraId="5414A2D0">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179" w:name="_Toc406150484"/>
      <w:bookmarkStart w:id="1180" w:name="_Toc28159"/>
      <w:r>
        <w:rPr>
          <w:rStyle w:val="40"/>
          <w:rFonts w:hint="eastAsia" w:ascii="宋体" w:hAnsi="宋体" w:eastAsia="宋体" w:cs="宋体"/>
          <w:color w:val="auto"/>
          <w:sz w:val="30"/>
          <w:szCs w:val="30"/>
          <w:highlight w:val="none"/>
        </w:rPr>
        <w:t>第2条 发包人</w:t>
      </w:r>
      <w:bookmarkEnd w:id="1179"/>
      <w:bookmarkEnd w:id="1180"/>
    </w:p>
    <w:p w14:paraId="3A599B2B">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81" w:name="_Toc406150485"/>
      <w:bookmarkStart w:id="1182" w:name="_Toc17557"/>
      <w:r>
        <w:rPr>
          <w:rStyle w:val="40"/>
          <w:rFonts w:hint="eastAsia" w:ascii="宋体" w:hAnsi="宋体" w:eastAsia="宋体" w:cs="宋体"/>
          <w:color w:val="auto"/>
          <w:kern w:val="0"/>
          <w:sz w:val="30"/>
          <w:szCs w:val="30"/>
          <w:highlight w:val="none"/>
        </w:rPr>
        <w:t>2.2 发包人义务</w:t>
      </w:r>
      <w:bookmarkEnd w:id="1181"/>
      <w:bookmarkEnd w:id="1182"/>
    </w:p>
    <w:p w14:paraId="2D871DD4">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2.2.2 发包人委托勘察人搜集的资料：</w:t>
      </w:r>
      <w:r>
        <w:rPr>
          <w:rStyle w:val="40"/>
          <w:rFonts w:hint="eastAsia" w:ascii="宋体" w:hAnsi="宋体" w:eastAsia="宋体" w:cs="宋体"/>
          <w:color w:val="auto"/>
          <w:kern w:val="0"/>
          <w:sz w:val="30"/>
          <w:szCs w:val="30"/>
          <w:highlight w:val="none"/>
          <w:u w:val="single"/>
        </w:rPr>
        <w:t>勘察人自行负责相应费用。</w:t>
      </w:r>
    </w:p>
    <w:p w14:paraId="7D3D888B">
      <w:pPr>
        <w:pStyle w:val="89"/>
        <w:tabs>
          <w:tab w:val="left" w:pos="90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2.2.7</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kern w:val="0"/>
          <w:sz w:val="30"/>
          <w:szCs w:val="30"/>
          <w:highlight w:val="none"/>
        </w:rPr>
        <w:t>发包人对安全文明施工的特别要求：</w:t>
      </w:r>
      <w:r>
        <w:rPr>
          <w:rStyle w:val="40"/>
          <w:rFonts w:hint="eastAsia" w:ascii="宋体" w:hAnsi="宋体" w:eastAsia="宋体" w:cs="宋体"/>
          <w:color w:val="auto"/>
          <w:sz w:val="30"/>
          <w:szCs w:val="30"/>
          <w:highlight w:val="none"/>
          <w:u w:val="single"/>
        </w:rPr>
        <w:t>严格执行</w:t>
      </w:r>
      <w:r>
        <w:rPr>
          <w:rStyle w:val="40"/>
          <w:rFonts w:hint="eastAsia" w:ascii="宋体" w:hAnsi="宋体" w:eastAsia="宋体" w:cs="宋体"/>
          <w:color w:val="auto"/>
          <w:kern w:val="0"/>
          <w:sz w:val="30"/>
          <w:szCs w:val="30"/>
          <w:highlight w:val="none"/>
          <w:u w:val="single"/>
        </w:rPr>
        <w:t>南宁市</w:t>
      </w:r>
      <w:r>
        <w:rPr>
          <w:rStyle w:val="40"/>
          <w:rFonts w:hint="eastAsia" w:ascii="宋体" w:hAnsi="宋体" w:eastAsia="宋体" w:cs="宋体"/>
          <w:color w:val="auto"/>
          <w:kern w:val="0"/>
          <w:sz w:val="30"/>
          <w:szCs w:val="30"/>
          <w:highlight w:val="none"/>
          <w:u w:val="single"/>
          <w:lang w:val="en-US" w:eastAsia="zh-CN"/>
        </w:rPr>
        <w:t>住房和城乡建设局</w:t>
      </w:r>
      <w:r>
        <w:rPr>
          <w:rStyle w:val="40"/>
          <w:rFonts w:hint="eastAsia" w:ascii="宋体" w:hAnsi="宋体" w:eastAsia="宋体" w:cs="宋体"/>
          <w:color w:val="auto"/>
          <w:kern w:val="0"/>
          <w:sz w:val="30"/>
          <w:szCs w:val="30"/>
          <w:highlight w:val="none"/>
          <w:u w:val="single"/>
        </w:rPr>
        <w:t>对工地的相关规定。</w:t>
      </w:r>
    </w:p>
    <w:p w14:paraId="55CCA56A">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83" w:name="_Toc406150486"/>
      <w:bookmarkStart w:id="1184" w:name="_Toc21281"/>
    </w:p>
    <w:p w14:paraId="10CA46D1">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yellow"/>
        </w:rPr>
      </w:pPr>
      <w:r>
        <w:rPr>
          <w:rStyle w:val="40"/>
          <w:rFonts w:hint="eastAsia" w:ascii="宋体" w:hAnsi="宋体" w:eastAsia="宋体" w:cs="宋体"/>
          <w:color w:val="auto"/>
          <w:kern w:val="0"/>
          <w:sz w:val="30"/>
          <w:szCs w:val="30"/>
          <w:highlight w:val="none"/>
        </w:rPr>
        <w:t>2.3 发包人代表</w:t>
      </w:r>
      <w:bookmarkEnd w:id="1183"/>
      <w:bookmarkEnd w:id="1184"/>
    </w:p>
    <w:p w14:paraId="4A319664">
      <w:pPr>
        <w:pStyle w:val="89"/>
        <w:spacing w:line="360" w:lineRule="auto"/>
        <w:ind w:firstLine="600" w:firstLineChars="200"/>
        <w:rPr>
          <w:rStyle w:val="40"/>
          <w:rFonts w:hint="eastAsia" w:ascii="宋体" w:hAnsi="宋体" w:eastAsia="宋体" w:cs="宋体"/>
          <w:color w:val="auto"/>
          <w:sz w:val="30"/>
          <w:szCs w:val="30"/>
          <w:highlight w:val="none"/>
        </w:rPr>
      </w:pPr>
      <w:bookmarkStart w:id="1185" w:name="_Toc406150487"/>
      <w:r>
        <w:rPr>
          <w:rStyle w:val="40"/>
          <w:rFonts w:hint="eastAsia" w:ascii="宋体" w:hAnsi="宋体" w:eastAsia="宋体" w:cs="宋体"/>
          <w:color w:val="auto"/>
          <w:sz w:val="30"/>
          <w:szCs w:val="30"/>
          <w:highlight w:val="none"/>
        </w:rPr>
        <w:t>姓    名：</w:t>
      </w:r>
      <w:r>
        <w:rPr>
          <w:rStyle w:val="40"/>
          <w:rFonts w:ascii="宋体" w:hAnsi="宋体" w:eastAsia="宋体" w:cs="宋体"/>
          <w:color w:val="auto"/>
          <w:sz w:val="30"/>
          <w:szCs w:val="30"/>
          <w:highlight w:val="none"/>
          <w:u w:val="single"/>
        </w:rPr>
        <w:t></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        </w:t>
      </w:r>
      <w:r>
        <w:rPr>
          <w:rStyle w:val="40"/>
          <w:rFonts w:hint="eastAsia" w:ascii="宋体" w:hAnsi="宋体" w:eastAsia="宋体" w:cs="宋体"/>
          <w:color w:val="auto"/>
          <w:sz w:val="30"/>
          <w:szCs w:val="30"/>
          <w:highlight w:val="none"/>
        </w:rPr>
        <w:t>；</w:t>
      </w:r>
    </w:p>
    <w:p w14:paraId="55CB48E0">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身份证号：</w:t>
      </w:r>
      <w:r>
        <w:rPr>
          <w:rStyle w:val="40"/>
          <w:rFonts w:ascii="宋体" w:hAnsi="宋体" w:eastAsia="宋体" w:cs="宋体"/>
          <w:color w:val="auto"/>
          <w:sz w:val="30"/>
          <w:szCs w:val="30"/>
          <w:highlight w:val="none"/>
          <w:u w:val="single"/>
        </w:rPr>
        <w:t></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   </w:t>
      </w:r>
      <w:r>
        <w:rPr>
          <w:rStyle w:val="40"/>
          <w:rFonts w:hint="eastAsia" w:ascii="宋体" w:hAnsi="宋体" w:eastAsia="宋体" w:cs="宋体"/>
          <w:color w:val="auto"/>
          <w:sz w:val="30"/>
          <w:szCs w:val="30"/>
          <w:highlight w:val="none"/>
        </w:rPr>
        <w:t>；</w:t>
      </w:r>
    </w:p>
    <w:p w14:paraId="252A1A7B">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职    务：</w:t>
      </w:r>
      <w:r>
        <w:rPr>
          <w:rStyle w:val="40"/>
          <w:rFonts w:ascii="宋体" w:hAnsi="宋体" w:eastAsia="宋体" w:cs="宋体"/>
          <w:color w:val="auto"/>
          <w:sz w:val="30"/>
          <w:szCs w:val="30"/>
          <w:highlight w:val="none"/>
          <w:u w:val="single"/>
        </w:rPr>
        <w:t></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  </w:t>
      </w:r>
      <w:r>
        <w:rPr>
          <w:rStyle w:val="40"/>
          <w:rFonts w:hint="eastAsia" w:ascii="宋体" w:hAnsi="宋体" w:eastAsia="宋体" w:cs="宋体"/>
          <w:color w:val="auto"/>
          <w:sz w:val="30"/>
          <w:szCs w:val="30"/>
          <w:highlight w:val="none"/>
        </w:rPr>
        <w:t>；</w:t>
      </w:r>
    </w:p>
    <w:p w14:paraId="619A5313">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联系电话：</w:t>
      </w:r>
      <w:r>
        <w:rPr>
          <w:rStyle w:val="40"/>
          <w:rFonts w:hint="eastAsia" w:ascii="宋体" w:hAnsi="宋体" w:eastAsia="宋体" w:cs="宋体"/>
          <w:color w:val="auto"/>
          <w:sz w:val="30"/>
          <w:szCs w:val="30"/>
          <w:highlight w:val="none"/>
          <w:u w:val="single"/>
        </w:rPr>
        <w:t>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w:t>
      </w:r>
    </w:p>
    <w:p w14:paraId="3448482A">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电子信箱：</w:t>
      </w:r>
      <w:r>
        <w:rPr>
          <w:rStyle w:val="40"/>
          <w:rFonts w:hint="eastAsia" w:ascii="宋体" w:hAnsi="宋体" w:eastAsia="宋体" w:cs="宋体"/>
          <w:color w:val="auto"/>
          <w:sz w:val="30"/>
          <w:szCs w:val="30"/>
          <w:highlight w:val="none"/>
          <w:u w:val="single"/>
        </w:rPr>
        <w:t>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  </w:t>
      </w:r>
      <w:r>
        <w:rPr>
          <w:rStyle w:val="40"/>
          <w:rFonts w:hint="eastAsia" w:ascii="宋体" w:hAnsi="宋体" w:eastAsia="宋体" w:cs="宋体"/>
          <w:color w:val="auto"/>
          <w:sz w:val="30"/>
          <w:szCs w:val="30"/>
          <w:highlight w:val="none"/>
        </w:rPr>
        <w:t>；</w:t>
      </w:r>
    </w:p>
    <w:p w14:paraId="2921850E">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通信地址：</w:t>
      </w:r>
      <w:r>
        <w:rPr>
          <w:rStyle w:val="40"/>
          <w:rFonts w:hint="eastAsia" w:ascii="宋体" w:hAnsi="宋体" w:eastAsia="宋体" w:cs="宋体"/>
          <w:color w:val="auto"/>
          <w:sz w:val="30"/>
          <w:szCs w:val="30"/>
          <w:highlight w:val="none"/>
          <w:u w:val="single"/>
          <w:lang w:eastAsia="zh-CN"/>
        </w:rPr>
        <w:t>南宁兴邕城市更新有限责任公司</w:t>
      </w:r>
      <w:r>
        <w:rPr>
          <w:rStyle w:val="40"/>
          <w:rFonts w:hint="eastAsia" w:ascii="宋体" w:hAnsi="宋体" w:eastAsia="宋体" w:cs="宋体"/>
          <w:color w:val="auto"/>
          <w:sz w:val="30"/>
          <w:szCs w:val="30"/>
          <w:highlight w:val="none"/>
        </w:rPr>
        <w:t>。</w:t>
      </w:r>
    </w:p>
    <w:p w14:paraId="18C9EE01">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发包人对发包人代表的授权范围如下：</w:t>
      </w:r>
      <w:r>
        <w:rPr>
          <w:rStyle w:val="40"/>
          <w:rFonts w:hint="eastAsia" w:ascii="宋体" w:hAnsi="宋体" w:eastAsia="宋体" w:cs="宋体"/>
          <w:color w:val="auto"/>
          <w:sz w:val="30"/>
          <w:szCs w:val="30"/>
          <w:highlight w:val="none"/>
          <w:u w:val="single"/>
        </w:rPr>
        <w:t>发包人代表在发包人的授权范围内，负责处理合同履行过程中与发包人有关的具体事宜</w:t>
      </w:r>
      <w:r>
        <w:rPr>
          <w:rStyle w:val="40"/>
          <w:rFonts w:hint="eastAsia" w:ascii="宋体" w:hAnsi="宋体" w:eastAsia="宋体" w:cs="宋体"/>
          <w:color w:val="auto"/>
          <w:sz w:val="30"/>
          <w:szCs w:val="30"/>
          <w:highlight w:val="none"/>
        </w:rPr>
        <w:t>。</w:t>
      </w:r>
    </w:p>
    <w:p w14:paraId="27944E18">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186" w:name="_Toc25735"/>
      <w:r>
        <w:rPr>
          <w:rStyle w:val="40"/>
          <w:rFonts w:hint="eastAsia" w:ascii="宋体" w:hAnsi="宋体" w:eastAsia="宋体" w:cs="宋体"/>
          <w:color w:val="auto"/>
          <w:sz w:val="30"/>
          <w:szCs w:val="30"/>
          <w:highlight w:val="none"/>
        </w:rPr>
        <w:t>第3条 勘察人</w:t>
      </w:r>
      <w:bookmarkEnd w:id="1185"/>
      <w:bookmarkEnd w:id="1186"/>
    </w:p>
    <w:p w14:paraId="501E6467">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87" w:name="_Toc23906"/>
      <w:bookmarkStart w:id="1188" w:name="_Toc406150488"/>
      <w:r>
        <w:rPr>
          <w:rStyle w:val="40"/>
          <w:rFonts w:hint="eastAsia" w:ascii="宋体" w:hAnsi="宋体" w:eastAsia="宋体" w:cs="宋体"/>
          <w:color w:val="auto"/>
          <w:kern w:val="0"/>
          <w:sz w:val="30"/>
          <w:szCs w:val="30"/>
          <w:highlight w:val="none"/>
        </w:rPr>
        <w:t>3.1 勘察人权利</w:t>
      </w:r>
      <w:bookmarkEnd w:id="1187"/>
      <w:bookmarkEnd w:id="1188"/>
    </w:p>
    <w:p w14:paraId="09315BF3">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3.1.2 关于分包的约定：</w:t>
      </w:r>
      <w:r>
        <w:rPr>
          <w:rStyle w:val="40"/>
          <w:rFonts w:hint="eastAsia" w:ascii="宋体" w:hAnsi="宋体" w:eastAsia="宋体" w:cs="宋体"/>
          <w:color w:val="auto"/>
          <w:kern w:val="0"/>
          <w:sz w:val="30"/>
          <w:szCs w:val="30"/>
          <w:highlight w:val="none"/>
          <w:u w:val="single"/>
        </w:rPr>
        <w:t>本工程勘察不允许分包。</w:t>
      </w:r>
    </w:p>
    <w:p w14:paraId="49469232">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89" w:name="_Toc32535"/>
      <w:bookmarkStart w:id="1190" w:name="_Toc406150489"/>
      <w:r>
        <w:rPr>
          <w:rStyle w:val="40"/>
          <w:rFonts w:hint="eastAsia" w:ascii="宋体" w:hAnsi="宋体" w:eastAsia="宋体" w:cs="宋体"/>
          <w:color w:val="auto"/>
          <w:kern w:val="0"/>
          <w:sz w:val="30"/>
          <w:szCs w:val="30"/>
          <w:highlight w:val="none"/>
        </w:rPr>
        <w:t>3.3 勘察人代表</w:t>
      </w:r>
      <w:bookmarkEnd w:id="1189"/>
      <w:bookmarkEnd w:id="1190"/>
    </w:p>
    <w:p w14:paraId="767E1D63">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姓    名：</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  </w:t>
      </w:r>
      <w:r>
        <w:rPr>
          <w:rStyle w:val="40"/>
          <w:rFonts w:hint="eastAsia" w:ascii="宋体" w:hAnsi="宋体" w:eastAsia="宋体" w:cs="宋体"/>
          <w:color w:val="auto"/>
          <w:sz w:val="30"/>
          <w:szCs w:val="30"/>
          <w:highlight w:val="none"/>
        </w:rPr>
        <w:t>；</w:t>
      </w:r>
    </w:p>
    <w:p w14:paraId="2C37ACA2">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身份证号：</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w:t>
      </w:r>
    </w:p>
    <w:p w14:paraId="5E13F61F">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职    务：</w:t>
      </w:r>
      <w:r>
        <w:rPr>
          <w:rStyle w:val="40"/>
          <w:rFonts w:ascii="宋体" w:hAnsi="宋体" w:eastAsia="宋体" w:cs="宋体"/>
          <w:color w:val="auto"/>
          <w:sz w:val="30"/>
          <w:szCs w:val="30"/>
          <w:highlight w:val="none"/>
          <w:u w:val="single"/>
        </w:rPr>
        <w:t></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w:t>
      </w:r>
    </w:p>
    <w:p w14:paraId="3F368948">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联系电话：</w:t>
      </w:r>
      <w:r>
        <w:rPr>
          <w:rStyle w:val="40"/>
          <w:rFonts w:ascii="宋体" w:hAnsi="宋体" w:eastAsia="宋体" w:cs="宋体"/>
          <w:color w:val="auto"/>
          <w:sz w:val="30"/>
          <w:szCs w:val="30"/>
          <w:highlight w:val="none"/>
          <w:u w:val="single"/>
        </w:rPr>
        <w:t></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w:t>
      </w:r>
    </w:p>
    <w:p w14:paraId="47D26B07">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电子信箱：</w:t>
      </w:r>
      <w:r>
        <w:rPr>
          <w:rStyle w:val="40"/>
          <w:rFonts w:ascii="宋体" w:hAnsi="宋体" w:eastAsia="宋体" w:cs="宋体"/>
          <w:color w:val="auto"/>
          <w:sz w:val="30"/>
          <w:szCs w:val="30"/>
          <w:highlight w:val="none"/>
          <w:u w:val="single"/>
        </w:rPr>
        <w:t></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w:t>
      </w:r>
    </w:p>
    <w:p w14:paraId="3B86669A">
      <w:pPr>
        <w:pStyle w:val="89"/>
        <w:spacing w:line="360" w:lineRule="auto"/>
        <w:ind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通信地址：</w:t>
      </w:r>
      <w:r>
        <w:rPr>
          <w:rStyle w:val="40"/>
          <w:rFonts w:ascii="宋体" w:hAnsi="宋体" w:eastAsia="宋体" w:cs="宋体"/>
          <w:color w:val="auto"/>
          <w:sz w:val="30"/>
          <w:szCs w:val="30"/>
          <w:highlight w:val="none"/>
          <w:u w:val="single"/>
        </w:rPr>
        <w:t></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w:t>
      </w:r>
    </w:p>
    <w:p w14:paraId="55DDFC4D">
      <w:pPr>
        <w:pStyle w:val="89"/>
        <w:spacing w:line="360" w:lineRule="auto"/>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sz w:val="30"/>
          <w:szCs w:val="30"/>
          <w:highlight w:val="none"/>
        </w:rPr>
        <w:t>勘察人对勘察人代表的授权范围如下：</w:t>
      </w:r>
      <w:r>
        <w:rPr>
          <w:rStyle w:val="40"/>
          <w:rFonts w:hint="eastAsia" w:ascii="宋体" w:hAnsi="宋体" w:eastAsia="宋体" w:cs="宋体"/>
          <w:color w:val="auto"/>
          <w:sz w:val="30"/>
          <w:szCs w:val="30"/>
          <w:highlight w:val="none"/>
          <w:u w:val="single"/>
          <w:lang w:eastAsia="zh-CN"/>
        </w:rPr>
        <w:t>代表勘察人行使本合同约定的权利和义务；与发包人共同确认本合同勘察实际完成工程量。</w:t>
      </w:r>
    </w:p>
    <w:p w14:paraId="59495265">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191" w:name="_Toc31449"/>
      <w:bookmarkStart w:id="1192" w:name="_Toc406150490"/>
      <w:r>
        <w:rPr>
          <w:rStyle w:val="40"/>
          <w:rFonts w:hint="eastAsia" w:ascii="宋体" w:hAnsi="宋体" w:eastAsia="宋体" w:cs="宋体"/>
          <w:color w:val="auto"/>
          <w:sz w:val="30"/>
          <w:szCs w:val="30"/>
          <w:highlight w:val="none"/>
        </w:rPr>
        <w:t>第4条 工期</w:t>
      </w:r>
      <w:bookmarkEnd w:id="1191"/>
      <w:bookmarkEnd w:id="1192"/>
    </w:p>
    <w:p w14:paraId="1ED4B665">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93" w:name="_Toc5094"/>
      <w:bookmarkStart w:id="1194" w:name="_Toc406150491"/>
      <w:r>
        <w:rPr>
          <w:rStyle w:val="40"/>
          <w:rFonts w:hint="eastAsia" w:ascii="宋体" w:hAnsi="宋体" w:eastAsia="宋体" w:cs="宋体"/>
          <w:color w:val="auto"/>
          <w:kern w:val="0"/>
          <w:sz w:val="30"/>
          <w:szCs w:val="30"/>
          <w:highlight w:val="none"/>
        </w:rPr>
        <w:t>4.2成果提交日期</w:t>
      </w:r>
      <w:bookmarkEnd w:id="1193"/>
      <w:bookmarkEnd w:id="1194"/>
    </w:p>
    <w:p w14:paraId="2831A07B">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双方约定工期顺延的其他情况：_</w:t>
      </w:r>
      <w:r>
        <w:rPr>
          <w:rStyle w:val="40"/>
          <w:rFonts w:hint="eastAsia" w:ascii="宋体" w:hAnsi="宋体" w:eastAsia="宋体" w:cs="宋体"/>
          <w:color w:val="auto"/>
          <w:kern w:val="0"/>
          <w:sz w:val="30"/>
          <w:szCs w:val="30"/>
          <w:highlight w:val="none"/>
          <w:u w:val="single"/>
        </w:rPr>
        <w:t>无。</w:t>
      </w:r>
    </w:p>
    <w:p w14:paraId="4C8FEA85">
      <w:pPr>
        <w:pStyle w:val="95"/>
        <w:keepNext w:val="0"/>
        <w:keepLines w:val="0"/>
        <w:tabs>
          <w:tab w:val="left" w:pos="1260"/>
        </w:tabs>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95" w:name="_Toc22262"/>
      <w:r>
        <w:rPr>
          <w:rStyle w:val="40"/>
          <w:rFonts w:hint="eastAsia" w:ascii="宋体" w:hAnsi="宋体" w:eastAsia="宋体" w:cs="宋体"/>
          <w:color w:val="auto"/>
          <w:kern w:val="0"/>
          <w:sz w:val="30"/>
          <w:szCs w:val="30"/>
          <w:highlight w:val="none"/>
        </w:rPr>
        <w:t>4.3 发包人造成的工期延误</w:t>
      </w:r>
      <w:bookmarkEnd w:id="1195"/>
    </w:p>
    <w:p w14:paraId="64789ACD">
      <w:pPr>
        <w:pStyle w:val="89"/>
        <w:tabs>
          <w:tab w:val="left" w:pos="900"/>
        </w:tabs>
        <w:adjustRightInd w:val="0"/>
        <w:snapToGrid w:val="0"/>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rPr>
        <w:t>4.3.2</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sz w:val="30"/>
          <w:szCs w:val="30"/>
          <w:highlight w:val="none"/>
        </w:rPr>
        <w:t xml:space="preserve">双方就工期顺延确定期限的约定： </w:t>
      </w:r>
      <w:r>
        <w:rPr>
          <w:rStyle w:val="40"/>
          <w:rFonts w:hint="eastAsia" w:ascii="宋体" w:hAnsi="宋体" w:eastAsia="宋体" w:cs="宋体"/>
          <w:color w:val="auto"/>
          <w:sz w:val="30"/>
          <w:szCs w:val="30"/>
          <w:highlight w:val="none"/>
          <w:u w:val="single"/>
        </w:rPr>
        <w:t xml:space="preserve"> 无</w:t>
      </w:r>
      <w:r>
        <w:rPr>
          <w:rStyle w:val="40"/>
          <w:rFonts w:hint="eastAsia" w:ascii="宋体" w:hAnsi="宋体" w:eastAsia="宋体" w:cs="宋体"/>
          <w:color w:val="auto"/>
          <w:sz w:val="30"/>
          <w:szCs w:val="30"/>
          <w:highlight w:val="none"/>
        </w:rPr>
        <w:t xml:space="preserve">。 </w:t>
      </w:r>
    </w:p>
    <w:p w14:paraId="128F0D4D">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196" w:name="_Toc406150493"/>
      <w:bookmarkStart w:id="1197" w:name="_Toc2450"/>
      <w:r>
        <w:rPr>
          <w:rStyle w:val="40"/>
          <w:rFonts w:hint="eastAsia" w:ascii="宋体" w:hAnsi="宋体" w:eastAsia="宋体" w:cs="宋体"/>
          <w:color w:val="auto"/>
          <w:sz w:val="30"/>
          <w:szCs w:val="30"/>
          <w:highlight w:val="none"/>
        </w:rPr>
        <w:t>第5条 成果资料</w:t>
      </w:r>
      <w:bookmarkEnd w:id="1196"/>
      <w:bookmarkEnd w:id="1197"/>
    </w:p>
    <w:p w14:paraId="772D1597">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198" w:name="_Toc19211"/>
      <w:bookmarkStart w:id="1199" w:name="_Toc406150494"/>
      <w:r>
        <w:rPr>
          <w:rStyle w:val="40"/>
          <w:rFonts w:hint="eastAsia" w:ascii="宋体" w:hAnsi="宋体" w:eastAsia="宋体" w:cs="宋体"/>
          <w:color w:val="auto"/>
          <w:kern w:val="0"/>
          <w:sz w:val="30"/>
          <w:szCs w:val="30"/>
          <w:highlight w:val="none"/>
        </w:rPr>
        <w:t>5.2 成果份数</w:t>
      </w:r>
      <w:bookmarkEnd w:id="1198"/>
      <w:bookmarkEnd w:id="1199"/>
    </w:p>
    <w:p w14:paraId="2478E428">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勘察人应向发包人提交成果资料四份，发包人要求增加的份数为</w:t>
      </w:r>
      <w:r>
        <w:rPr>
          <w:rStyle w:val="40"/>
          <w:rFonts w:hint="eastAsia" w:ascii="宋体" w:hAnsi="宋体" w:eastAsia="宋体" w:cs="宋体"/>
          <w:color w:val="auto"/>
          <w:kern w:val="0"/>
          <w:sz w:val="30"/>
          <w:szCs w:val="30"/>
          <w:highlight w:val="none"/>
          <w:u w:val="single"/>
          <w:lang w:val="en-US" w:eastAsia="zh-CN"/>
        </w:rPr>
        <w:t>十二</w:t>
      </w:r>
      <w:r>
        <w:rPr>
          <w:rStyle w:val="40"/>
          <w:rFonts w:hint="eastAsia" w:ascii="宋体" w:hAnsi="宋体" w:eastAsia="宋体" w:cs="宋体"/>
          <w:color w:val="auto"/>
          <w:kern w:val="0"/>
          <w:sz w:val="30"/>
          <w:szCs w:val="30"/>
          <w:highlight w:val="none"/>
        </w:rPr>
        <w:t>份。</w:t>
      </w:r>
    </w:p>
    <w:p w14:paraId="675D869C">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200" w:name="_Toc21670"/>
      <w:r>
        <w:rPr>
          <w:rStyle w:val="40"/>
          <w:rFonts w:hint="eastAsia" w:ascii="宋体" w:hAnsi="宋体" w:eastAsia="宋体" w:cs="宋体"/>
          <w:color w:val="auto"/>
          <w:kern w:val="0"/>
          <w:sz w:val="30"/>
          <w:szCs w:val="30"/>
          <w:highlight w:val="none"/>
        </w:rPr>
        <w:t>5.4 成果验收</w:t>
      </w:r>
      <w:bookmarkEnd w:id="1200"/>
    </w:p>
    <w:p w14:paraId="63429DFF">
      <w:pPr>
        <w:pStyle w:val="89"/>
        <w:spacing w:line="360" w:lineRule="auto"/>
        <w:ind w:firstLine="600" w:firstLineChars="200"/>
        <w:jc w:val="left"/>
        <w:rPr>
          <w:rStyle w:val="40"/>
          <w:rFonts w:hint="eastAsia" w:ascii="宋体" w:hAnsi="宋体" w:eastAsia="宋体" w:cs="宋体"/>
          <w:color w:val="auto"/>
          <w:sz w:val="30"/>
          <w:szCs w:val="30"/>
          <w:highlight w:val="none"/>
          <w:u w:val="single"/>
        </w:rPr>
      </w:pPr>
      <w:r>
        <w:rPr>
          <w:rStyle w:val="40"/>
          <w:rFonts w:hint="eastAsia" w:ascii="宋体" w:hAnsi="宋体" w:eastAsia="宋体" w:cs="宋体"/>
          <w:color w:val="auto"/>
          <w:sz w:val="30"/>
          <w:szCs w:val="30"/>
          <w:highlight w:val="none"/>
        </w:rPr>
        <w:t>双方就成果验收期限的约定：</w:t>
      </w:r>
      <w:r>
        <w:rPr>
          <w:rStyle w:val="40"/>
          <w:rFonts w:hint="eastAsia" w:ascii="宋体" w:hAnsi="宋体" w:eastAsia="宋体" w:cs="宋体"/>
          <w:color w:val="auto"/>
          <w:sz w:val="30"/>
          <w:szCs w:val="30"/>
          <w:highlight w:val="none"/>
          <w:u w:val="single"/>
        </w:rPr>
        <w:t>完成成果文件并通过相关部门审查，且按交付给发包人之日为勘察阶段完成日。发包人签收勘察计文件后的7日内，发包人应出具勘察阶段完成证明；如发包人未在约定的期限内出具证明，视为发包人认可该勘察阶段完成的日期。</w:t>
      </w:r>
    </w:p>
    <w:p w14:paraId="735A5981">
      <w:pPr>
        <w:pStyle w:val="89"/>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sz w:val="30"/>
          <w:szCs w:val="30"/>
          <w:highlight w:val="none"/>
          <w:u w:val="single"/>
        </w:rPr>
        <w:t>工程竣工验收日为勘察服务完成日。工程竣工验收后的7日内，发包人应出具勘察服务完成证明。如发包人未在约定的期限内出具证明，视为发包人认可该勘察服务阶段完成的日期。</w:t>
      </w:r>
      <w:r>
        <w:rPr>
          <w:rStyle w:val="40"/>
          <w:rFonts w:hint="eastAsia" w:ascii="宋体" w:hAnsi="宋体" w:eastAsia="宋体" w:cs="宋体"/>
          <w:color w:val="auto"/>
          <w:sz w:val="30"/>
          <w:szCs w:val="30"/>
          <w:highlight w:val="none"/>
        </w:rPr>
        <w:t xml:space="preserve"> </w:t>
      </w:r>
    </w:p>
    <w:p w14:paraId="17593806">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201" w:name="_Toc406150495"/>
      <w:bookmarkStart w:id="1202" w:name="_Toc32753"/>
      <w:r>
        <w:rPr>
          <w:rStyle w:val="40"/>
          <w:rFonts w:hint="eastAsia" w:ascii="宋体" w:hAnsi="宋体" w:eastAsia="宋体" w:cs="宋体"/>
          <w:color w:val="auto"/>
          <w:sz w:val="30"/>
          <w:szCs w:val="30"/>
          <w:highlight w:val="none"/>
        </w:rPr>
        <w:t>第6条 后期服务</w:t>
      </w:r>
      <w:bookmarkEnd w:id="1201"/>
      <w:bookmarkEnd w:id="1202"/>
    </w:p>
    <w:p w14:paraId="43554392">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203" w:name="_Toc20268"/>
      <w:bookmarkStart w:id="1204" w:name="_Toc406150496"/>
      <w:r>
        <w:rPr>
          <w:rStyle w:val="40"/>
          <w:rFonts w:hint="eastAsia" w:ascii="宋体" w:hAnsi="宋体" w:eastAsia="宋体" w:cs="宋体"/>
          <w:color w:val="auto"/>
          <w:kern w:val="0"/>
          <w:sz w:val="30"/>
          <w:szCs w:val="30"/>
          <w:highlight w:val="none"/>
        </w:rPr>
        <w:t>6.1 后续技术服务</w:t>
      </w:r>
      <w:bookmarkEnd w:id="1203"/>
    </w:p>
    <w:p w14:paraId="527168D1">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rPr>
        <w:t>后续技术服务内容约定:</w:t>
      </w:r>
      <w:bookmarkEnd w:id="1204"/>
      <w:r>
        <w:rPr>
          <w:rStyle w:val="40"/>
          <w:rFonts w:hint="eastAsia" w:ascii="宋体" w:hAnsi="宋体" w:eastAsia="宋体" w:cs="宋体"/>
          <w:color w:val="auto"/>
          <w:kern w:val="0"/>
          <w:sz w:val="30"/>
          <w:szCs w:val="30"/>
          <w:highlight w:val="none"/>
        </w:rPr>
        <w:t xml:space="preserve"> </w:t>
      </w:r>
      <w:r>
        <w:rPr>
          <w:rStyle w:val="40"/>
          <w:rFonts w:hint="eastAsia" w:ascii="宋体" w:hAnsi="宋体" w:eastAsia="宋体" w:cs="宋体"/>
          <w:color w:val="auto"/>
          <w:sz w:val="30"/>
          <w:szCs w:val="30"/>
          <w:highlight w:val="none"/>
          <w:u w:val="single"/>
        </w:rPr>
        <w:t>勘察人应向发包人提供本项目施工全过程的勘察咨询服务，包括但不限于安排相关专业人员查看现场及提供专业意见，配合完成竣工验收等</w:t>
      </w:r>
      <w:r>
        <w:rPr>
          <w:rStyle w:val="40"/>
          <w:rFonts w:hint="eastAsia" w:ascii="宋体" w:hAnsi="宋体" w:eastAsia="宋体" w:cs="宋体"/>
          <w:color w:val="auto"/>
          <w:sz w:val="30"/>
          <w:szCs w:val="30"/>
          <w:highlight w:val="none"/>
        </w:rPr>
        <w:t>。</w:t>
      </w:r>
    </w:p>
    <w:p w14:paraId="32FD7FF7">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后续技术服务费用约定：_</w:t>
      </w:r>
      <w:r>
        <w:rPr>
          <w:rStyle w:val="40"/>
          <w:rFonts w:hint="eastAsia" w:ascii="宋体" w:hAnsi="宋体" w:eastAsia="宋体" w:cs="宋体"/>
          <w:color w:val="auto"/>
          <w:kern w:val="0"/>
          <w:sz w:val="30"/>
          <w:szCs w:val="30"/>
          <w:highlight w:val="none"/>
          <w:u w:val="single"/>
        </w:rPr>
        <w:t>勘察人为发包人免费提供本合同约定的后续技术服务</w:t>
      </w:r>
      <w:r>
        <w:rPr>
          <w:rStyle w:val="40"/>
          <w:rFonts w:hint="eastAsia" w:ascii="宋体" w:hAnsi="宋体" w:eastAsia="宋体" w:cs="宋体"/>
          <w:color w:val="auto"/>
          <w:sz w:val="30"/>
          <w:szCs w:val="30"/>
          <w:highlight w:val="none"/>
        </w:rPr>
        <w:t>。</w:t>
      </w:r>
    </w:p>
    <w:p w14:paraId="43C39BF1">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后续技术服务时限约定：</w:t>
      </w:r>
      <w:r>
        <w:rPr>
          <w:rStyle w:val="40"/>
          <w:rFonts w:hint="eastAsia" w:ascii="宋体" w:hAnsi="宋体" w:eastAsia="宋体" w:cs="宋体"/>
          <w:color w:val="auto"/>
          <w:kern w:val="0"/>
          <w:sz w:val="30"/>
          <w:szCs w:val="30"/>
          <w:highlight w:val="none"/>
          <w:u w:val="single"/>
        </w:rPr>
        <w:t>本项目开工至竣工验收</w:t>
      </w:r>
      <w:r>
        <w:rPr>
          <w:rStyle w:val="40"/>
          <w:rFonts w:hint="eastAsia" w:ascii="宋体" w:hAnsi="宋体" w:eastAsia="宋体" w:cs="宋体"/>
          <w:color w:val="auto"/>
          <w:sz w:val="30"/>
          <w:szCs w:val="30"/>
          <w:highlight w:val="none"/>
        </w:rPr>
        <w:t>。</w:t>
      </w:r>
    </w:p>
    <w:p w14:paraId="31EE9E8B">
      <w:pPr>
        <w:pStyle w:val="94"/>
        <w:keepNext w:val="0"/>
        <w:keepLines w:val="0"/>
        <w:numPr>
          <w:ilvl w:val="0"/>
          <w:numId w:val="8"/>
        </w:numPr>
        <w:snapToGrid w:val="0"/>
        <w:spacing w:line="360" w:lineRule="auto"/>
        <w:ind w:firstLine="602" w:firstLineChars="200"/>
        <w:rPr>
          <w:rStyle w:val="40"/>
          <w:rFonts w:hint="eastAsia" w:ascii="宋体" w:hAnsi="宋体" w:eastAsia="宋体" w:cs="宋体"/>
          <w:color w:val="auto"/>
          <w:sz w:val="30"/>
          <w:szCs w:val="30"/>
          <w:highlight w:val="none"/>
        </w:rPr>
      </w:pPr>
      <w:bookmarkStart w:id="1205" w:name="_Toc12756"/>
      <w:bookmarkStart w:id="1206" w:name="_Toc406150497"/>
      <w:r>
        <w:rPr>
          <w:rStyle w:val="40"/>
          <w:rFonts w:hint="eastAsia" w:ascii="宋体" w:hAnsi="宋体" w:eastAsia="宋体" w:cs="宋体"/>
          <w:color w:val="auto"/>
          <w:sz w:val="30"/>
          <w:szCs w:val="30"/>
          <w:highlight w:val="none"/>
        </w:rPr>
        <w:t>合同价款与支付</w:t>
      </w:r>
      <w:bookmarkEnd w:id="1205"/>
      <w:bookmarkEnd w:id="1206"/>
    </w:p>
    <w:p w14:paraId="398B2B15">
      <w:pPr>
        <w:pStyle w:val="89"/>
        <w:adjustRightInd w:val="0"/>
        <w:snapToGrid w:val="0"/>
        <w:spacing w:line="360" w:lineRule="auto"/>
        <w:ind w:firstLine="900" w:firstLineChars="3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本工程勘察费暂定</w:t>
      </w:r>
      <w:r>
        <w:rPr>
          <w:rStyle w:val="40"/>
          <w:rFonts w:hint="eastAsia" w:ascii="宋体" w:hAnsi="宋体" w:eastAsia="宋体" w:cs="宋体"/>
          <w:color w:val="auto"/>
          <w:sz w:val="30"/>
          <w:szCs w:val="30"/>
          <w:highlight w:val="none"/>
          <w:lang w:eastAsia="zh-CN"/>
        </w:rPr>
        <w:t>含增值税价</w:t>
      </w:r>
      <w:r>
        <w:rPr>
          <w:rStyle w:val="40"/>
          <w:rFonts w:hint="eastAsia" w:ascii="宋体" w:hAnsi="宋体" w:eastAsia="宋体" w:cs="宋体"/>
          <w:color w:val="auto"/>
          <w:sz w:val="30"/>
          <w:szCs w:val="30"/>
          <w:highlight w:val="none"/>
        </w:rPr>
        <w:t>为人民币（大写）：</w:t>
      </w:r>
      <w:r>
        <w:rPr>
          <w:rStyle w:val="40"/>
          <w:rFonts w:hint="eastAsia" w:ascii="宋体" w:hAnsi="宋体" w:eastAsia="宋体" w:cs="宋体"/>
          <w:color w:val="auto"/>
          <w:sz w:val="30"/>
          <w:szCs w:val="30"/>
          <w:highlight w:val="none"/>
          <w:u w:val="single"/>
          <w:lang w:eastAsia="zh-CN"/>
        </w:rPr>
        <w:t xml:space="preserve">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lang w:eastAsia="zh-CN"/>
        </w:rPr>
        <w:t>（¥</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lang w:eastAsia="zh-CN"/>
        </w:rPr>
        <w:t>）</w:t>
      </w:r>
      <w:r>
        <w:rPr>
          <w:rStyle w:val="40"/>
          <w:rFonts w:hint="eastAsia" w:ascii="宋体" w:hAnsi="宋体" w:eastAsia="宋体" w:cs="宋体"/>
          <w:color w:val="auto"/>
          <w:sz w:val="30"/>
          <w:szCs w:val="30"/>
          <w:highlight w:val="none"/>
          <w:u w:val="single"/>
        </w:rPr>
        <w:t>，该勘察费包括本项目招标范围内勘察服务的所有费用）</w:t>
      </w:r>
      <w:r>
        <w:rPr>
          <w:rStyle w:val="40"/>
          <w:rFonts w:hint="eastAsia" w:ascii="宋体" w:hAnsi="宋体" w:eastAsia="宋体" w:cs="宋体"/>
          <w:color w:val="auto"/>
          <w:sz w:val="30"/>
          <w:szCs w:val="30"/>
          <w:highlight w:val="none"/>
        </w:rPr>
        <w:t>,最终的勘察费按实际勘察岩土类型和完成的工作量结算</w:t>
      </w:r>
      <w:r>
        <w:rPr>
          <w:rStyle w:val="40"/>
          <w:rFonts w:hint="eastAsia" w:ascii="宋体" w:hAnsi="宋体" w:eastAsia="宋体" w:cs="宋体"/>
          <w:color w:val="auto"/>
          <w:sz w:val="30"/>
          <w:szCs w:val="30"/>
          <w:highlight w:val="none"/>
          <w:lang w:eastAsia="zh-CN"/>
        </w:rPr>
        <w:t>，但对超设计规范及标准的超钻部分，不予计量</w:t>
      </w:r>
      <w:r>
        <w:rPr>
          <w:rStyle w:val="40"/>
          <w:rFonts w:hint="eastAsia" w:ascii="宋体" w:hAnsi="宋体" w:eastAsia="宋体" w:cs="宋体"/>
          <w:color w:val="auto"/>
          <w:sz w:val="30"/>
          <w:szCs w:val="30"/>
          <w:highlight w:val="none"/>
        </w:rPr>
        <w:t>[计算公式：勘察费=勘察费收费基价×（1-</w:t>
      </w:r>
      <w:r>
        <w:rPr>
          <w:rStyle w:val="40"/>
          <w:rFonts w:hint="eastAsia" w:ascii="宋体" w:hAnsi="宋体" w:eastAsia="宋体" w:cs="宋体"/>
          <w:color w:val="auto"/>
          <w:sz w:val="30"/>
          <w:szCs w:val="30"/>
          <w:highlight w:val="none"/>
          <w:lang w:val="en-US" w:eastAsia="zh-CN"/>
        </w:rPr>
        <w:t>下浮系数</w:t>
      </w:r>
      <w:r>
        <w:rPr>
          <w:rStyle w:val="40"/>
          <w:rFonts w:hint="eastAsia" w:ascii="宋体" w:hAnsi="宋体" w:eastAsia="宋体" w:cs="宋体"/>
          <w:color w:val="auto"/>
          <w:sz w:val="30"/>
          <w:szCs w:val="30"/>
          <w:highlight w:val="none"/>
        </w:rPr>
        <w:t>%）]</w:t>
      </w:r>
      <w:r>
        <w:rPr>
          <w:rStyle w:val="40"/>
          <w:rFonts w:hint="eastAsia" w:ascii="宋体" w:hAnsi="宋体" w:eastAsia="宋体" w:cs="宋体"/>
          <w:color w:val="auto"/>
          <w:sz w:val="30"/>
          <w:szCs w:val="30"/>
          <w:highlight w:val="none"/>
          <w:lang w:eastAsia="zh-CN"/>
        </w:rPr>
        <w:t>。</w:t>
      </w:r>
      <w:r>
        <w:rPr>
          <w:rStyle w:val="40"/>
          <w:rFonts w:hint="eastAsia" w:ascii="宋体" w:hAnsi="宋体" w:eastAsia="宋体" w:cs="宋体"/>
          <w:color w:val="auto"/>
          <w:sz w:val="30"/>
          <w:szCs w:val="30"/>
          <w:highlight w:val="none"/>
        </w:rPr>
        <w:t>最终结算价以</w:t>
      </w:r>
      <w:r>
        <w:rPr>
          <w:rStyle w:val="40"/>
          <w:rFonts w:hint="eastAsia" w:ascii="宋体" w:hAnsi="宋体" w:eastAsia="宋体" w:cs="宋体"/>
          <w:color w:val="auto"/>
          <w:sz w:val="30"/>
          <w:szCs w:val="30"/>
          <w:highlight w:val="none"/>
          <w:lang w:eastAsia="zh-CN"/>
        </w:rPr>
        <w:t>按国家及南宁市有关规定执行后</w:t>
      </w:r>
      <w:r>
        <w:rPr>
          <w:rStyle w:val="40"/>
          <w:rFonts w:hint="eastAsia" w:ascii="宋体" w:hAnsi="宋体" w:eastAsia="宋体" w:cs="宋体"/>
          <w:color w:val="auto"/>
          <w:sz w:val="30"/>
          <w:szCs w:val="30"/>
          <w:highlight w:val="none"/>
        </w:rPr>
        <w:t>审定为准。</w:t>
      </w:r>
      <w:r>
        <w:rPr>
          <w:rStyle w:val="40"/>
          <w:rFonts w:hint="eastAsia" w:ascii="宋体" w:hAnsi="宋体" w:eastAsia="宋体" w:cs="宋体"/>
          <w:color w:val="auto"/>
          <w:kern w:val="0"/>
          <w:sz w:val="30"/>
          <w:szCs w:val="30"/>
          <w:highlight w:val="none"/>
          <w:lang w:eastAsia="zh-CN"/>
        </w:rPr>
        <w:t>本合同</w:t>
      </w:r>
      <w:r>
        <w:rPr>
          <w:rStyle w:val="40"/>
          <w:rFonts w:hint="eastAsia" w:ascii="宋体" w:hAnsi="宋体" w:eastAsia="宋体" w:cs="宋体"/>
          <w:color w:val="auto"/>
          <w:kern w:val="0"/>
          <w:sz w:val="30"/>
          <w:szCs w:val="30"/>
          <w:highlight w:val="none"/>
        </w:rPr>
        <w:t>价</w:t>
      </w:r>
      <w:r>
        <w:rPr>
          <w:rStyle w:val="40"/>
          <w:rFonts w:hint="eastAsia" w:ascii="宋体" w:hAnsi="宋体" w:eastAsia="宋体" w:cs="宋体"/>
          <w:color w:val="auto"/>
          <w:kern w:val="0"/>
          <w:sz w:val="30"/>
          <w:szCs w:val="30"/>
          <w:highlight w:val="none"/>
          <w:lang w:eastAsia="zh-CN"/>
        </w:rPr>
        <w:t>款</w:t>
      </w:r>
      <w:r>
        <w:rPr>
          <w:rStyle w:val="40"/>
          <w:rFonts w:hint="eastAsia" w:ascii="宋体" w:hAnsi="宋体" w:eastAsia="宋体" w:cs="宋体"/>
          <w:color w:val="auto"/>
          <w:kern w:val="0"/>
          <w:sz w:val="30"/>
          <w:szCs w:val="30"/>
          <w:highlight w:val="none"/>
        </w:rPr>
        <w:t>应包括勘察设备、劳务、管理、交通、维护、保险、利润、税金与政策性文件规定及合同包含的所有风险、责任等各项应有的费用，包括勘察的临时用地，查明勘察点的地下埋藏物、青苗赔偿、拆除地下障碍物、临时交通道路、临建设施、用水用电以及水上作业船等一切费用</w:t>
      </w:r>
      <w:r>
        <w:rPr>
          <w:rStyle w:val="40"/>
          <w:rFonts w:hint="eastAsia" w:ascii="宋体" w:hAnsi="宋体" w:eastAsia="宋体" w:cs="宋体"/>
          <w:color w:val="auto"/>
          <w:sz w:val="30"/>
          <w:szCs w:val="30"/>
          <w:highlight w:val="none"/>
        </w:rPr>
        <w:t>。</w:t>
      </w:r>
    </w:p>
    <w:p w14:paraId="067FDADC">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207" w:name="_Toc406150498"/>
      <w:bookmarkStart w:id="1208" w:name="_Toc3523"/>
      <w:r>
        <w:rPr>
          <w:rStyle w:val="40"/>
          <w:rFonts w:hint="eastAsia" w:ascii="宋体" w:hAnsi="宋体" w:eastAsia="宋体" w:cs="宋体"/>
          <w:color w:val="auto"/>
          <w:kern w:val="0"/>
          <w:sz w:val="30"/>
          <w:szCs w:val="30"/>
          <w:highlight w:val="none"/>
        </w:rPr>
        <w:t>7.1 合同价款与调整</w:t>
      </w:r>
      <w:bookmarkEnd w:id="1207"/>
      <w:bookmarkEnd w:id="1208"/>
    </w:p>
    <w:p w14:paraId="5A1885A3">
      <w:pPr>
        <w:pStyle w:val="89"/>
        <w:tabs>
          <w:tab w:val="left" w:pos="54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7.1.1</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kern w:val="0"/>
          <w:sz w:val="30"/>
          <w:szCs w:val="30"/>
          <w:highlight w:val="none"/>
        </w:rPr>
        <w:t>双方约定的合同价款调整因素和方法：</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无。</w:t>
      </w:r>
    </w:p>
    <w:p w14:paraId="4BB33CB2">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7.1.2</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kern w:val="0"/>
          <w:sz w:val="30"/>
          <w:szCs w:val="30"/>
          <w:highlight w:val="none"/>
        </w:rPr>
        <w:t>本合同价款采用</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浮动系数报价 </w:t>
      </w:r>
      <w:r>
        <w:rPr>
          <w:rStyle w:val="40"/>
          <w:rFonts w:hint="eastAsia" w:ascii="宋体" w:hAnsi="宋体" w:eastAsia="宋体" w:cs="宋体"/>
          <w:color w:val="auto"/>
          <w:kern w:val="0"/>
          <w:sz w:val="30"/>
          <w:szCs w:val="30"/>
          <w:highlight w:val="none"/>
        </w:rPr>
        <w:t>方式确定。</w:t>
      </w:r>
    </w:p>
    <w:p w14:paraId="072FDC60">
      <w:pPr>
        <w:pStyle w:val="89"/>
        <w:adjustRightInd w:val="0"/>
        <w:snapToGrid w:val="0"/>
        <w:spacing w:line="360" w:lineRule="auto"/>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（1）采用总价合同，合同价款中包括的风险范围：</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eastAsia="zh-CN"/>
        </w:rPr>
        <w:t>。</w:t>
      </w:r>
      <w:r>
        <w:rPr>
          <w:rStyle w:val="40"/>
          <w:rFonts w:hint="eastAsia" w:ascii="宋体" w:hAnsi="宋体" w:eastAsia="宋体" w:cs="宋体"/>
          <w:color w:val="auto"/>
          <w:sz w:val="30"/>
          <w:szCs w:val="30"/>
          <w:highlight w:val="none"/>
        </w:rPr>
        <w:t xml:space="preserve"> </w:t>
      </w:r>
    </w:p>
    <w:p w14:paraId="1DCB3BED">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风险费用的计算方法：</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eastAsia="zh-CN"/>
        </w:rPr>
        <w:t>。</w:t>
      </w:r>
      <w:r>
        <w:rPr>
          <w:rStyle w:val="40"/>
          <w:rFonts w:hint="eastAsia" w:ascii="宋体" w:hAnsi="宋体" w:eastAsia="宋体" w:cs="宋体"/>
          <w:color w:val="auto"/>
          <w:sz w:val="30"/>
          <w:szCs w:val="30"/>
          <w:highlight w:val="none"/>
        </w:rPr>
        <w:t xml:space="preserve"> </w:t>
      </w:r>
    </w:p>
    <w:p w14:paraId="4F10EC31">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rPr>
      </w:pPr>
      <w:r>
        <w:rPr>
          <w:rStyle w:val="40"/>
          <w:rFonts w:hint="eastAsia" w:ascii="宋体" w:hAnsi="宋体" w:eastAsia="宋体" w:cs="宋体"/>
          <w:color w:val="auto"/>
          <w:kern w:val="0"/>
          <w:sz w:val="30"/>
          <w:szCs w:val="30"/>
          <w:highlight w:val="none"/>
        </w:rPr>
        <w:t>风险范围以外合同价款调整因素和方法：</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eastAsia="zh-CN"/>
        </w:rPr>
        <w:t>。</w:t>
      </w:r>
    </w:p>
    <w:p w14:paraId="6B056ACC">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（2）采用单价合同，合同价款中包括的风险范围：</w:t>
      </w:r>
      <w:r>
        <w:rPr>
          <w:rStyle w:val="40"/>
          <w:rFonts w:hint="eastAsia" w:ascii="宋体" w:hAnsi="宋体" w:eastAsia="宋体" w:cs="宋体"/>
          <w:color w:val="auto"/>
          <w:sz w:val="30"/>
          <w:szCs w:val="30"/>
          <w:highlight w:val="none"/>
          <w:u w:val="single"/>
        </w:rPr>
        <w:t>无。</w:t>
      </w:r>
    </w:p>
    <w:p w14:paraId="7DFE87D6">
      <w:pPr>
        <w:pStyle w:val="89"/>
        <w:adjustRightInd w:val="0"/>
        <w:snapToGrid w:val="0"/>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rPr>
        <w:t>风险范围以外合同单价调整因素和方法：</w:t>
      </w:r>
      <w:r>
        <w:rPr>
          <w:rStyle w:val="40"/>
          <w:rFonts w:hint="eastAsia" w:ascii="宋体" w:hAnsi="宋体" w:eastAsia="宋体" w:cs="宋体"/>
          <w:color w:val="auto"/>
          <w:sz w:val="30"/>
          <w:szCs w:val="30"/>
          <w:highlight w:val="none"/>
          <w:u w:val="single"/>
        </w:rPr>
        <w:t>无。</w:t>
      </w:r>
    </w:p>
    <w:p w14:paraId="3F0683C0">
      <w:pPr>
        <w:pStyle w:val="89"/>
        <w:adjustRightInd w:val="0"/>
        <w:snapToGrid w:val="0"/>
        <w:spacing w:line="360" w:lineRule="auto"/>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（3）采用的其他合同价款形式及调整因素和方法：</w:t>
      </w:r>
      <w:r>
        <w:rPr>
          <w:rStyle w:val="40"/>
          <w:rFonts w:hint="eastAsia" w:ascii="宋体" w:hAnsi="宋体" w:eastAsia="宋体" w:cs="宋体"/>
          <w:color w:val="auto"/>
          <w:sz w:val="30"/>
          <w:szCs w:val="30"/>
          <w:highlight w:val="none"/>
          <w:u w:val="single"/>
        </w:rPr>
        <w:t>无。</w:t>
      </w:r>
    </w:p>
    <w:p w14:paraId="659D79D3">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7.1.3双方</w:t>
      </w:r>
      <w:r>
        <w:rPr>
          <w:rStyle w:val="40"/>
          <w:rFonts w:hint="eastAsia" w:ascii="宋体" w:hAnsi="宋体" w:eastAsia="宋体" w:cs="宋体"/>
          <w:color w:val="auto"/>
          <w:sz w:val="30"/>
          <w:szCs w:val="30"/>
          <w:highlight w:val="none"/>
        </w:rPr>
        <w:t>就合同价款调整确认期限的约定</w:t>
      </w:r>
      <w:r>
        <w:rPr>
          <w:rStyle w:val="40"/>
          <w:rFonts w:hint="eastAsia" w:ascii="宋体" w:hAnsi="宋体" w:eastAsia="宋体" w:cs="宋体"/>
          <w:color w:val="auto"/>
          <w:kern w:val="0"/>
          <w:sz w:val="30"/>
          <w:szCs w:val="30"/>
          <w:highlight w:val="none"/>
        </w:rPr>
        <w:t>：_</w:t>
      </w:r>
      <w:r>
        <w:rPr>
          <w:rStyle w:val="40"/>
          <w:rFonts w:hint="eastAsia" w:ascii="宋体" w:hAnsi="宋体" w:eastAsia="宋体" w:cs="宋体"/>
          <w:color w:val="auto"/>
          <w:sz w:val="30"/>
          <w:szCs w:val="30"/>
          <w:highlight w:val="none"/>
          <w:u w:val="single"/>
        </w:rPr>
        <w:t>无。</w:t>
      </w:r>
    </w:p>
    <w:p w14:paraId="0359FED9">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209" w:name="_Toc20338"/>
      <w:bookmarkStart w:id="1210" w:name="_Toc406150499"/>
      <w:r>
        <w:rPr>
          <w:rStyle w:val="40"/>
          <w:rFonts w:hint="eastAsia" w:ascii="宋体" w:hAnsi="宋体" w:eastAsia="宋体" w:cs="宋体"/>
          <w:color w:val="auto"/>
          <w:kern w:val="0"/>
          <w:sz w:val="30"/>
          <w:szCs w:val="30"/>
          <w:highlight w:val="none"/>
        </w:rPr>
        <w:t>7.2 定金或预付款</w:t>
      </w:r>
      <w:bookmarkEnd w:id="1209"/>
      <w:bookmarkEnd w:id="1210"/>
    </w:p>
    <w:p w14:paraId="7DCC6B28">
      <w:pPr>
        <w:pStyle w:val="89"/>
        <w:adjustRightInd w:val="0"/>
        <w:snapToGrid w:val="0"/>
        <w:spacing w:line="360" w:lineRule="auto"/>
        <w:ind w:firstLine="600" w:firstLineChars="200"/>
        <w:jc w:val="left"/>
        <w:rPr>
          <w:rStyle w:val="40"/>
          <w:rFonts w:hint="eastAsia" w:ascii="宋体" w:hAnsi="宋体" w:eastAsia="宋体" w:cs="宋体"/>
          <w:b/>
          <w:color w:val="auto"/>
          <w:kern w:val="0"/>
          <w:sz w:val="30"/>
          <w:szCs w:val="30"/>
          <w:highlight w:val="none"/>
          <w:u w:val="single"/>
          <w:lang w:val="en-US"/>
        </w:rPr>
      </w:pPr>
      <w:r>
        <w:rPr>
          <w:rStyle w:val="40"/>
          <w:rFonts w:hint="eastAsia" w:ascii="宋体" w:hAnsi="宋体" w:eastAsia="宋体" w:cs="宋体"/>
          <w:color w:val="auto"/>
          <w:kern w:val="0"/>
          <w:sz w:val="30"/>
          <w:szCs w:val="30"/>
          <w:highlight w:val="none"/>
        </w:rPr>
        <w:t>7.2.1发包人向勘察人支付定金金额:</w:t>
      </w:r>
      <w:r>
        <w:rPr>
          <w:rStyle w:val="40"/>
          <w:rFonts w:hint="eastAsia" w:ascii="宋体" w:hAnsi="宋体" w:eastAsia="宋体" w:cs="宋体"/>
          <w:color w:val="auto"/>
          <w:kern w:val="0"/>
          <w:sz w:val="30"/>
          <w:szCs w:val="30"/>
          <w:highlight w:val="none"/>
          <w:lang w:val="en-US" w:eastAsia="zh-CN"/>
        </w:rPr>
        <w:t xml:space="preserve"> </w:t>
      </w:r>
      <w:r>
        <w:rPr>
          <w:rStyle w:val="40"/>
          <w:rFonts w:hint="eastAsia" w:ascii="宋体" w:hAnsi="宋体" w:eastAsia="宋体" w:cs="宋体"/>
          <w:color w:val="auto"/>
          <w:kern w:val="0"/>
          <w:sz w:val="30"/>
          <w:szCs w:val="30"/>
          <w:highlight w:val="none"/>
          <w:u w:val="single"/>
          <w:lang w:val="en-US" w:eastAsia="zh-CN"/>
        </w:rPr>
        <w:t>0</w:t>
      </w:r>
      <w:r>
        <w:rPr>
          <w:rStyle w:val="40"/>
          <w:rFonts w:hint="eastAsia" w:ascii="宋体" w:hAnsi="宋体" w:eastAsia="宋体" w:cs="宋体"/>
          <w:color w:val="auto"/>
          <w:kern w:val="0"/>
          <w:sz w:val="30"/>
          <w:szCs w:val="30"/>
          <w:highlight w:val="none"/>
        </w:rPr>
        <w:t>或预付款的金额：</w:t>
      </w:r>
      <w:r>
        <w:rPr>
          <w:rStyle w:val="40"/>
          <w:rFonts w:hint="eastAsia" w:ascii="宋体" w:hAnsi="宋体" w:eastAsia="宋体" w:cs="宋体"/>
          <w:color w:val="auto"/>
          <w:kern w:val="0"/>
          <w:sz w:val="30"/>
          <w:szCs w:val="30"/>
          <w:highlight w:val="none"/>
          <w:u w:val="single"/>
          <w:lang w:val="en-US" w:eastAsia="zh-CN"/>
        </w:rPr>
        <w:t>0。</w:t>
      </w:r>
    </w:p>
    <w:p w14:paraId="138CC732">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u w:val="single"/>
          <w:lang w:val="en-US" w:eastAsia="zh-CN"/>
        </w:rPr>
      </w:pPr>
      <w:r>
        <w:rPr>
          <w:rStyle w:val="40"/>
          <w:rFonts w:hint="eastAsia" w:ascii="宋体" w:hAnsi="宋体" w:eastAsia="宋体" w:cs="宋体"/>
          <w:color w:val="auto"/>
          <w:kern w:val="0"/>
          <w:sz w:val="30"/>
          <w:szCs w:val="30"/>
          <w:highlight w:val="none"/>
        </w:rPr>
        <w:t>7.2.2定金或预付款在进度款中的抵扣办法：</w:t>
      </w:r>
      <w:r>
        <w:rPr>
          <w:rStyle w:val="40"/>
          <w:rFonts w:hint="eastAsia" w:ascii="宋体" w:hAnsi="宋体" w:eastAsia="宋体" w:cs="宋体"/>
          <w:color w:val="auto"/>
          <w:kern w:val="0"/>
          <w:sz w:val="30"/>
          <w:szCs w:val="30"/>
          <w:highlight w:val="none"/>
          <w:u w:val="single"/>
          <w:lang w:val="en-US" w:eastAsia="zh-CN"/>
        </w:rPr>
        <w:t>/ 。</w:t>
      </w:r>
    </w:p>
    <w:p w14:paraId="5A50D490">
      <w:pPr>
        <w:pStyle w:val="95"/>
        <w:keepNext w:val="0"/>
        <w:keepLines w:val="0"/>
        <w:snapToGrid w:val="0"/>
        <w:spacing w:line="360" w:lineRule="auto"/>
        <w:ind w:firstLine="602" w:firstLineChars="200"/>
        <w:rPr>
          <w:rStyle w:val="40"/>
          <w:rFonts w:hint="eastAsia" w:ascii="Calibri" w:hAnsi="Calibri" w:eastAsia="宋体" w:cs="Times New Roman"/>
          <w:color w:val="auto"/>
          <w:highlight w:val="none"/>
          <w:lang w:val="en-US" w:eastAsia="zh-CN"/>
        </w:rPr>
      </w:pPr>
      <w:r>
        <w:rPr>
          <w:rStyle w:val="40"/>
          <w:rFonts w:hint="eastAsia" w:ascii="宋体" w:hAnsi="宋体" w:eastAsia="宋体" w:cs="宋体"/>
          <w:color w:val="auto"/>
          <w:kern w:val="0"/>
          <w:sz w:val="30"/>
          <w:szCs w:val="30"/>
          <w:highlight w:val="none"/>
        </w:rPr>
        <w:t>7.</w:t>
      </w:r>
      <w:r>
        <w:rPr>
          <w:rStyle w:val="40"/>
          <w:rFonts w:hint="eastAsia" w:ascii="宋体" w:hAnsi="宋体" w:eastAsia="宋体" w:cs="宋体"/>
          <w:color w:val="auto"/>
          <w:kern w:val="0"/>
          <w:sz w:val="30"/>
          <w:szCs w:val="30"/>
          <w:highlight w:val="none"/>
          <w:lang w:val="en-US" w:eastAsia="zh-CN"/>
        </w:rPr>
        <w:t>3</w:t>
      </w:r>
      <w:r>
        <w:rPr>
          <w:rStyle w:val="40"/>
          <w:rFonts w:hint="eastAsia" w:ascii="宋体" w:hAnsi="宋体" w:eastAsia="宋体" w:cs="宋体"/>
          <w:color w:val="auto"/>
          <w:kern w:val="0"/>
          <w:sz w:val="30"/>
          <w:szCs w:val="30"/>
          <w:highlight w:val="none"/>
        </w:rPr>
        <w:t xml:space="preserve"> </w:t>
      </w:r>
      <w:r>
        <w:rPr>
          <w:rStyle w:val="40"/>
          <w:rFonts w:hint="eastAsia" w:ascii="宋体" w:hAnsi="宋体" w:eastAsia="宋体" w:cs="宋体"/>
          <w:color w:val="auto"/>
          <w:kern w:val="0"/>
          <w:sz w:val="30"/>
          <w:szCs w:val="30"/>
          <w:highlight w:val="none"/>
          <w:lang w:eastAsia="zh-CN"/>
        </w:rPr>
        <w:t>进度款支付</w:t>
      </w:r>
    </w:p>
    <w:p w14:paraId="424C8F9D">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bookmarkStart w:id="1211" w:name="_Toc14422"/>
      <w:r>
        <w:rPr>
          <w:rStyle w:val="40"/>
          <w:rFonts w:ascii="宋体" w:hAnsi="宋体" w:eastAsia="宋体" w:cs="Times New Roman"/>
          <w:color w:val="auto"/>
          <w:kern w:val="0"/>
          <w:sz w:val="30"/>
          <w:szCs w:val="30"/>
          <w:highlight w:val="none"/>
        </w:rPr>
        <w:t>7.3.1</w:t>
      </w:r>
      <w:r>
        <w:rPr>
          <w:rStyle w:val="40"/>
          <w:rFonts w:hint="eastAsia" w:ascii="宋体" w:hAnsi="宋体" w:eastAsia="宋体" w:cs="宋体"/>
          <w:color w:val="auto"/>
          <w:kern w:val="0"/>
          <w:sz w:val="30"/>
          <w:szCs w:val="30"/>
          <w:highlight w:val="none"/>
        </w:rPr>
        <w:t>双方约定的进度款支付方式、支付条件和支付时间：</w:t>
      </w:r>
    </w:p>
    <w:p w14:paraId="3DDDFE40">
      <w:pPr>
        <w:pStyle w:val="89"/>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勘察人完成外业、提交完正式勘察文件、实际完成工作量按要求确认并备案</w:t>
      </w:r>
      <w:r>
        <w:rPr>
          <w:rStyle w:val="40"/>
          <w:rFonts w:hint="eastAsia" w:ascii="宋体" w:hAnsi="宋体" w:eastAsia="宋体" w:cs="宋体"/>
          <w:color w:val="auto"/>
          <w:kern w:val="0"/>
          <w:sz w:val="30"/>
          <w:szCs w:val="30"/>
          <w:highlight w:val="none"/>
          <w:lang w:eastAsia="zh-CN"/>
        </w:rPr>
        <w:t>且</w:t>
      </w:r>
      <w:r>
        <w:rPr>
          <w:rStyle w:val="40"/>
          <w:rFonts w:hint="eastAsia" w:ascii="宋体" w:hAnsi="宋体" w:eastAsia="宋体" w:cs="宋体"/>
          <w:color w:val="auto"/>
          <w:kern w:val="0"/>
          <w:sz w:val="30"/>
          <w:szCs w:val="30"/>
          <w:highlight w:val="none"/>
        </w:rPr>
        <w:t>施工图审查备案得到行政主管部门通过后，发包人支付审核后勘察费的</w:t>
      </w:r>
      <w:r>
        <w:rPr>
          <w:rStyle w:val="40"/>
          <w:rFonts w:hint="eastAsia" w:ascii="宋体" w:hAnsi="宋体" w:eastAsia="宋体" w:cs="宋体"/>
          <w:color w:val="auto"/>
          <w:kern w:val="0"/>
          <w:sz w:val="30"/>
          <w:szCs w:val="30"/>
          <w:highlight w:val="none"/>
          <w:lang w:val="en-US" w:eastAsia="zh-CN"/>
        </w:rPr>
        <w:t>80</w:t>
      </w:r>
      <w:r>
        <w:rPr>
          <w:rStyle w:val="40"/>
          <w:rFonts w:hint="eastAsia" w:ascii="宋体" w:hAnsi="宋体" w:eastAsia="宋体" w:cs="宋体"/>
          <w:color w:val="auto"/>
          <w:kern w:val="0"/>
          <w:sz w:val="30"/>
          <w:szCs w:val="30"/>
          <w:highlight w:val="none"/>
        </w:rPr>
        <w:t>％</w:t>
      </w:r>
      <w:r>
        <w:rPr>
          <w:rStyle w:val="40"/>
          <w:rFonts w:hint="eastAsia" w:ascii="宋体" w:hAnsi="宋体" w:eastAsia="宋体" w:cs="宋体"/>
          <w:color w:val="auto"/>
          <w:kern w:val="0"/>
          <w:sz w:val="30"/>
          <w:szCs w:val="30"/>
          <w:highlight w:val="none"/>
          <w:lang w:eastAsia="zh-CN"/>
        </w:rPr>
        <w:t>；</w:t>
      </w:r>
      <w:r>
        <w:rPr>
          <w:rStyle w:val="40"/>
          <w:rFonts w:hint="eastAsia" w:ascii="宋体" w:hAnsi="宋体" w:eastAsia="宋体" w:cs="宋体"/>
          <w:color w:val="auto"/>
          <w:kern w:val="0"/>
          <w:sz w:val="30"/>
          <w:szCs w:val="30"/>
          <w:highlight w:val="none"/>
        </w:rPr>
        <w:t>项目竣工验收经发包人审核后支付至</w:t>
      </w:r>
      <w:r>
        <w:rPr>
          <w:rStyle w:val="40"/>
          <w:rFonts w:hint="eastAsia" w:ascii="宋体" w:hAnsi="宋体" w:eastAsia="宋体" w:cs="宋体"/>
          <w:color w:val="auto"/>
          <w:kern w:val="0"/>
          <w:sz w:val="30"/>
          <w:szCs w:val="30"/>
          <w:highlight w:val="none"/>
          <w:lang w:eastAsia="zh-CN"/>
        </w:rPr>
        <w:t>勘察</w:t>
      </w:r>
      <w:r>
        <w:rPr>
          <w:rStyle w:val="40"/>
          <w:rFonts w:hint="eastAsia" w:ascii="宋体" w:hAnsi="宋体" w:eastAsia="宋体" w:cs="宋体"/>
          <w:color w:val="auto"/>
          <w:kern w:val="0"/>
          <w:sz w:val="30"/>
          <w:szCs w:val="30"/>
          <w:highlight w:val="none"/>
        </w:rPr>
        <w:t>费的</w:t>
      </w:r>
      <w:r>
        <w:rPr>
          <w:rStyle w:val="40"/>
          <w:rFonts w:hint="eastAsia" w:ascii="宋体" w:hAnsi="宋体" w:eastAsia="宋体" w:cs="宋体"/>
          <w:color w:val="auto"/>
          <w:kern w:val="0"/>
          <w:sz w:val="30"/>
          <w:szCs w:val="30"/>
          <w:highlight w:val="none"/>
          <w:lang w:val="en-US" w:eastAsia="zh-CN"/>
        </w:rPr>
        <w:t>9</w:t>
      </w:r>
      <w:r>
        <w:rPr>
          <w:rStyle w:val="40"/>
          <w:rFonts w:hint="eastAsia" w:ascii="宋体" w:hAnsi="宋体" w:eastAsia="宋体" w:cs="宋体"/>
          <w:color w:val="auto"/>
          <w:kern w:val="0"/>
          <w:sz w:val="30"/>
          <w:szCs w:val="30"/>
          <w:highlight w:val="none"/>
        </w:rPr>
        <w:t>0%；</w:t>
      </w:r>
      <w:r>
        <w:rPr>
          <w:rStyle w:val="40"/>
          <w:rFonts w:hint="eastAsia" w:ascii="宋体" w:hAnsi="宋体" w:eastAsia="宋体" w:cs="宋体"/>
          <w:color w:val="auto"/>
          <w:kern w:val="0"/>
          <w:sz w:val="30"/>
          <w:szCs w:val="30"/>
          <w:highlight w:val="none"/>
          <w:lang w:eastAsia="zh-CN"/>
        </w:rPr>
        <w:t>竣工结算按国家及南宁市有关规定执行审定且财政资金到位后，发包人向勘察人一次性结清余款</w:t>
      </w:r>
      <w:r>
        <w:rPr>
          <w:rStyle w:val="40"/>
          <w:rFonts w:hint="eastAsia" w:ascii="宋体" w:hAnsi="宋体" w:eastAsia="宋体" w:cs="宋体"/>
          <w:color w:val="auto"/>
          <w:kern w:val="0"/>
          <w:sz w:val="30"/>
          <w:szCs w:val="30"/>
          <w:highlight w:val="none"/>
        </w:rPr>
        <w:t>。</w:t>
      </w:r>
    </w:p>
    <w:p w14:paraId="113295FD">
      <w:pPr>
        <w:pStyle w:val="89"/>
        <w:spacing w:line="360" w:lineRule="auto"/>
        <w:ind w:firstLine="600" w:firstLineChars="200"/>
        <w:jc w:val="left"/>
        <w:rPr>
          <w:rStyle w:val="40"/>
          <w:rFonts w:ascii="宋体" w:hAnsi="Calibri" w:eastAsia="宋体" w:cs="宋体"/>
          <w:color w:val="auto"/>
          <w:kern w:val="0"/>
          <w:sz w:val="30"/>
          <w:szCs w:val="30"/>
          <w:highlight w:val="none"/>
        </w:rPr>
      </w:pPr>
      <w:r>
        <w:rPr>
          <w:rStyle w:val="40"/>
          <w:rFonts w:hint="eastAsia" w:ascii="宋体" w:hAnsi="宋体" w:eastAsia="宋体" w:cs="宋体"/>
          <w:color w:val="auto"/>
          <w:sz w:val="30"/>
          <w:szCs w:val="30"/>
          <w:highlight w:val="none"/>
        </w:rPr>
        <w:t>双方委托银行代付代收有关费用，支付款项同时提供等额合法有效增值税</w:t>
      </w:r>
      <w:r>
        <w:rPr>
          <w:rStyle w:val="40"/>
          <w:rFonts w:hint="eastAsia" w:ascii="宋体" w:hAnsi="宋体" w:eastAsia="宋体" w:cs="宋体"/>
          <w:color w:val="auto"/>
          <w:sz w:val="30"/>
          <w:szCs w:val="30"/>
          <w:highlight w:val="none"/>
          <w:lang w:val="en-US" w:eastAsia="zh-CN"/>
        </w:rPr>
        <w:t>专用</w:t>
      </w:r>
      <w:r>
        <w:rPr>
          <w:rStyle w:val="40"/>
          <w:rFonts w:hint="eastAsia" w:ascii="宋体" w:hAnsi="宋体" w:eastAsia="宋体" w:cs="宋体"/>
          <w:color w:val="auto"/>
          <w:sz w:val="30"/>
          <w:szCs w:val="30"/>
          <w:highlight w:val="none"/>
        </w:rPr>
        <w:t>发票</w:t>
      </w:r>
      <w:r>
        <w:rPr>
          <w:rStyle w:val="40"/>
          <w:rFonts w:hint="eastAsia" w:ascii="宋体" w:hAnsi="宋体" w:eastAsia="宋体" w:cs="宋体"/>
          <w:color w:val="auto"/>
          <w:sz w:val="30"/>
          <w:szCs w:val="30"/>
          <w:highlight w:val="none"/>
          <w:lang w:eastAsia="zh-CN"/>
        </w:rPr>
        <w:t>，否则发包人有权暂缓支付合同价款，且不承担相应损失及责任。</w:t>
      </w:r>
    </w:p>
    <w:p w14:paraId="1B7B8B22">
      <w:pPr>
        <w:pStyle w:val="95"/>
        <w:keepNext w:val="0"/>
        <w:keepLines w:val="0"/>
        <w:tabs>
          <w:tab w:val="left" w:pos="1440"/>
        </w:tabs>
        <w:snapToGrid w:val="0"/>
        <w:spacing w:line="360" w:lineRule="auto"/>
        <w:ind w:firstLine="602" w:firstLineChars="200"/>
        <w:rPr>
          <w:rStyle w:val="40"/>
          <w:rFonts w:hint="eastAsia" w:ascii="宋体" w:hAnsi="宋体" w:eastAsia="宋体" w:cs="宋体"/>
          <w:b w:val="0"/>
          <w:color w:val="auto"/>
          <w:kern w:val="0"/>
          <w:sz w:val="30"/>
          <w:szCs w:val="30"/>
          <w:highlight w:val="none"/>
        </w:rPr>
      </w:pPr>
      <w:r>
        <w:rPr>
          <w:rStyle w:val="40"/>
          <w:rFonts w:hint="eastAsia" w:ascii="宋体" w:hAnsi="宋体" w:eastAsia="宋体" w:cs="宋体"/>
          <w:color w:val="auto"/>
          <w:kern w:val="0"/>
          <w:sz w:val="30"/>
          <w:szCs w:val="30"/>
          <w:highlight w:val="none"/>
        </w:rPr>
        <w:t>7.4 合同价款结算</w:t>
      </w:r>
    </w:p>
    <w:p w14:paraId="0A557363">
      <w:pPr>
        <w:pStyle w:val="89"/>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最终合同价款支付的约定：</w:t>
      </w:r>
    </w:p>
    <w:p w14:paraId="47CF7906">
      <w:pPr>
        <w:pStyle w:val="89"/>
        <w:spacing w:line="360" w:lineRule="auto"/>
        <w:ind w:firstLine="600" w:firstLineChars="200"/>
        <w:jc w:val="left"/>
        <w:rPr>
          <w:rStyle w:val="40"/>
          <w:rFonts w:hint="eastAsia" w:ascii="宋体" w:hAnsi="宋体" w:eastAsia="宋体" w:cs="宋体"/>
          <w:color w:val="auto"/>
          <w:kern w:val="0"/>
          <w:sz w:val="30"/>
          <w:szCs w:val="30"/>
          <w:highlight w:val="none"/>
          <w:lang w:eastAsia="zh-CN"/>
        </w:rPr>
      </w:pPr>
      <w:r>
        <w:rPr>
          <w:rStyle w:val="40"/>
          <w:rFonts w:hint="eastAsia" w:ascii="宋体" w:hAnsi="宋体" w:eastAsia="宋体" w:cs="宋体"/>
          <w:color w:val="auto"/>
          <w:kern w:val="0"/>
          <w:sz w:val="30"/>
          <w:szCs w:val="30"/>
          <w:highlight w:val="none"/>
        </w:rPr>
        <w:t>结算</w:t>
      </w:r>
      <w:r>
        <w:rPr>
          <w:rStyle w:val="40"/>
          <w:rFonts w:hint="eastAsia" w:ascii="宋体" w:hAnsi="宋体" w:eastAsia="宋体" w:cs="宋体"/>
          <w:color w:val="auto"/>
          <w:kern w:val="0"/>
          <w:sz w:val="30"/>
          <w:szCs w:val="30"/>
          <w:highlight w:val="none"/>
          <w:lang w:eastAsia="zh-CN"/>
        </w:rPr>
        <w:t>时间</w:t>
      </w:r>
      <w:r>
        <w:rPr>
          <w:rStyle w:val="40"/>
          <w:rFonts w:hint="eastAsia" w:ascii="宋体" w:hAnsi="宋体" w:eastAsia="宋体" w:cs="宋体"/>
          <w:color w:val="auto"/>
          <w:kern w:val="0"/>
          <w:sz w:val="30"/>
          <w:szCs w:val="30"/>
          <w:highlight w:val="none"/>
        </w:rPr>
        <w:t>：</w:t>
      </w:r>
      <w:r>
        <w:rPr>
          <w:rStyle w:val="40"/>
          <w:rFonts w:hint="eastAsia" w:ascii="宋体" w:hAnsi="宋体" w:eastAsia="宋体" w:cs="宋体"/>
          <w:color w:val="auto"/>
          <w:kern w:val="0"/>
          <w:sz w:val="30"/>
          <w:szCs w:val="30"/>
          <w:highlight w:val="none"/>
          <w:lang w:eastAsia="zh-CN"/>
        </w:rPr>
        <w:t>项目竣工验收合格后。</w:t>
      </w:r>
    </w:p>
    <w:p w14:paraId="3AA84C0A">
      <w:pPr>
        <w:pStyle w:val="89"/>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rPr>
        <w:t>送结算时，结算资料一次性送齐，后补资料不计取费用，经勘察单位、设计单位及发包人三方盖章的工程量确认资料为必送的结算资料。勘察人须无条件配合结算工作，在工程竣工验收、勘察人提交完整的结算资料后，且结算经</w:t>
      </w:r>
      <w:r>
        <w:rPr>
          <w:rStyle w:val="40"/>
          <w:rFonts w:hint="eastAsia" w:ascii="宋体" w:hAnsi="宋体" w:eastAsia="宋体" w:cs="宋体"/>
          <w:color w:val="auto"/>
          <w:kern w:val="0"/>
          <w:sz w:val="30"/>
          <w:szCs w:val="30"/>
          <w:highlight w:val="none"/>
          <w:lang w:eastAsia="zh-CN"/>
        </w:rPr>
        <w:t>按国家及南宁市有关规定执行</w:t>
      </w:r>
      <w:r>
        <w:rPr>
          <w:rStyle w:val="40"/>
          <w:rFonts w:hint="eastAsia" w:ascii="宋体" w:hAnsi="宋体" w:eastAsia="宋体" w:cs="宋体"/>
          <w:color w:val="auto"/>
          <w:kern w:val="0"/>
          <w:sz w:val="30"/>
          <w:szCs w:val="30"/>
          <w:highlight w:val="none"/>
        </w:rPr>
        <w:t>审定后，发包人向勘察人一次性结清勘察费余款</w:t>
      </w:r>
      <w:r>
        <w:rPr>
          <w:rStyle w:val="40"/>
          <w:rFonts w:hint="eastAsia" w:ascii="宋体" w:hAnsi="宋体" w:eastAsia="宋体" w:cs="宋体"/>
          <w:color w:val="auto"/>
          <w:sz w:val="30"/>
          <w:szCs w:val="30"/>
          <w:highlight w:val="none"/>
        </w:rPr>
        <w:t>。</w:t>
      </w:r>
    </w:p>
    <w:p w14:paraId="4E2881A1">
      <w:pPr>
        <w:pStyle w:val="89"/>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7</w:t>
      </w:r>
      <w:bookmarkStart w:id="1212" w:name="OLE_LINK50"/>
      <w:r>
        <w:rPr>
          <w:rStyle w:val="40"/>
          <w:rFonts w:hint="eastAsia" w:ascii="宋体" w:hAnsi="宋体" w:eastAsia="宋体" w:cs="宋体"/>
          <w:color w:val="auto"/>
          <w:sz w:val="30"/>
          <w:szCs w:val="30"/>
          <w:highlight w:val="none"/>
        </w:rPr>
        <w:t>.5 履约保证金担保的金额为本合同暂定价的</w:t>
      </w:r>
      <w:r>
        <w:rPr>
          <w:rStyle w:val="40"/>
          <w:rFonts w:hint="eastAsia" w:ascii="宋体" w:hAnsi="宋体" w:eastAsia="宋体" w:cs="宋体"/>
          <w:b/>
          <w:bCs/>
          <w:color w:val="auto"/>
          <w:sz w:val="30"/>
          <w:szCs w:val="30"/>
          <w:highlight w:val="none"/>
          <w:u w:val="single"/>
          <w:lang w:val="en-US" w:eastAsia="zh-CN"/>
        </w:rPr>
        <w:t>/</w:t>
      </w:r>
      <w:r>
        <w:rPr>
          <w:rStyle w:val="40"/>
          <w:rFonts w:hint="eastAsia" w:ascii="宋体" w:hAnsi="宋体" w:eastAsia="宋体" w:cs="宋体"/>
          <w:b/>
          <w:bCs/>
          <w:color w:val="auto"/>
          <w:sz w:val="30"/>
          <w:szCs w:val="30"/>
          <w:highlight w:val="none"/>
          <w:u w:val="single"/>
        </w:rPr>
        <w:t>%</w:t>
      </w:r>
      <w:r>
        <w:rPr>
          <w:rStyle w:val="40"/>
          <w:rFonts w:hint="eastAsia" w:ascii="宋体" w:hAnsi="宋体" w:eastAsia="宋体" w:cs="宋体"/>
          <w:color w:val="auto"/>
          <w:sz w:val="30"/>
          <w:szCs w:val="30"/>
          <w:highlight w:val="none"/>
        </w:rPr>
        <w:t>，则履约保证金担保的金额为人民币（大写）：</w:t>
      </w:r>
      <w:r>
        <w:rPr>
          <w:rStyle w:val="40"/>
          <w:rFonts w:hint="eastAsia" w:ascii="宋体" w:hAnsi="宋体" w:eastAsia="宋体" w:cs="宋体"/>
          <w:color w:val="auto"/>
          <w:sz w:val="30"/>
          <w:szCs w:val="30"/>
          <w:highlight w:val="none"/>
          <w:u w:val="single"/>
          <w:lang w:val="en-US" w:eastAsia="zh-CN"/>
        </w:rPr>
        <w:t xml:space="preserve">    /   </w:t>
      </w:r>
      <w:r>
        <w:rPr>
          <w:rStyle w:val="40"/>
          <w:rFonts w:hint="eastAsia" w:ascii="宋体" w:hAnsi="宋体" w:eastAsia="宋体" w:cs="宋体"/>
          <w:b/>
          <w:bCs/>
          <w:color w:val="auto"/>
          <w:sz w:val="30"/>
          <w:szCs w:val="30"/>
          <w:highlight w:val="none"/>
          <w:u w:val="single"/>
        </w:rPr>
        <w:t>（¥：</w:t>
      </w:r>
      <w:r>
        <w:rPr>
          <w:rStyle w:val="40"/>
          <w:rFonts w:hint="eastAsia" w:ascii="宋体" w:hAnsi="宋体" w:eastAsia="宋体" w:cs="宋体"/>
          <w:b/>
          <w:bCs/>
          <w:color w:val="auto"/>
          <w:sz w:val="30"/>
          <w:szCs w:val="30"/>
          <w:highlight w:val="none"/>
          <w:u w:val="single"/>
          <w:lang w:val="en-US" w:eastAsia="zh-CN"/>
        </w:rPr>
        <w:t xml:space="preserve">   /  </w:t>
      </w:r>
      <w:r>
        <w:rPr>
          <w:rStyle w:val="40"/>
          <w:rFonts w:hint="eastAsia" w:ascii="宋体" w:hAnsi="宋体" w:eastAsia="宋体" w:cs="宋体"/>
          <w:b/>
          <w:bCs/>
          <w:color w:val="auto"/>
          <w:sz w:val="30"/>
          <w:szCs w:val="30"/>
          <w:highlight w:val="none"/>
          <w:u w:val="single"/>
        </w:rPr>
        <w:t>元）</w:t>
      </w:r>
      <w:r>
        <w:rPr>
          <w:rStyle w:val="40"/>
          <w:rFonts w:hint="eastAsia" w:ascii="宋体" w:hAnsi="宋体" w:eastAsia="宋体" w:cs="宋体"/>
          <w:color w:val="auto"/>
          <w:sz w:val="30"/>
          <w:szCs w:val="30"/>
          <w:highlight w:val="none"/>
        </w:rPr>
        <w:t>，勘察人在收到中标通知书后</w:t>
      </w:r>
      <w:r>
        <w:rPr>
          <w:rStyle w:val="40"/>
          <w:rFonts w:hint="eastAsia" w:ascii="宋体" w:hAnsi="宋体" w:eastAsia="宋体" w:cs="宋体"/>
          <w:color w:val="auto"/>
          <w:sz w:val="30"/>
          <w:szCs w:val="30"/>
          <w:highlight w:val="none"/>
          <w:u w:val="single"/>
          <w:lang w:val="en-US" w:eastAsia="zh-CN"/>
        </w:rPr>
        <w:t>30</w:t>
      </w:r>
      <w:r>
        <w:rPr>
          <w:rStyle w:val="40"/>
          <w:rFonts w:hint="eastAsia" w:ascii="宋体" w:hAnsi="宋体" w:eastAsia="宋体" w:cs="宋体"/>
          <w:color w:val="auto"/>
          <w:sz w:val="30"/>
          <w:szCs w:val="30"/>
          <w:highlight w:val="none"/>
        </w:rPr>
        <w:t>个日历天内向发包人提交履约保证或同等额度的银行保函，否则招标人将取消其中标资格。</w:t>
      </w:r>
      <w:bookmarkEnd w:id="1212"/>
    </w:p>
    <w:p w14:paraId="479AA227">
      <w:pPr>
        <w:pStyle w:val="89"/>
        <w:spacing w:line="360" w:lineRule="auto"/>
        <w:ind w:firstLine="600" w:firstLineChars="200"/>
        <w:jc w:val="left"/>
        <w:rPr>
          <w:rStyle w:val="40"/>
          <w:rFonts w:hint="eastAsia" w:ascii="Calibri" w:hAnsi="Calibri" w:eastAsia="宋体" w:cs="Times New Roman"/>
          <w:color w:val="auto"/>
          <w:highlight w:val="none"/>
        </w:rPr>
      </w:pPr>
      <w:r>
        <w:rPr>
          <w:rStyle w:val="40"/>
          <w:rFonts w:hint="eastAsia" w:ascii="宋体" w:hAnsi="宋体" w:eastAsia="宋体" w:cs="宋体"/>
          <w:color w:val="auto"/>
          <w:sz w:val="30"/>
          <w:szCs w:val="30"/>
          <w:highlight w:val="none"/>
        </w:rPr>
        <w:t>期限：履约担保的有效期应当自本合同生效之日起至</w:t>
      </w:r>
      <w:r>
        <w:rPr>
          <w:rStyle w:val="40"/>
          <w:rFonts w:hint="eastAsia" w:ascii="宋体" w:hAnsi="宋体" w:eastAsia="宋体" w:cs="宋体"/>
          <w:color w:val="auto"/>
          <w:sz w:val="30"/>
          <w:szCs w:val="30"/>
          <w:highlight w:val="none"/>
          <w:lang w:eastAsia="zh-CN"/>
        </w:rPr>
        <w:t>勘察</w:t>
      </w:r>
      <w:r>
        <w:rPr>
          <w:rStyle w:val="40"/>
          <w:rFonts w:hint="eastAsia" w:ascii="宋体" w:hAnsi="宋体" w:eastAsia="宋体" w:cs="宋体"/>
          <w:color w:val="auto"/>
          <w:sz w:val="30"/>
          <w:szCs w:val="30"/>
          <w:highlight w:val="none"/>
        </w:rPr>
        <w:t>人</w:t>
      </w:r>
      <w:r>
        <w:rPr>
          <w:rStyle w:val="40"/>
          <w:rFonts w:hint="eastAsia" w:ascii="宋体" w:hAnsi="宋体" w:eastAsia="宋体" w:cs="宋体"/>
          <w:color w:val="auto"/>
          <w:sz w:val="30"/>
          <w:szCs w:val="30"/>
          <w:highlight w:val="none"/>
          <w:lang w:eastAsia="zh-CN"/>
        </w:rPr>
        <w:t>勘察</w:t>
      </w:r>
      <w:r>
        <w:rPr>
          <w:rStyle w:val="40"/>
          <w:rFonts w:hint="eastAsia" w:ascii="宋体" w:hAnsi="宋体" w:eastAsia="宋体" w:cs="宋体"/>
          <w:color w:val="auto"/>
          <w:sz w:val="30"/>
          <w:szCs w:val="30"/>
          <w:highlight w:val="none"/>
        </w:rPr>
        <w:t>阶段完成之日止。但采用履约保函时，如果</w:t>
      </w:r>
      <w:r>
        <w:rPr>
          <w:rStyle w:val="40"/>
          <w:rFonts w:hint="eastAsia" w:ascii="宋体" w:hAnsi="宋体" w:eastAsia="宋体" w:cs="宋体"/>
          <w:color w:val="auto"/>
          <w:sz w:val="30"/>
          <w:szCs w:val="30"/>
          <w:highlight w:val="none"/>
          <w:lang w:eastAsia="zh-CN"/>
        </w:rPr>
        <w:t>勘察</w:t>
      </w:r>
      <w:r>
        <w:rPr>
          <w:rStyle w:val="40"/>
          <w:rFonts w:hint="eastAsia" w:ascii="宋体" w:hAnsi="宋体" w:eastAsia="宋体" w:cs="宋体"/>
          <w:color w:val="auto"/>
          <w:sz w:val="30"/>
          <w:szCs w:val="30"/>
          <w:highlight w:val="none"/>
        </w:rPr>
        <w:t>人无法获得一份不带具体截止日期的担保，履约担保中应当有“变更设计阶段完成日期的，保证期间按照变更后的</w:t>
      </w:r>
      <w:r>
        <w:rPr>
          <w:rStyle w:val="40"/>
          <w:rFonts w:hint="eastAsia" w:ascii="宋体" w:hAnsi="宋体" w:eastAsia="宋体" w:cs="宋体"/>
          <w:color w:val="auto"/>
          <w:sz w:val="30"/>
          <w:szCs w:val="30"/>
          <w:highlight w:val="none"/>
          <w:lang w:eastAsia="zh-CN"/>
        </w:rPr>
        <w:t>勘察</w:t>
      </w:r>
      <w:r>
        <w:rPr>
          <w:rStyle w:val="40"/>
          <w:rFonts w:hint="eastAsia" w:ascii="宋体" w:hAnsi="宋体" w:eastAsia="宋体" w:cs="宋体"/>
          <w:color w:val="auto"/>
          <w:sz w:val="30"/>
          <w:szCs w:val="30"/>
          <w:highlight w:val="none"/>
        </w:rPr>
        <w:t>阶段完成日期做相应调整”或类似约定的条款。如若工程在合同约定工期内未能完工的，</w:t>
      </w:r>
      <w:r>
        <w:rPr>
          <w:rStyle w:val="40"/>
          <w:rFonts w:hint="eastAsia" w:ascii="宋体" w:hAnsi="宋体" w:eastAsia="宋体" w:cs="宋体"/>
          <w:color w:val="auto"/>
          <w:sz w:val="30"/>
          <w:szCs w:val="30"/>
          <w:highlight w:val="none"/>
          <w:lang w:eastAsia="zh-CN"/>
        </w:rPr>
        <w:t>勘察</w:t>
      </w:r>
      <w:r>
        <w:rPr>
          <w:rStyle w:val="40"/>
          <w:rFonts w:hint="eastAsia" w:ascii="宋体" w:hAnsi="宋体" w:eastAsia="宋体" w:cs="宋体"/>
          <w:color w:val="auto"/>
          <w:sz w:val="30"/>
          <w:szCs w:val="30"/>
          <w:highlight w:val="none"/>
        </w:rPr>
        <w:t>人应于履约担保期限届满前 30 日及时办理续保函事宜，否则，因</w:t>
      </w:r>
      <w:r>
        <w:rPr>
          <w:rStyle w:val="40"/>
          <w:rFonts w:hint="eastAsia" w:ascii="宋体" w:hAnsi="宋体" w:eastAsia="宋体" w:cs="宋体"/>
          <w:color w:val="auto"/>
          <w:sz w:val="30"/>
          <w:szCs w:val="30"/>
          <w:highlight w:val="none"/>
          <w:lang w:eastAsia="zh-CN"/>
        </w:rPr>
        <w:t>勘察</w:t>
      </w:r>
      <w:r>
        <w:rPr>
          <w:rStyle w:val="40"/>
          <w:rFonts w:hint="eastAsia" w:ascii="宋体" w:hAnsi="宋体" w:eastAsia="宋体" w:cs="宋体"/>
          <w:color w:val="auto"/>
          <w:sz w:val="30"/>
          <w:szCs w:val="30"/>
          <w:highlight w:val="none"/>
        </w:rPr>
        <w:t>人没有及时办理续保导致履约保函与合同工期脱节的，</w:t>
      </w:r>
      <w:r>
        <w:rPr>
          <w:rStyle w:val="40"/>
          <w:rFonts w:hint="eastAsia" w:ascii="宋体" w:hAnsi="宋体" w:eastAsia="宋体" w:cs="宋体"/>
          <w:color w:val="auto"/>
          <w:sz w:val="30"/>
          <w:szCs w:val="30"/>
          <w:highlight w:val="none"/>
          <w:lang w:eastAsia="zh-CN"/>
        </w:rPr>
        <w:t>勘察</w:t>
      </w:r>
      <w:r>
        <w:rPr>
          <w:rStyle w:val="40"/>
          <w:rFonts w:hint="eastAsia" w:ascii="宋体" w:hAnsi="宋体" w:eastAsia="宋体" w:cs="宋体"/>
          <w:color w:val="auto"/>
          <w:sz w:val="30"/>
          <w:szCs w:val="30"/>
          <w:highlight w:val="none"/>
        </w:rPr>
        <w:t>人应承担由此给发包人造成的全部损失，并且，发包人有权在应付</w:t>
      </w:r>
      <w:r>
        <w:rPr>
          <w:rStyle w:val="40"/>
          <w:rFonts w:hint="eastAsia" w:ascii="宋体" w:hAnsi="宋体" w:eastAsia="宋体" w:cs="宋体"/>
          <w:color w:val="auto"/>
          <w:sz w:val="30"/>
          <w:szCs w:val="30"/>
          <w:highlight w:val="none"/>
          <w:lang w:eastAsia="zh-CN"/>
        </w:rPr>
        <w:t>勘察</w:t>
      </w:r>
      <w:r>
        <w:rPr>
          <w:rStyle w:val="40"/>
          <w:rFonts w:hint="eastAsia" w:ascii="宋体" w:hAnsi="宋体" w:eastAsia="宋体" w:cs="宋体"/>
          <w:color w:val="auto"/>
          <w:sz w:val="30"/>
          <w:szCs w:val="30"/>
          <w:highlight w:val="none"/>
        </w:rPr>
        <w:t xml:space="preserve">费中扣除相当于履约担保额的保证金。 </w:t>
      </w:r>
    </w:p>
    <w:p w14:paraId="28E38578">
      <w:pPr>
        <w:pStyle w:val="89"/>
        <w:spacing w:line="360" w:lineRule="auto"/>
        <w:ind w:firstLine="600" w:firstLineChars="200"/>
        <w:jc w:val="left"/>
        <w:rPr>
          <w:rStyle w:val="40"/>
          <w:rFonts w:hint="default" w:ascii="宋体" w:hAnsi="宋体" w:eastAsia="宋体" w:cs="宋体"/>
          <w:color w:val="auto"/>
          <w:sz w:val="30"/>
          <w:szCs w:val="30"/>
          <w:highlight w:val="none"/>
          <w:lang w:val="en-US" w:eastAsia="zh-CN"/>
        </w:rPr>
      </w:pPr>
      <w:r>
        <w:rPr>
          <w:rStyle w:val="40"/>
          <w:rFonts w:hint="eastAsia" w:ascii="宋体" w:hAnsi="宋体" w:eastAsia="宋体" w:cs="宋体"/>
          <w:color w:val="auto"/>
          <w:sz w:val="30"/>
          <w:szCs w:val="30"/>
          <w:highlight w:val="none"/>
          <w:lang w:val="en-US" w:eastAsia="zh-CN"/>
        </w:rPr>
        <w:t>退回：履约保证金在项目竣工验收合格并扣减中标人应付赔偿金后，发包人将履约保证金的余额支付给中标人（无息）</w:t>
      </w:r>
    </w:p>
    <w:bookmarkEnd w:id="1211"/>
    <w:p w14:paraId="0FB1A20C">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213" w:name="_Toc15911"/>
      <w:bookmarkStart w:id="1214" w:name="_Toc406150501"/>
      <w:r>
        <w:rPr>
          <w:rStyle w:val="40"/>
          <w:rFonts w:hint="eastAsia" w:ascii="宋体" w:hAnsi="宋体" w:eastAsia="宋体" w:cs="宋体"/>
          <w:color w:val="auto"/>
          <w:sz w:val="30"/>
          <w:szCs w:val="30"/>
          <w:highlight w:val="none"/>
        </w:rPr>
        <w:t>第8条 变更与调整</w:t>
      </w:r>
      <w:bookmarkEnd w:id="1213"/>
    </w:p>
    <w:p w14:paraId="135FC518">
      <w:pPr>
        <w:pStyle w:val="89"/>
        <w:keepNext w:val="0"/>
        <w:keepLines w:val="0"/>
        <w:pageBreakBefore w:val="0"/>
        <w:widowControl w:val="0"/>
        <w:kinsoku/>
        <w:wordWrap/>
        <w:overflowPunct/>
        <w:topLinePunct w:val="0"/>
        <w:autoSpaceDE/>
        <w:autoSpaceDN/>
        <w:bidi w:val="0"/>
        <w:adjustRightInd w:val="0"/>
        <w:snapToGrid w:val="0"/>
        <w:spacing w:before="260" w:beforeLines="0" w:after="260" w:afterLines="0" w:line="360" w:lineRule="auto"/>
        <w:ind w:left="0" w:leftChars="0" w:right="0" w:rightChars="0" w:firstLine="602" w:firstLineChars="200"/>
        <w:jc w:val="left"/>
        <w:textAlignment w:val="auto"/>
        <w:outlineLvl w:val="2"/>
        <w:rPr>
          <w:rStyle w:val="40"/>
          <w:rFonts w:hint="eastAsia" w:ascii="宋体" w:hAnsi="宋体" w:eastAsia="宋体" w:cs="宋体"/>
          <w:b/>
          <w:bCs/>
          <w:color w:val="auto"/>
          <w:sz w:val="30"/>
          <w:szCs w:val="30"/>
          <w:highlight w:val="none"/>
        </w:rPr>
      </w:pPr>
      <w:bookmarkStart w:id="1215" w:name="_Toc14797"/>
      <w:r>
        <w:rPr>
          <w:rStyle w:val="40"/>
          <w:rFonts w:hint="eastAsia" w:ascii="宋体" w:hAnsi="宋体" w:eastAsia="宋体" w:cs="宋体"/>
          <w:b/>
          <w:bCs/>
          <w:color w:val="auto"/>
          <w:kern w:val="0"/>
          <w:sz w:val="30"/>
          <w:szCs w:val="30"/>
          <w:highlight w:val="none"/>
        </w:rPr>
        <w:t>8.1  变更范围与确认</w:t>
      </w:r>
      <w:bookmarkEnd w:id="1215"/>
    </w:p>
    <w:p w14:paraId="6EBC1A74">
      <w:pPr>
        <w:pStyle w:val="89"/>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right="0" w:rightChars="0" w:firstLine="600" w:firstLineChars="200"/>
        <w:jc w:val="left"/>
        <w:textAlignment w:val="auto"/>
        <w:outlineLvl w:val="9"/>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8.1.1 变更范围</w:t>
      </w:r>
    </w:p>
    <w:p w14:paraId="79FFC294">
      <w:pPr>
        <w:pStyle w:val="89"/>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变更范围的其他约定：</w:t>
      </w:r>
      <w:r>
        <w:rPr>
          <w:rStyle w:val="40"/>
          <w:rFonts w:hint="eastAsia" w:ascii="宋体" w:hAnsi="宋体" w:eastAsia="宋体" w:cs="宋体"/>
          <w:color w:val="auto"/>
          <w:kern w:val="0"/>
          <w:sz w:val="30"/>
          <w:szCs w:val="30"/>
          <w:highlight w:val="none"/>
          <w:u w:val="single"/>
          <w:lang w:eastAsia="zh-CN"/>
        </w:rPr>
        <w:t>无</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color w:val="auto"/>
          <w:kern w:val="0"/>
          <w:sz w:val="30"/>
          <w:szCs w:val="30"/>
          <w:highlight w:val="none"/>
        </w:rPr>
        <w:t>。</w:t>
      </w:r>
    </w:p>
    <w:p w14:paraId="6CA9446E">
      <w:pPr>
        <w:pStyle w:val="89"/>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right="0" w:rightChars="0" w:firstLine="600" w:firstLineChars="200"/>
        <w:jc w:val="left"/>
        <w:textAlignment w:val="auto"/>
        <w:outlineLvl w:val="9"/>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8.1.2 变更确认</w:t>
      </w:r>
    </w:p>
    <w:p w14:paraId="762700BF">
      <w:pPr>
        <w:pStyle w:val="89"/>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right="0" w:rightChars="0" w:firstLine="600" w:firstLineChars="200"/>
        <w:jc w:val="left"/>
        <w:textAlignment w:val="auto"/>
        <w:outlineLvl w:val="9"/>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rPr>
        <w:t>变更提出和确认期限的约定：：</w:t>
      </w:r>
      <w:r>
        <w:rPr>
          <w:rStyle w:val="40"/>
          <w:rFonts w:hint="eastAsia" w:ascii="宋体" w:hAnsi="宋体" w:eastAsia="宋体" w:cs="宋体"/>
          <w:color w:val="auto"/>
          <w:kern w:val="0"/>
          <w:sz w:val="30"/>
          <w:szCs w:val="30"/>
          <w:highlight w:val="none"/>
          <w:u w:val="single"/>
          <w:lang w:eastAsia="zh-CN"/>
        </w:rPr>
        <w:t>无</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color w:val="auto"/>
          <w:kern w:val="0"/>
          <w:sz w:val="30"/>
          <w:szCs w:val="30"/>
          <w:highlight w:val="none"/>
        </w:rPr>
        <w:t>。</w:t>
      </w:r>
    </w:p>
    <w:p w14:paraId="2D00C578">
      <w:pPr>
        <w:pStyle w:val="95"/>
        <w:keepNext/>
        <w:keepLines/>
        <w:pageBreakBefore w:val="0"/>
        <w:widowControl w:val="0"/>
        <w:kinsoku/>
        <w:wordWrap/>
        <w:overflowPunct/>
        <w:topLinePunct w:val="0"/>
        <w:autoSpaceDE/>
        <w:autoSpaceDN/>
        <w:bidi w:val="0"/>
        <w:adjustRightInd w:val="0"/>
        <w:snapToGrid w:val="0"/>
        <w:spacing w:before="260" w:beforeLines="0" w:after="260" w:afterLines="0" w:line="360" w:lineRule="auto"/>
        <w:ind w:left="0" w:leftChars="0" w:right="0" w:rightChars="0" w:firstLine="602" w:firstLineChars="200"/>
        <w:jc w:val="both"/>
        <w:textAlignment w:val="auto"/>
        <w:outlineLvl w:val="2"/>
        <w:rPr>
          <w:rStyle w:val="40"/>
          <w:rFonts w:hint="eastAsia" w:ascii="宋体" w:hAnsi="宋体" w:eastAsia="宋体" w:cs="宋体"/>
          <w:color w:val="auto"/>
          <w:kern w:val="0"/>
          <w:sz w:val="30"/>
          <w:szCs w:val="30"/>
          <w:highlight w:val="none"/>
        </w:rPr>
      </w:pPr>
      <w:bookmarkStart w:id="1216" w:name="_Toc7934"/>
      <w:r>
        <w:rPr>
          <w:rStyle w:val="40"/>
          <w:rFonts w:hint="eastAsia" w:ascii="宋体" w:hAnsi="宋体" w:eastAsia="宋体" w:cs="宋体"/>
          <w:color w:val="auto"/>
          <w:kern w:val="0"/>
          <w:sz w:val="30"/>
          <w:szCs w:val="30"/>
          <w:highlight w:val="none"/>
        </w:rPr>
        <w:t>8.2  变更合同价款确定</w:t>
      </w:r>
      <w:bookmarkEnd w:id="1216"/>
    </w:p>
    <w:p w14:paraId="308415A1">
      <w:pPr>
        <w:pStyle w:val="89"/>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8.2.2 提出变更合同价款报告期限的约定：</w:t>
      </w:r>
      <w:r>
        <w:rPr>
          <w:rStyle w:val="40"/>
          <w:rFonts w:hint="eastAsia" w:ascii="宋体" w:hAnsi="宋体" w:eastAsia="宋体" w:cs="宋体"/>
          <w:color w:val="auto"/>
          <w:sz w:val="30"/>
          <w:szCs w:val="30"/>
          <w:highlight w:val="none"/>
          <w:u w:val="single"/>
        </w:rPr>
        <w:t>发生变更3个工作日内</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 xml:space="preserve">。                    </w:t>
      </w:r>
    </w:p>
    <w:p w14:paraId="08617313">
      <w:pPr>
        <w:pStyle w:val="89"/>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8.2.3 确认变更合同价款报告时限的约定：</w:t>
      </w:r>
      <w:r>
        <w:rPr>
          <w:rStyle w:val="40"/>
          <w:rFonts w:hint="eastAsia" w:ascii="宋体" w:hAnsi="宋体" w:eastAsia="宋体" w:cs="宋体"/>
          <w:color w:val="auto"/>
          <w:sz w:val="30"/>
          <w:szCs w:val="30"/>
          <w:highlight w:val="none"/>
          <w:u w:val="single"/>
        </w:rPr>
        <w:t>接到签章齐全的15个工作</w:t>
      </w:r>
      <w:r>
        <w:rPr>
          <w:rStyle w:val="40"/>
          <w:rFonts w:hint="eastAsia" w:ascii="宋体" w:hAnsi="宋体" w:eastAsia="宋体" w:cs="宋体"/>
          <w:color w:val="auto"/>
          <w:sz w:val="30"/>
          <w:szCs w:val="30"/>
          <w:highlight w:val="none"/>
          <w:u w:val="single"/>
          <w:lang w:eastAsia="zh-CN"/>
        </w:rPr>
        <w:t>日</w:t>
      </w:r>
      <w:r>
        <w:rPr>
          <w:rStyle w:val="40"/>
          <w:rFonts w:hint="eastAsia" w:ascii="宋体" w:hAnsi="宋体" w:eastAsia="宋体" w:cs="宋体"/>
          <w:color w:val="auto"/>
          <w:sz w:val="30"/>
          <w:szCs w:val="30"/>
          <w:highlight w:val="none"/>
        </w:rPr>
        <w:t xml:space="preserve">。                   </w:t>
      </w:r>
    </w:p>
    <w:p w14:paraId="6109C96C">
      <w:pPr>
        <w:pStyle w:val="94"/>
        <w:keepNext w:val="0"/>
        <w:keepLines w:val="0"/>
        <w:pageBreakBefore w:val="0"/>
        <w:widowControl w:val="0"/>
        <w:kinsoku/>
        <w:wordWrap/>
        <w:overflowPunct/>
        <w:topLinePunct w:val="0"/>
        <w:autoSpaceDE/>
        <w:autoSpaceDN/>
        <w:bidi w:val="0"/>
        <w:adjustRightInd/>
        <w:snapToGrid w:val="0"/>
        <w:spacing w:before="260" w:beforeLines="0" w:after="260" w:afterLines="0" w:line="360" w:lineRule="auto"/>
        <w:ind w:left="0" w:leftChars="0" w:right="0" w:rightChars="0" w:firstLine="602" w:firstLineChars="200"/>
        <w:jc w:val="both"/>
        <w:textAlignment w:val="auto"/>
        <w:outlineLvl w:val="1"/>
        <w:rPr>
          <w:rStyle w:val="40"/>
          <w:rFonts w:hint="eastAsia" w:ascii="宋体" w:hAnsi="宋体" w:eastAsia="宋体" w:cs="宋体"/>
          <w:color w:val="auto"/>
          <w:sz w:val="30"/>
          <w:szCs w:val="30"/>
          <w:highlight w:val="none"/>
        </w:rPr>
      </w:pPr>
      <w:bookmarkStart w:id="1217" w:name="_Toc10413"/>
      <w:r>
        <w:rPr>
          <w:rStyle w:val="40"/>
          <w:rFonts w:hint="eastAsia" w:ascii="宋体" w:hAnsi="宋体" w:eastAsia="宋体" w:cs="宋体"/>
          <w:color w:val="auto"/>
          <w:sz w:val="30"/>
          <w:szCs w:val="30"/>
          <w:highlight w:val="none"/>
        </w:rPr>
        <w:t>第9条 知识产权</w:t>
      </w:r>
      <w:bookmarkEnd w:id="1214"/>
      <w:bookmarkEnd w:id="1217"/>
    </w:p>
    <w:p w14:paraId="2A2CC171">
      <w:pPr>
        <w:pStyle w:val="89"/>
        <w:tabs>
          <w:tab w:val="left" w:pos="1260"/>
        </w:tabs>
        <w:snapToGrid w:val="0"/>
        <w:spacing w:line="360" w:lineRule="auto"/>
        <w:ind w:firstLine="602" w:firstLineChars="200"/>
        <w:rPr>
          <w:rStyle w:val="40"/>
          <w:rFonts w:hint="eastAsia" w:ascii="宋体" w:hAnsi="宋体" w:eastAsia="宋体" w:cs="宋体"/>
          <w:b/>
          <w:color w:val="auto"/>
          <w:sz w:val="30"/>
          <w:szCs w:val="30"/>
          <w:highlight w:val="none"/>
          <w:u w:val="single"/>
        </w:rPr>
      </w:pPr>
      <w:r>
        <w:rPr>
          <w:rStyle w:val="40"/>
          <w:rFonts w:hint="eastAsia" w:ascii="宋体" w:hAnsi="宋体" w:eastAsia="宋体" w:cs="宋体"/>
          <w:b/>
          <w:bCs/>
          <w:color w:val="auto"/>
          <w:sz w:val="30"/>
          <w:szCs w:val="30"/>
          <w:highlight w:val="none"/>
        </w:rPr>
        <w:t>9.1</w:t>
      </w:r>
      <w:r>
        <w:rPr>
          <w:rStyle w:val="40"/>
          <w:rFonts w:hint="eastAsia" w:ascii="宋体" w:hAnsi="宋体" w:eastAsia="宋体" w:cs="宋体"/>
          <w:color w:val="auto"/>
          <w:sz w:val="30"/>
          <w:szCs w:val="30"/>
          <w:highlight w:val="none"/>
        </w:rPr>
        <w:t>关于发包人提供给</w:t>
      </w:r>
      <w:r>
        <w:rPr>
          <w:rStyle w:val="40"/>
          <w:rFonts w:hint="eastAsia" w:ascii="宋体" w:hAnsi="宋体" w:eastAsia="宋体" w:cs="宋体"/>
          <w:color w:val="auto"/>
          <w:kern w:val="0"/>
          <w:sz w:val="30"/>
          <w:szCs w:val="30"/>
          <w:highlight w:val="none"/>
        </w:rPr>
        <w:t>勘察人</w:t>
      </w:r>
      <w:r>
        <w:rPr>
          <w:rStyle w:val="40"/>
          <w:rFonts w:hint="eastAsia" w:ascii="宋体" w:hAnsi="宋体" w:eastAsia="宋体" w:cs="宋体"/>
          <w:color w:val="auto"/>
          <w:sz w:val="30"/>
          <w:szCs w:val="30"/>
          <w:highlight w:val="none"/>
        </w:rPr>
        <w:t>的图纸、发包人为实施工程自行编制或委托编制的反映发包人要求或其他类似性质的文件的著作权的归属：</w:t>
      </w:r>
      <w:r>
        <w:rPr>
          <w:rStyle w:val="40"/>
          <w:rFonts w:hint="eastAsia" w:ascii="宋体" w:hAnsi="宋体" w:eastAsia="宋体" w:cs="宋体"/>
          <w:color w:val="auto"/>
          <w:sz w:val="30"/>
          <w:szCs w:val="30"/>
          <w:highlight w:val="none"/>
          <w:u w:val="single"/>
        </w:rPr>
        <w:t>发包人。</w:t>
      </w:r>
    </w:p>
    <w:p w14:paraId="32CCA5E1">
      <w:pPr>
        <w:pStyle w:val="89"/>
        <w:spacing w:line="360" w:lineRule="auto"/>
        <w:ind w:firstLine="600" w:firstLineChars="200"/>
        <w:rPr>
          <w:rStyle w:val="40"/>
          <w:rFonts w:hint="eastAsia" w:ascii="宋体" w:hAnsi="宋体" w:eastAsia="宋体" w:cs="宋体"/>
          <w:b/>
          <w:color w:val="auto"/>
          <w:sz w:val="30"/>
          <w:szCs w:val="30"/>
          <w:highlight w:val="none"/>
        </w:rPr>
      </w:pPr>
      <w:r>
        <w:rPr>
          <w:rStyle w:val="40"/>
          <w:rFonts w:hint="eastAsia" w:ascii="宋体" w:hAnsi="宋体" w:eastAsia="宋体" w:cs="宋体"/>
          <w:color w:val="auto"/>
          <w:sz w:val="30"/>
          <w:szCs w:val="30"/>
          <w:highlight w:val="none"/>
        </w:rPr>
        <w:t>关于发包人提供的上述文件的使用限制的要求</w:t>
      </w:r>
      <w:r>
        <w:rPr>
          <w:rStyle w:val="40"/>
          <w:rFonts w:hint="eastAsia" w:ascii="宋体" w:hAnsi="宋体" w:eastAsia="宋体" w:cs="宋体"/>
          <w:color w:val="auto"/>
          <w:sz w:val="30"/>
          <w:szCs w:val="30"/>
          <w:highlight w:val="none"/>
          <w:u w:val="single"/>
        </w:rPr>
        <w:t>勘察人可以为实现合同目的而复制、使用此类文件，但不能用于与合同无关的其他事项。 未经发包人书面同意，勘察人不得为了合同以外的目的而复制、使用上述文件或将之提供给任何第三方发包人</w:t>
      </w:r>
      <w:r>
        <w:rPr>
          <w:rStyle w:val="40"/>
          <w:rFonts w:hint="eastAsia" w:ascii="宋体" w:hAnsi="宋体" w:eastAsia="宋体" w:cs="宋体"/>
          <w:color w:val="auto"/>
          <w:sz w:val="30"/>
          <w:szCs w:val="30"/>
          <w:highlight w:val="none"/>
        </w:rPr>
        <w:t>。</w:t>
      </w:r>
    </w:p>
    <w:p w14:paraId="37B3F59C">
      <w:pPr>
        <w:pStyle w:val="89"/>
        <w:bidi w:val="0"/>
        <w:ind w:firstLine="602"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b/>
          <w:bCs/>
          <w:color w:val="auto"/>
          <w:kern w:val="0"/>
          <w:sz w:val="30"/>
          <w:szCs w:val="30"/>
          <w:highlight w:val="none"/>
        </w:rPr>
        <w:t>9.2</w:t>
      </w:r>
      <w:r>
        <w:rPr>
          <w:rStyle w:val="40"/>
          <w:rFonts w:hint="eastAsia" w:ascii="宋体" w:hAnsi="宋体" w:eastAsia="宋体" w:cs="宋体"/>
          <w:color w:val="auto"/>
          <w:sz w:val="30"/>
          <w:szCs w:val="30"/>
          <w:highlight w:val="none"/>
        </w:rPr>
        <w:t>关于</w:t>
      </w:r>
      <w:r>
        <w:rPr>
          <w:rStyle w:val="40"/>
          <w:rFonts w:hint="eastAsia" w:ascii="宋体" w:hAnsi="宋体" w:eastAsia="宋体" w:cs="宋体"/>
          <w:color w:val="auto"/>
          <w:kern w:val="0"/>
          <w:sz w:val="30"/>
          <w:szCs w:val="30"/>
          <w:highlight w:val="none"/>
        </w:rPr>
        <w:t>勘察人</w:t>
      </w:r>
      <w:r>
        <w:rPr>
          <w:rStyle w:val="40"/>
          <w:rFonts w:hint="eastAsia" w:ascii="宋体" w:hAnsi="宋体" w:eastAsia="宋体" w:cs="宋体"/>
          <w:color w:val="auto"/>
          <w:sz w:val="30"/>
          <w:szCs w:val="30"/>
          <w:highlight w:val="none"/>
        </w:rPr>
        <w:t>为实施工程所编制文件的著作权的归属：发包人。</w:t>
      </w:r>
    </w:p>
    <w:p w14:paraId="59AB9728">
      <w:pPr>
        <w:pStyle w:val="89"/>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sz w:val="30"/>
          <w:szCs w:val="30"/>
          <w:highlight w:val="none"/>
        </w:rPr>
        <w:t>关于勘察人提供的上述文件的使用限制的要求：</w:t>
      </w:r>
      <w:r>
        <w:rPr>
          <w:rStyle w:val="40"/>
          <w:rFonts w:hint="eastAsia" w:ascii="宋体" w:hAnsi="宋体" w:eastAsia="宋体" w:cs="宋体"/>
          <w:color w:val="auto"/>
          <w:sz w:val="30"/>
          <w:szCs w:val="30"/>
          <w:highlight w:val="none"/>
          <w:u w:val="single"/>
        </w:rPr>
        <w:t>未经发包人书面同意，勘察人不得为了合同以外的目的而复制、使用上述文件或将之提供给任何第三方发包人</w:t>
      </w:r>
      <w:r>
        <w:rPr>
          <w:rStyle w:val="40"/>
          <w:rFonts w:hint="eastAsia" w:ascii="宋体" w:hAnsi="宋体" w:eastAsia="宋体" w:cs="宋体"/>
          <w:color w:val="auto"/>
          <w:sz w:val="30"/>
          <w:szCs w:val="30"/>
          <w:highlight w:val="none"/>
        </w:rPr>
        <w:t>。</w:t>
      </w:r>
    </w:p>
    <w:p w14:paraId="38593189">
      <w:pPr>
        <w:pStyle w:val="89"/>
        <w:spacing w:line="360" w:lineRule="auto"/>
        <w:ind w:firstLine="602" w:firstLineChars="200"/>
        <w:rPr>
          <w:rStyle w:val="40"/>
          <w:rFonts w:hint="eastAsia" w:ascii="宋体" w:hAnsi="宋体" w:eastAsia="宋体" w:cs="宋体"/>
          <w:b/>
          <w:color w:val="auto"/>
          <w:sz w:val="30"/>
          <w:szCs w:val="30"/>
          <w:highlight w:val="none"/>
        </w:rPr>
      </w:pPr>
      <w:bookmarkStart w:id="1218" w:name="_Toc406150503"/>
      <w:r>
        <w:rPr>
          <w:rStyle w:val="40"/>
          <w:rFonts w:hint="eastAsia" w:ascii="宋体" w:hAnsi="宋体" w:eastAsia="宋体" w:cs="宋体"/>
          <w:b/>
          <w:color w:val="auto"/>
          <w:kern w:val="0"/>
          <w:sz w:val="30"/>
          <w:szCs w:val="30"/>
          <w:highlight w:val="none"/>
        </w:rPr>
        <w:t xml:space="preserve">9.5  </w:t>
      </w:r>
      <w:bookmarkEnd w:id="1218"/>
      <w:r>
        <w:rPr>
          <w:rStyle w:val="40"/>
          <w:rFonts w:hint="eastAsia" w:ascii="宋体" w:hAnsi="宋体" w:eastAsia="宋体" w:cs="宋体"/>
          <w:color w:val="auto"/>
          <w:sz w:val="30"/>
          <w:szCs w:val="30"/>
          <w:highlight w:val="none"/>
        </w:rPr>
        <w:t>勘察人在工作过程中所采用的专利、专有技术、技术秘密的使用费的承担方式：</w:t>
      </w:r>
      <w:r>
        <w:rPr>
          <w:rStyle w:val="40"/>
          <w:rFonts w:hint="eastAsia" w:ascii="宋体" w:hAnsi="宋体" w:eastAsia="宋体" w:cs="宋体"/>
          <w:color w:val="auto"/>
          <w:sz w:val="30"/>
          <w:szCs w:val="30"/>
          <w:highlight w:val="none"/>
          <w:u w:val="single"/>
        </w:rPr>
        <w:t>勘察人自行承担</w:t>
      </w:r>
      <w:r>
        <w:rPr>
          <w:rStyle w:val="40"/>
          <w:rFonts w:hint="eastAsia" w:ascii="宋体" w:hAnsi="宋体" w:eastAsia="宋体" w:cs="宋体"/>
          <w:color w:val="auto"/>
          <w:kern w:val="0"/>
          <w:sz w:val="30"/>
          <w:szCs w:val="30"/>
          <w:highlight w:val="none"/>
        </w:rPr>
        <w:t>。</w:t>
      </w:r>
    </w:p>
    <w:p w14:paraId="39D36C09">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219" w:name="_Toc406150504"/>
      <w:bookmarkStart w:id="1220" w:name="_Toc23243"/>
      <w:r>
        <w:rPr>
          <w:rStyle w:val="40"/>
          <w:rFonts w:hint="eastAsia" w:ascii="宋体" w:hAnsi="宋体" w:eastAsia="宋体" w:cs="宋体"/>
          <w:color w:val="auto"/>
          <w:sz w:val="30"/>
          <w:szCs w:val="30"/>
          <w:highlight w:val="none"/>
        </w:rPr>
        <w:t>第10条 不可抗力</w:t>
      </w:r>
      <w:bookmarkEnd w:id="1219"/>
      <w:bookmarkEnd w:id="1220"/>
    </w:p>
    <w:p w14:paraId="4D89DBE0">
      <w:pPr>
        <w:pStyle w:val="89"/>
        <w:snapToGrid w:val="0"/>
        <w:spacing w:before="260" w:beforeLines="0" w:after="260" w:afterLines="0" w:line="360" w:lineRule="auto"/>
        <w:ind w:firstLine="602" w:firstLineChars="200"/>
        <w:outlineLvl w:val="2"/>
        <w:rPr>
          <w:rStyle w:val="40"/>
          <w:rFonts w:hint="eastAsia" w:ascii="宋体" w:hAnsi="宋体" w:eastAsia="宋体" w:cs="宋体"/>
          <w:b/>
          <w:color w:val="auto"/>
          <w:kern w:val="0"/>
          <w:sz w:val="30"/>
          <w:szCs w:val="30"/>
          <w:highlight w:val="none"/>
        </w:rPr>
      </w:pPr>
      <w:bookmarkStart w:id="1221" w:name="_Toc9763"/>
      <w:bookmarkStart w:id="1222" w:name="_Toc406150505"/>
      <w:r>
        <w:rPr>
          <w:rStyle w:val="40"/>
          <w:rFonts w:hint="eastAsia" w:ascii="宋体" w:hAnsi="宋体" w:eastAsia="宋体" w:cs="宋体"/>
          <w:b/>
          <w:color w:val="auto"/>
          <w:kern w:val="0"/>
          <w:sz w:val="30"/>
          <w:szCs w:val="30"/>
          <w:highlight w:val="none"/>
        </w:rPr>
        <w:t>10.1 不可抗力的确认</w:t>
      </w:r>
      <w:bookmarkEnd w:id="1221"/>
      <w:bookmarkEnd w:id="1222"/>
    </w:p>
    <w:p w14:paraId="3652E1BF">
      <w:pPr>
        <w:pStyle w:val="89"/>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Style w:val="40"/>
          <w:rFonts w:hint="eastAsia" w:ascii="宋体" w:hAnsi="宋体" w:eastAsia="宋体" w:cs="宋体"/>
          <w:color w:val="auto"/>
          <w:sz w:val="30"/>
          <w:szCs w:val="30"/>
          <w:highlight w:val="none"/>
          <w:u w:val="single"/>
        </w:rPr>
      </w:pPr>
      <w:r>
        <w:rPr>
          <w:rStyle w:val="40"/>
          <w:rFonts w:hint="eastAsia" w:ascii="宋体" w:hAnsi="宋体" w:eastAsia="宋体" w:cs="宋体"/>
          <w:color w:val="auto"/>
          <w:kern w:val="0"/>
          <w:sz w:val="30"/>
          <w:szCs w:val="30"/>
          <w:highlight w:val="none"/>
        </w:rPr>
        <w:t>10.1.1 双方关于不可抗力的其他约定（如政府临时禁令）：</w:t>
      </w:r>
      <w:r>
        <w:rPr>
          <w:rStyle w:val="40"/>
          <w:rFonts w:hint="eastAsia" w:ascii="宋体" w:hAnsi="宋体" w:eastAsia="宋体" w:cs="宋体"/>
          <w:color w:val="auto"/>
          <w:sz w:val="30"/>
          <w:szCs w:val="30"/>
          <w:highlight w:val="none"/>
          <w:u w:val="single"/>
        </w:rPr>
        <w:t>因政府或相关主管部门要求导致项目中断勘察。</w:t>
      </w:r>
    </w:p>
    <w:p w14:paraId="79100457">
      <w:pPr>
        <w:pStyle w:val="89"/>
        <w:snapToGrid w:val="0"/>
        <w:spacing w:before="260" w:beforeLines="0" w:after="260" w:afterLines="0" w:line="360" w:lineRule="auto"/>
        <w:ind w:firstLine="602" w:firstLineChars="200"/>
        <w:outlineLvl w:val="2"/>
        <w:rPr>
          <w:rStyle w:val="40"/>
          <w:rFonts w:hint="eastAsia" w:ascii="宋体" w:hAnsi="宋体" w:eastAsia="宋体" w:cs="宋体"/>
          <w:b/>
          <w:color w:val="auto"/>
          <w:kern w:val="0"/>
          <w:sz w:val="30"/>
          <w:szCs w:val="30"/>
          <w:highlight w:val="none"/>
        </w:rPr>
      </w:pPr>
      <w:bookmarkStart w:id="1223" w:name="_Toc29043"/>
      <w:r>
        <w:rPr>
          <w:rStyle w:val="40"/>
          <w:rFonts w:hint="eastAsia" w:ascii="宋体" w:hAnsi="宋体" w:eastAsia="宋体" w:cs="宋体"/>
          <w:b/>
          <w:color w:val="auto"/>
          <w:kern w:val="0"/>
          <w:sz w:val="30"/>
          <w:szCs w:val="30"/>
          <w:highlight w:val="none"/>
        </w:rPr>
        <w:t>10.2 不可抗力的通知</w:t>
      </w:r>
      <w:bookmarkEnd w:id="1223"/>
    </w:p>
    <w:p w14:paraId="225747B6">
      <w:pPr>
        <w:pStyle w:val="89"/>
        <w:adjustRightInd w:val="0"/>
        <w:snapToGrid w:val="0"/>
        <w:spacing w:line="360" w:lineRule="auto"/>
        <w:ind w:left="596" w:leftChars="284" w:firstLine="0" w:firstLineChars="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10.2.1 不可抗力持续发生，勘察人报告受害损失期限的约定：</w:t>
      </w:r>
      <w:r>
        <w:rPr>
          <w:rStyle w:val="40"/>
          <w:rFonts w:hint="eastAsia" w:ascii="宋体" w:hAnsi="宋体" w:eastAsia="宋体" w:cs="宋体"/>
          <w:color w:val="auto"/>
          <w:sz w:val="30"/>
          <w:szCs w:val="30"/>
          <w:highlight w:val="none"/>
        </w:rPr>
        <w:t>通用条款第10.2条执行。</w:t>
      </w:r>
    </w:p>
    <w:p w14:paraId="2CA19EC0">
      <w:pPr>
        <w:pStyle w:val="89"/>
        <w:adjustRightInd w:val="0"/>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10.2.2 勘察人向发包人通报受害损失情况及费用期限的约定：</w:t>
      </w:r>
      <w:r>
        <w:rPr>
          <w:rStyle w:val="40"/>
          <w:rFonts w:hint="eastAsia" w:ascii="宋体" w:hAnsi="宋体" w:eastAsia="宋体" w:cs="宋体"/>
          <w:color w:val="auto"/>
          <w:sz w:val="30"/>
          <w:szCs w:val="30"/>
          <w:highlight w:val="none"/>
        </w:rPr>
        <w:t>通用条款第10.2条执行。</w:t>
      </w:r>
    </w:p>
    <w:p w14:paraId="4D87AEDE">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224" w:name="_Toc20516"/>
      <w:bookmarkStart w:id="1225" w:name="_Toc406150506"/>
      <w:r>
        <w:rPr>
          <w:rStyle w:val="40"/>
          <w:rFonts w:hint="eastAsia" w:ascii="宋体" w:hAnsi="宋体" w:eastAsia="宋体" w:cs="宋体"/>
          <w:color w:val="auto"/>
          <w:sz w:val="30"/>
          <w:szCs w:val="30"/>
          <w:highlight w:val="none"/>
        </w:rPr>
        <w:t>第13条 责任与保险</w:t>
      </w:r>
      <w:bookmarkEnd w:id="1224"/>
      <w:bookmarkEnd w:id="1225"/>
    </w:p>
    <w:p w14:paraId="58DF56C9">
      <w:pPr>
        <w:pStyle w:val="89"/>
        <w:tabs>
          <w:tab w:val="left" w:pos="1260"/>
        </w:tabs>
        <w:adjustRightInd w:val="0"/>
        <w:snapToGrid w:val="0"/>
        <w:spacing w:line="360" w:lineRule="auto"/>
        <w:ind w:firstLine="602"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b/>
          <w:color w:val="auto"/>
          <w:kern w:val="0"/>
          <w:sz w:val="30"/>
          <w:szCs w:val="30"/>
          <w:highlight w:val="none"/>
        </w:rPr>
        <w:t xml:space="preserve">13.2 </w:t>
      </w:r>
      <w:r>
        <w:rPr>
          <w:rStyle w:val="40"/>
          <w:rFonts w:hint="eastAsia" w:ascii="宋体" w:hAnsi="宋体" w:eastAsia="宋体" w:cs="宋体"/>
          <w:bCs/>
          <w:color w:val="auto"/>
          <w:kern w:val="0"/>
          <w:sz w:val="30"/>
          <w:szCs w:val="30"/>
          <w:highlight w:val="none"/>
        </w:rPr>
        <w:t>工程勘察责任保险的约定：</w:t>
      </w:r>
      <w:r>
        <w:rPr>
          <w:rStyle w:val="40"/>
          <w:rFonts w:hint="eastAsia" w:ascii="宋体" w:hAnsi="宋体" w:eastAsia="宋体" w:cs="宋体"/>
          <w:color w:val="auto"/>
          <w:sz w:val="30"/>
          <w:szCs w:val="30"/>
          <w:highlight w:val="none"/>
          <w:u w:val="single"/>
          <w:lang w:val="en-US" w:eastAsia="zh-CN"/>
        </w:rPr>
        <w:t>无。</w:t>
      </w:r>
    </w:p>
    <w:p w14:paraId="2ED10F5A">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226" w:name="_Toc406150507"/>
      <w:bookmarkStart w:id="1227" w:name="_Toc22559"/>
      <w:r>
        <w:rPr>
          <w:rStyle w:val="40"/>
          <w:rFonts w:hint="eastAsia" w:ascii="宋体" w:hAnsi="宋体" w:eastAsia="宋体" w:cs="宋体"/>
          <w:color w:val="auto"/>
          <w:sz w:val="30"/>
          <w:szCs w:val="30"/>
          <w:highlight w:val="none"/>
        </w:rPr>
        <w:t>第14条 违约</w:t>
      </w:r>
      <w:bookmarkEnd w:id="1226"/>
      <w:bookmarkEnd w:id="1227"/>
    </w:p>
    <w:p w14:paraId="65B7A3A6">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228" w:name="_Toc25143"/>
      <w:bookmarkStart w:id="1229" w:name="_Toc406150508"/>
      <w:r>
        <w:rPr>
          <w:rStyle w:val="40"/>
          <w:rFonts w:hint="eastAsia" w:ascii="宋体" w:hAnsi="宋体" w:eastAsia="宋体" w:cs="宋体"/>
          <w:color w:val="auto"/>
          <w:kern w:val="0"/>
          <w:sz w:val="30"/>
          <w:szCs w:val="30"/>
          <w:highlight w:val="none"/>
        </w:rPr>
        <w:t>14.1 发包人违约</w:t>
      </w:r>
      <w:bookmarkEnd w:id="1228"/>
      <w:bookmarkEnd w:id="1229"/>
    </w:p>
    <w:p w14:paraId="726A1A6D">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14.1.2 发包人违约责任</w:t>
      </w:r>
    </w:p>
    <w:p w14:paraId="3E571CA7">
      <w:pPr>
        <w:pStyle w:val="96"/>
        <w:spacing w:line="360" w:lineRule="auto"/>
        <w:ind w:firstLine="570"/>
        <w:rPr>
          <w:rStyle w:val="40"/>
          <w:rFonts w:hint="eastAsia" w:ascii="宋体" w:hAnsi="宋体" w:eastAsia="宋体" w:cs="宋体"/>
          <w:color w:val="auto"/>
          <w:kern w:val="0"/>
          <w:sz w:val="30"/>
          <w:szCs w:val="30"/>
          <w:highlight w:val="none"/>
          <w:lang w:eastAsia="zh-CN"/>
        </w:rPr>
      </w:pPr>
      <w:r>
        <w:rPr>
          <w:rStyle w:val="40"/>
          <w:rFonts w:hint="eastAsia" w:ascii="宋体" w:hAnsi="宋体" w:eastAsia="宋体" w:cs="宋体"/>
          <w:color w:val="auto"/>
          <w:kern w:val="0"/>
          <w:sz w:val="30"/>
          <w:szCs w:val="30"/>
          <w:highlight w:val="none"/>
        </w:rPr>
        <w:t>（1）发包人支付勘察人的违约金：</w:t>
      </w:r>
      <w:r>
        <w:rPr>
          <w:rStyle w:val="40"/>
          <w:rFonts w:hint="eastAsia" w:ascii="宋体" w:hAnsi="宋体" w:eastAsia="宋体" w:cs="宋体"/>
          <w:color w:val="auto"/>
          <w:kern w:val="0"/>
          <w:sz w:val="30"/>
          <w:szCs w:val="30"/>
          <w:highlight w:val="none"/>
          <w:u w:val="single"/>
          <w:lang w:eastAsia="zh-CN"/>
        </w:rPr>
        <w:t>无。</w:t>
      </w:r>
    </w:p>
    <w:p w14:paraId="3C21F563">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（2）发包人发生其他违约情形应承担的违约责任：</w:t>
      </w:r>
      <w:r>
        <w:rPr>
          <w:rStyle w:val="40"/>
          <w:rFonts w:hint="eastAsia" w:ascii="宋体" w:hAnsi="宋体" w:eastAsia="宋体" w:cs="宋体"/>
          <w:color w:val="auto"/>
          <w:sz w:val="30"/>
          <w:szCs w:val="30"/>
          <w:highlight w:val="none"/>
          <w:u w:val="single"/>
        </w:rPr>
        <w:t>无。</w:t>
      </w:r>
    </w:p>
    <w:p w14:paraId="1C3981FB">
      <w:pPr>
        <w:pStyle w:val="89"/>
        <w:adjustRightInd w:val="0"/>
        <w:snapToGrid w:val="0"/>
        <w:spacing w:before="260" w:beforeLines="0" w:after="260" w:afterLines="0" w:line="360" w:lineRule="auto"/>
        <w:ind w:firstLine="602" w:firstLineChars="200"/>
        <w:jc w:val="left"/>
        <w:outlineLvl w:val="2"/>
        <w:rPr>
          <w:rStyle w:val="40"/>
          <w:rFonts w:hint="eastAsia" w:ascii="宋体" w:hAnsi="宋体" w:eastAsia="宋体" w:cs="宋体"/>
          <w:b/>
          <w:color w:val="auto"/>
          <w:kern w:val="0"/>
          <w:sz w:val="30"/>
          <w:szCs w:val="30"/>
          <w:highlight w:val="none"/>
        </w:rPr>
      </w:pPr>
      <w:bookmarkStart w:id="1230" w:name="_Toc406150509"/>
      <w:bookmarkStart w:id="1231" w:name="_Toc29515"/>
      <w:r>
        <w:rPr>
          <w:rStyle w:val="40"/>
          <w:rFonts w:hint="eastAsia" w:ascii="宋体" w:hAnsi="宋体" w:eastAsia="宋体" w:cs="宋体"/>
          <w:b/>
          <w:color w:val="auto"/>
          <w:kern w:val="0"/>
          <w:sz w:val="30"/>
          <w:szCs w:val="30"/>
          <w:highlight w:val="none"/>
        </w:rPr>
        <w:t>14.2 勘察人违约</w:t>
      </w:r>
      <w:bookmarkEnd w:id="1230"/>
      <w:bookmarkEnd w:id="1231"/>
    </w:p>
    <w:p w14:paraId="672032D8">
      <w:pPr>
        <w:pStyle w:val="89"/>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14.2.</w:t>
      </w:r>
      <w:r>
        <w:rPr>
          <w:rStyle w:val="40"/>
          <w:rFonts w:hint="eastAsia" w:ascii="宋体" w:hAnsi="宋体" w:eastAsia="宋体" w:cs="宋体"/>
          <w:color w:val="auto"/>
          <w:kern w:val="0"/>
          <w:sz w:val="30"/>
          <w:szCs w:val="30"/>
          <w:highlight w:val="none"/>
          <w:lang w:val="en-US" w:eastAsia="zh-CN"/>
        </w:rPr>
        <w:t>1</w:t>
      </w:r>
      <w:r>
        <w:rPr>
          <w:rStyle w:val="40"/>
          <w:rFonts w:hint="eastAsia" w:ascii="宋体" w:hAnsi="宋体" w:eastAsia="宋体" w:cs="宋体"/>
          <w:color w:val="auto"/>
          <w:kern w:val="0"/>
          <w:sz w:val="30"/>
          <w:szCs w:val="30"/>
          <w:highlight w:val="none"/>
        </w:rPr>
        <w:t>勘察人违约责任</w:t>
      </w:r>
    </w:p>
    <w:p w14:paraId="4D65D443">
      <w:pPr>
        <w:pStyle w:val="89"/>
        <w:spacing w:line="360" w:lineRule="auto"/>
        <w:ind w:right="71" w:firstLine="600" w:firstLineChars="200"/>
        <w:rPr>
          <w:rStyle w:val="40"/>
          <w:rFonts w:hint="eastAsia" w:ascii="宋体" w:hAnsi="宋体" w:eastAsia="宋体" w:cs="宋体"/>
          <w:color w:val="auto"/>
          <w:sz w:val="30"/>
          <w:szCs w:val="30"/>
          <w:highlight w:val="none"/>
        </w:rPr>
      </w:pPr>
      <w:r>
        <w:rPr>
          <w:rStyle w:val="40"/>
          <w:rFonts w:hint="eastAsia" w:ascii="宋体" w:hAnsi="宋体" w:eastAsia="宋体" w:cs="宋体"/>
          <w:color w:val="auto"/>
          <w:kern w:val="0"/>
          <w:sz w:val="30"/>
          <w:szCs w:val="30"/>
          <w:highlight w:val="none"/>
          <w:lang w:eastAsia="zh-CN"/>
        </w:rPr>
        <w:t>（</w:t>
      </w:r>
      <w:r>
        <w:rPr>
          <w:rStyle w:val="40"/>
          <w:rFonts w:hint="eastAsia" w:ascii="宋体" w:hAnsi="宋体" w:eastAsia="宋体" w:cs="宋体"/>
          <w:color w:val="auto"/>
          <w:kern w:val="0"/>
          <w:sz w:val="30"/>
          <w:szCs w:val="30"/>
          <w:highlight w:val="none"/>
          <w:lang w:val="en-US" w:eastAsia="zh-CN"/>
        </w:rPr>
        <w:t>1）</w:t>
      </w:r>
      <w:r>
        <w:rPr>
          <w:rStyle w:val="40"/>
          <w:rFonts w:hint="eastAsia" w:ascii="宋体" w:hAnsi="宋体" w:eastAsia="宋体" w:cs="宋体"/>
          <w:color w:val="auto"/>
          <w:kern w:val="0"/>
          <w:sz w:val="30"/>
          <w:szCs w:val="30"/>
          <w:highlight w:val="none"/>
        </w:rPr>
        <w:t>勘察人支付发包人的违约金：</w:t>
      </w:r>
      <w:r>
        <w:rPr>
          <w:rStyle w:val="40"/>
          <w:rFonts w:hint="eastAsia" w:ascii="宋体" w:hAnsi="宋体" w:eastAsia="宋体" w:cs="宋体"/>
          <w:color w:val="auto"/>
          <w:sz w:val="30"/>
          <w:szCs w:val="30"/>
          <w:highlight w:val="none"/>
          <w:u w:val="single"/>
        </w:rPr>
        <w:t>按本专用合同第14.2.2款</w:t>
      </w:r>
      <w:r>
        <w:rPr>
          <w:rStyle w:val="40"/>
          <w:rFonts w:hint="eastAsia" w:ascii="宋体" w:hAnsi="宋体" w:eastAsia="宋体" w:cs="宋体"/>
          <w:color w:val="auto"/>
          <w:sz w:val="30"/>
          <w:szCs w:val="30"/>
          <w:highlight w:val="none"/>
        </w:rPr>
        <w:t>。</w:t>
      </w:r>
    </w:p>
    <w:p w14:paraId="38CAC863">
      <w:pPr>
        <w:pStyle w:val="96"/>
        <w:spacing w:line="360" w:lineRule="auto"/>
        <w:ind w:firstLine="600" w:firstLineChars="200"/>
        <w:rPr>
          <w:rStyle w:val="40"/>
          <w:rFonts w:hint="eastAsia" w:ascii="宋体" w:hAnsi="宋体" w:eastAsia="宋体" w:cs="宋体"/>
          <w:color w:val="auto"/>
          <w:kern w:val="0"/>
          <w:sz w:val="30"/>
          <w:szCs w:val="30"/>
          <w:highlight w:val="none"/>
          <w:u w:val="single"/>
        </w:rPr>
      </w:pPr>
      <w:r>
        <w:rPr>
          <w:rStyle w:val="40"/>
          <w:rFonts w:hint="eastAsia" w:ascii="宋体" w:hAnsi="宋体" w:eastAsia="宋体" w:cs="宋体"/>
          <w:color w:val="auto"/>
          <w:kern w:val="0"/>
          <w:sz w:val="30"/>
          <w:szCs w:val="30"/>
          <w:highlight w:val="none"/>
        </w:rPr>
        <w:t>（2）勘察人造成工期延误应承担的违约责任：</w:t>
      </w:r>
      <w:r>
        <w:rPr>
          <w:rStyle w:val="40"/>
          <w:rFonts w:hint="eastAsia" w:ascii="宋体" w:hAnsi="宋体" w:eastAsia="宋体" w:cs="宋体"/>
          <w:color w:val="auto"/>
          <w:kern w:val="0"/>
          <w:sz w:val="30"/>
          <w:szCs w:val="30"/>
          <w:highlight w:val="none"/>
          <w:u w:val="single"/>
        </w:rPr>
        <w:t>因勘察人原因未按合同约定时提交勘察成果资料，每超过壹日，应减收本合同价款千分之五。</w:t>
      </w:r>
      <w:r>
        <w:rPr>
          <w:rStyle w:val="40"/>
          <w:rFonts w:hint="eastAsia" w:ascii="宋体" w:hAnsi="宋体" w:eastAsia="宋体" w:cs="宋体"/>
          <w:color w:val="auto"/>
          <w:spacing w:val="-2"/>
          <w:sz w:val="30"/>
          <w:szCs w:val="30"/>
          <w:highlight w:val="none"/>
          <w:u w:val="single"/>
        </w:rPr>
        <w:t>逾期超过十天的，发包人有权解除合同。因勘察人原因导致发包人解除合同的，勘察人除退还已收取的全部费用外，并按本合同总额的20%向发包人支付违约金。</w:t>
      </w:r>
    </w:p>
    <w:p w14:paraId="0B06E448">
      <w:pPr>
        <w:pStyle w:val="96"/>
        <w:spacing w:line="360" w:lineRule="auto"/>
        <w:ind w:firstLine="600" w:firstLineChars="200"/>
        <w:rPr>
          <w:rStyle w:val="40"/>
          <w:rFonts w:hint="eastAsia" w:ascii="宋体" w:hAnsi="宋体" w:eastAsia="宋体" w:cs="宋体"/>
          <w:color w:val="auto"/>
          <w:sz w:val="30"/>
          <w:szCs w:val="30"/>
          <w:highlight w:val="none"/>
          <w:u w:val="single"/>
        </w:rPr>
      </w:pPr>
      <w:r>
        <w:rPr>
          <w:rStyle w:val="40"/>
          <w:rFonts w:hint="eastAsia" w:ascii="宋体" w:hAnsi="宋体" w:eastAsia="宋体" w:cs="宋体"/>
          <w:color w:val="auto"/>
          <w:kern w:val="0"/>
          <w:sz w:val="30"/>
          <w:szCs w:val="30"/>
          <w:highlight w:val="none"/>
        </w:rPr>
        <w:t>（3）因勘察人原因导致工程质量</w:t>
      </w:r>
      <w:r>
        <w:rPr>
          <w:rStyle w:val="40"/>
          <w:rFonts w:hint="eastAsia" w:ascii="宋体" w:hAnsi="宋体" w:eastAsia="宋体" w:cs="宋体"/>
          <w:color w:val="auto"/>
          <w:kern w:val="0"/>
          <w:sz w:val="30"/>
          <w:szCs w:val="30"/>
          <w:highlight w:val="none"/>
          <w:lang w:eastAsia="zh-CN"/>
        </w:rPr>
        <w:t>安全</w:t>
      </w:r>
      <w:r>
        <w:rPr>
          <w:rStyle w:val="40"/>
          <w:rFonts w:hint="eastAsia" w:ascii="宋体" w:hAnsi="宋体" w:eastAsia="宋体" w:cs="宋体"/>
          <w:color w:val="auto"/>
          <w:kern w:val="0"/>
          <w:sz w:val="30"/>
          <w:szCs w:val="30"/>
          <w:highlight w:val="none"/>
        </w:rPr>
        <w:t>事故或其他事故时的赔偿金上限：</w:t>
      </w:r>
      <w:r>
        <w:rPr>
          <w:rStyle w:val="40"/>
          <w:rFonts w:hint="eastAsia" w:ascii="宋体" w:hAnsi="宋体" w:eastAsia="宋体" w:cs="宋体"/>
          <w:color w:val="auto"/>
          <w:sz w:val="30"/>
          <w:szCs w:val="30"/>
          <w:highlight w:val="none"/>
          <w:u w:val="single"/>
        </w:rPr>
        <w:t>若勘察现场需要看守，特别是在有毒、有害等危险现场作业时，勘察人应负责安全保卫工作，按国家有关规定，对从事危险作业的现场人员进行保健防护，并承担费用。勘察人应自行投保职工意外伤害险，若勘察人在勘察工作过程中发生人身伤害，由勘察人自行承担，发包人不承担责任。</w:t>
      </w:r>
    </w:p>
    <w:p w14:paraId="23DA0E5F">
      <w:pPr>
        <w:pStyle w:val="96"/>
        <w:spacing w:line="360" w:lineRule="auto"/>
        <w:ind w:firstLine="600" w:firstLineChars="200"/>
        <w:rPr>
          <w:rStyle w:val="40"/>
          <w:rFonts w:hint="eastAsia" w:ascii="宋体" w:hAnsi="宋体" w:eastAsia="宋体" w:cs="宋体"/>
          <w:color w:val="auto"/>
          <w:sz w:val="30"/>
          <w:szCs w:val="30"/>
          <w:highlight w:val="none"/>
          <w:u w:val="single"/>
        </w:rPr>
      </w:pPr>
      <w:r>
        <w:rPr>
          <w:rStyle w:val="40"/>
          <w:rFonts w:hint="eastAsia" w:ascii="宋体" w:hAnsi="宋体" w:eastAsia="宋体" w:cs="宋体"/>
          <w:color w:val="auto"/>
          <w:kern w:val="0"/>
          <w:sz w:val="30"/>
          <w:szCs w:val="30"/>
          <w:highlight w:val="none"/>
        </w:rPr>
        <w:t>（4）勘察人发生其他违约情形应承担的违约责任：</w:t>
      </w:r>
      <w:r>
        <w:rPr>
          <w:rStyle w:val="40"/>
          <w:rFonts w:hint="eastAsia" w:ascii="宋体" w:hAnsi="宋体" w:eastAsia="宋体" w:cs="宋体"/>
          <w:color w:val="auto"/>
          <w:sz w:val="30"/>
          <w:szCs w:val="30"/>
          <w:highlight w:val="none"/>
          <w:u w:val="single"/>
        </w:rPr>
        <w:t>由于勘察人提供的勘察成果资料质量不合格，勘察人应负责</w:t>
      </w:r>
      <w:r>
        <w:rPr>
          <w:rStyle w:val="40"/>
          <w:rFonts w:hint="eastAsia" w:ascii="宋体" w:hAnsi="宋体" w:eastAsia="宋体" w:cs="宋体"/>
          <w:color w:val="auto"/>
          <w:spacing w:val="-4"/>
          <w:sz w:val="30"/>
          <w:szCs w:val="30"/>
          <w:highlight w:val="none"/>
          <w:u w:val="single"/>
        </w:rPr>
        <w:t>无偿补充完善使其达到质量合格；若勘察人无力补充完善，需另委</w:t>
      </w:r>
      <w:r>
        <w:rPr>
          <w:rStyle w:val="40"/>
          <w:rFonts w:hint="eastAsia" w:ascii="宋体" w:hAnsi="宋体" w:eastAsia="宋体" w:cs="宋体"/>
          <w:color w:val="auto"/>
          <w:sz w:val="30"/>
          <w:szCs w:val="30"/>
          <w:highlight w:val="none"/>
          <w:u w:val="single"/>
        </w:rPr>
        <w:t>托其他单位时，勘察人应承担全部勘察费用；或因勘察质量造成重大经济损失或工程事故时，勘察人除应负法律责任和免收直接损失部分的勘察费外，并根据损失程度向发包人支付赔偿金，赔偿金为实际损失的100%。</w:t>
      </w:r>
    </w:p>
    <w:p w14:paraId="64FC8A24">
      <w:pPr>
        <w:pStyle w:val="89"/>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14.2.2 勘察人逾期交付工程勘察文件的违约金：合同生效后，勘察人因自身原因要求终止或解除合同的，视为违约。勘察人除双倍返还发包人已支付的勘察费外发包人有权没收勘察人的履约保证金及低价风险保证金（如有），勘察人承担违约给发包人造成的一切损失及责任。</w:t>
      </w:r>
    </w:p>
    <w:p w14:paraId="3FEA5569">
      <w:pPr>
        <w:pStyle w:val="89"/>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14.2.3由于勘察人原因，未按合同约定时间交付</w:t>
      </w:r>
      <w:r>
        <w:rPr>
          <w:rStyle w:val="40"/>
          <w:rFonts w:hint="eastAsia" w:ascii="宋体" w:hAnsi="宋体" w:eastAsia="宋体" w:cs="宋体"/>
          <w:color w:val="auto"/>
          <w:sz w:val="30"/>
          <w:szCs w:val="30"/>
          <w:highlight w:val="none"/>
          <w:lang w:eastAsia="zh-CN"/>
        </w:rPr>
        <w:t>除勘察成果外</w:t>
      </w:r>
      <w:r>
        <w:rPr>
          <w:rStyle w:val="40"/>
          <w:rFonts w:hint="eastAsia" w:ascii="宋体" w:hAnsi="宋体" w:eastAsia="宋体" w:cs="宋体"/>
          <w:color w:val="auto"/>
          <w:sz w:val="30"/>
          <w:szCs w:val="30"/>
          <w:highlight w:val="none"/>
        </w:rPr>
        <w:t xml:space="preserve">勘察资料的视为违约。每延误一天，应减收应收估算勘察费的万分之五。逾期超过10天的，发包人有权解除合同并没收勘察人的履约保证金及低价风险保证金（如有）。因勘察人原因导致发包人解除合同的，勘察人应向发包人支付合同暂定金额20%的违约金，如违约金不足以弥补发包人损失的，勘察人按实际损失额赔偿。  </w:t>
      </w:r>
    </w:p>
    <w:p w14:paraId="08C9F921">
      <w:pPr>
        <w:pStyle w:val="89"/>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14.2.4勘察人对工程勘察文件出现的遗漏或错误负责修改或补充。由于勘察人原因产生的勘察问题造成工程质量事故或其他事故的，视为违约。勘察人除负责采取补救措施外，应免收受损失部分的勘察费，损失严重的根据损失的程度和勘察人责任大小向发包人支付赔偿金，赔偿金由双方商定为实际损失的100%。</w:t>
      </w:r>
    </w:p>
    <w:p w14:paraId="2D825FE6">
      <w:pPr>
        <w:pStyle w:val="89"/>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14.2.5勘察人提交的工作成果深度未达到要求，视为违约。勘察人除无条件在发包人指定时间内返工完毕并达到深度要求外，费用结算时还应扣减该部分同暂定价40%的违约金。</w:t>
      </w:r>
    </w:p>
    <w:p w14:paraId="5B6E2370">
      <w:pPr>
        <w:pStyle w:val="94"/>
        <w:keepNext w:val="0"/>
        <w:keepLines w:val="0"/>
        <w:adjustRightInd w:val="0"/>
        <w:snapToGrid w:val="0"/>
        <w:spacing w:line="360" w:lineRule="auto"/>
        <w:ind w:firstLine="602" w:firstLineChars="200"/>
        <w:rPr>
          <w:rStyle w:val="40"/>
          <w:rFonts w:hint="eastAsia" w:ascii="宋体" w:hAnsi="宋体" w:eastAsia="宋体" w:cs="宋体"/>
          <w:color w:val="auto"/>
          <w:sz w:val="30"/>
          <w:szCs w:val="30"/>
          <w:highlight w:val="none"/>
        </w:rPr>
      </w:pPr>
      <w:bookmarkStart w:id="1232" w:name="_Toc12713"/>
      <w:bookmarkStart w:id="1233" w:name="_Toc406150510"/>
      <w:r>
        <w:rPr>
          <w:rStyle w:val="40"/>
          <w:rFonts w:hint="eastAsia" w:ascii="宋体" w:hAnsi="宋体" w:eastAsia="宋体" w:cs="宋体"/>
          <w:color w:val="auto"/>
          <w:sz w:val="30"/>
          <w:szCs w:val="30"/>
          <w:highlight w:val="none"/>
        </w:rPr>
        <w:t>第15条 索赔</w:t>
      </w:r>
      <w:bookmarkEnd w:id="1232"/>
    </w:p>
    <w:p w14:paraId="49C28E4E">
      <w:pPr>
        <w:pStyle w:val="95"/>
        <w:keepNext w:val="0"/>
        <w:keepLines w:val="0"/>
        <w:adjustRightInd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234" w:name="_Toc25260"/>
      <w:r>
        <w:rPr>
          <w:rStyle w:val="40"/>
          <w:rFonts w:hint="eastAsia" w:ascii="宋体" w:hAnsi="宋体" w:eastAsia="宋体" w:cs="宋体"/>
          <w:color w:val="auto"/>
          <w:kern w:val="0"/>
          <w:sz w:val="30"/>
          <w:szCs w:val="30"/>
          <w:highlight w:val="none"/>
        </w:rPr>
        <w:t>15.1 发包人索赔</w:t>
      </w:r>
      <w:bookmarkEnd w:id="1234"/>
    </w:p>
    <w:p w14:paraId="10184930">
      <w:pPr>
        <w:pStyle w:val="89"/>
        <w:spacing w:line="360" w:lineRule="auto"/>
        <w:ind w:firstLine="600" w:firstLineChars="200"/>
        <w:jc w:val="left"/>
        <w:rPr>
          <w:rStyle w:val="40"/>
          <w:rFonts w:hint="eastAsia" w:ascii="宋体" w:hAnsi="宋体" w:eastAsia="宋体" w:cs="宋体"/>
          <w:color w:val="auto"/>
          <w:sz w:val="30"/>
          <w:szCs w:val="30"/>
          <w:highlight w:val="none"/>
          <w:u w:val="single"/>
        </w:rPr>
      </w:pPr>
      <w:r>
        <w:rPr>
          <w:rStyle w:val="40"/>
          <w:rFonts w:hint="eastAsia" w:ascii="宋体" w:hAnsi="宋体" w:eastAsia="宋体" w:cs="宋体"/>
          <w:color w:val="auto"/>
          <w:kern w:val="0"/>
          <w:sz w:val="30"/>
          <w:szCs w:val="30"/>
          <w:highlight w:val="none"/>
        </w:rPr>
        <w:t>索赔程序和期限的约定：</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kern w:val="0"/>
          <w:sz w:val="30"/>
          <w:szCs w:val="30"/>
          <w:highlight w:val="none"/>
          <w:u w:val="single"/>
        </w:rPr>
        <w:t>按通用条款第15条执行。</w:t>
      </w:r>
    </w:p>
    <w:p w14:paraId="5D4FD6FA">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235" w:name="_Toc2172"/>
      <w:r>
        <w:rPr>
          <w:rStyle w:val="40"/>
          <w:rFonts w:hint="eastAsia" w:ascii="宋体" w:hAnsi="宋体" w:eastAsia="宋体" w:cs="宋体"/>
          <w:color w:val="auto"/>
          <w:kern w:val="0"/>
          <w:sz w:val="30"/>
          <w:szCs w:val="30"/>
          <w:highlight w:val="none"/>
        </w:rPr>
        <w:t>15.2 勘察人索赔</w:t>
      </w:r>
      <w:bookmarkEnd w:id="1235"/>
    </w:p>
    <w:p w14:paraId="51685CC9">
      <w:pPr>
        <w:pStyle w:val="89"/>
        <w:spacing w:line="360" w:lineRule="auto"/>
        <w:ind w:firstLine="600" w:firstLineChars="200"/>
        <w:jc w:val="left"/>
        <w:rPr>
          <w:rStyle w:val="40"/>
          <w:rFonts w:hint="eastAsia" w:ascii="宋体" w:hAnsi="宋体" w:eastAsia="宋体" w:cs="宋体"/>
          <w:color w:val="auto"/>
          <w:sz w:val="30"/>
          <w:szCs w:val="30"/>
          <w:highlight w:val="none"/>
          <w:u w:val="single"/>
        </w:rPr>
      </w:pPr>
      <w:r>
        <w:rPr>
          <w:rStyle w:val="40"/>
          <w:rFonts w:hint="eastAsia" w:ascii="宋体" w:hAnsi="宋体" w:eastAsia="宋体" w:cs="宋体"/>
          <w:color w:val="auto"/>
          <w:kern w:val="0"/>
          <w:sz w:val="30"/>
          <w:szCs w:val="30"/>
          <w:highlight w:val="none"/>
        </w:rPr>
        <w:t>索赔程序和期限的约定：</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kern w:val="0"/>
          <w:sz w:val="30"/>
          <w:szCs w:val="30"/>
          <w:highlight w:val="none"/>
          <w:u w:val="single"/>
        </w:rPr>
        <w:t>按通用条款第15条执行。</w:t>
      </w:r>
    </w:p>
    <w:p w14:paraId="26448C09">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236" w:name="_Toc13556"/>
      <w:r>
        <w:rPr>
          <w:rStyle w:val="40"/>
          <w:rFonts w:hint="eastAsia" w:ascii="宋体" w:hAnsi="宋体" w:eastAsia="宋体" w:cs="宋体"/>
          <w:color w:val="auto"/>
          <w:sz w:val="30"/>
          <w:szCs w:val="30"/>
          <w:highlight w:val="none"/>
        </w:rPr>
        <w:t>第16条 争议解决</w:t>
      </w:r>
      <w:bookmarkEnd w:id="1233"/>
      <w:bookmarkEnd w:id="1236"/>
    </w:p>
    <w:p w14:paraId="2E623328">
      <w:pPr>
        <w:pStyle w:val="95"/>
        <w:keepNext w:val="0"/>
        <w:keepLines w:val="0"/>
        <w:snapToGrid w:val="0"/>
        <w:spacing w:line="360" w:lineRule="auto"/>
        <w:ind w:firstLine="602" w:firstLineChars="200"/>
        <w:rPr>
          <w:rStyle w:val="40"/>
          <w:rFonts w:hint="eastAsia" w:ascii="宋体" w:hAnsi="宋体" w:eastAsia="宋体" w:cs="宋体"/>
          <w:color w:val="auto"/>
          <w:kern w:val="0"/>
          <w:sz w:val="30"/>
          <w:szCs w:val="30"/>
          <w:highlight w:val="none"/>
        </w:rPr>
      </w:pPr>
      <w:bookmarkStart w:id="1237" w:name="_Toc15487"/>
      <w:bookmarkStart w:id="1238" w:name="_Toc406150511"/>
      <w:r>
        <w:rPr>
          <w:rStyle w:val="40"/>
          <w:rFonts w:hint="eastAsia" w:ascii="宋体" w:hAnsi="宋体" w:eastAsia="宋体" w:cs="宋体"/>
          <w:color w:val="auto"/>
          <w:kern w:val="0"/>
          <w:sz w:val="30"/>
          <w:szCs w:val="30"/>
          <w:highlight w:val="none"/>
        </w:rPr>
        <w:t>16.3 仲裁或诉讼</w:t>
      </w:r>
      <w:bookmarkEnd w:id="1237"/>
      <w:bookmarkEnd w:id="1238"/>
    </w:p>
    <w:p w14:paraId="645D7CAE">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双方约定在履行合同过程中产生争议时，采取下列第</w:t>
      </w:r>
      <w:r>
        <w:rPr>
          <w:rStyle w:val="40"/>
          <w:rFonts w:hint="eastAsia" w:ascii="宋体" w:hAnsi="宋体" w:eastAsia="宋体" w:cs="宋体"/>
          <w:b/>
          <w:color w:val="auto"/>
          <w:kern w:val="0"/>
          <w:sz w:val="30"/>
          <w:szCs w:val="30"/>
          <w:highlight w:val="none"/>
          <w:u w:val="single"/>
          <w:lang w:eastAsia="zh-CN"/>
        </w:rPr>
        <w:t>（</w:t>
      </w:r>
      <w:r>
        <w:rPr>
          <w:rStyle w:val="40"/>
          <w:rFonts w:hint="eastAsia" w:ascii="宋体" w:hAnsi="宋体" w:eastAsia="宋体" w:cs="宋体"/>
          <w:b/>
          <w:color w:val="auto"/>
          <w:kern w:val="0"/>
          <w:sz w:val="30"/>
          <w:szCs w:val="30"/>
          <w:highlight w:val="none"/>
          <w:u w:val="single"/>
          <w:lang w:val="en-US" w:eastAsia="zh-CN"/>
        </w:rPr>
        <w:t>2）</w:t>
      </w:r>
      <w:r>
        <w:rPr>
          <w:rStyle w:val="40"/>
          <w:rFonts w:hint="eastAsia" w:ascii="宋体" w:hAnsi="宋体" w:eastAsia="宋体" w:cs="宋体"/>
          <w:color w:val="auto"/>
          <w:kern w:val="0"/>
          <w:sz w:val="30"/>
          <w:szCs w:val="30"/>
          <w:highlight w:val="none"/>
        </w:rPr>
        <w:t>种方式解决：</w:t>
      </w:r>
    </w:p>
    <w:p w14:paraId="33AAB97F">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（1）向</w:t>
      </w:r>
      <w:r>
        <w:rPr>
          <w:rStyle w:val="40"/>
          <w:rFonts w:hint="eastAsia" w:ascii="宋体" w:hAnsi="宋体" w:eastAsia="宋体" w:cs="宋体"/>
          <w:color w:val="auto"/>
          <w:kern w:val="0"/>
          <w:sz w:val="30"/>
          <w:szCs w:val="30"/>
          <w:highlight w:val="none"/>
          <w:u w:val="single"/>
        </w:rPr>
        <w:t xml:space="preserve"> 南宁</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color w:val="auto"/>
          <w:kern w:val="0"/>
          <w:sz w:val="30"/>
          <w:szCs w:val="30"/>
          <w:highlight w:val="none"/>
        </w:rPr>
        <w:t>仲裁委员会提请仲裁；</w:t>
      </w:r>
    </w:p>
    <w:p w14:paraId="2D098ABC">
      <w:pPr>
        <w:pStyle w:val="89"/>
        <w:tabs>
          <w:tab w:val="left" w:pos="1260"/>
        </w:tabs>
        <w:adjustRightInd w:val="0"/>
        <w:snapToGrid w:val="0"/>
        <w:spacing w:line="360" w:lineRule="auto"/>
        <w:ind w:firstLine="600" w:firstLineChars="200"/>
        <w:jc w:val="left"/>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（2）向</w:t>
      </w:r>
      <w:r>
        <w:rPr>
          <w:rStyle w:val="40"/>
          <w:rFonts w:hint="eastAsia" w:ascii="宋体" w:hAnsi="宋体" w:eastAsia="宋体" w:cs="宋体"/>
          <w:color w:val="auto"/>
          <w:kern w:val="0"/>
          <w:sz w:val="30"/>
          <w:szCs w:val="30"/>
          <w:highlight w:val="none"/>
          <w:u w:val="single"/>
          <w:lang w:val="en-US" w:eastAsia="zh-CN"/>
        </w:rPr>
        <w:t xml:space="preserve"> </w:t>
      </w:r>
      <w:r>
        <w:rPr>
          <w:rStyle w:val="40"/>
          <w:rFonts w:hint="eastAsia" w:ascii="宋体" w:hAnsi="宋体" w:eastAsia="宋体" w:cs="宋体"/>
          <w:color w:val="auto"/>
          <w:kern w:val="0"/>
          <w:sz w:val="30"/>
          <w:szCs w:val="30"/>
          <w:highlight w:val="none"/>
          <w:u w:val="single"/>
        </w:rPr>
        <w:t>工程</w:t>
      </w:r>
      <w:r>
        <w:rPr>
          <w:rStyle w:val="40"/>
          <w:rFonts w:hint="eastAsia" w:ascii="宋体" w:hAnsi="宋体" w:eastAsia="宋体" w:cs="宋体"/>
          <w:bCs/>
          <w:color w:val="auto"/>
          <w:kern w:val="0"/>
          <w:sz w:val="30"/>
          <w:szCs w:val="30"/>
          <w:highlight w:val="none"/>
          <w:u w:val="single"/>
        </w:rPr>
        <w:t>所在地</w:t>
      </w:r>
      <w:r>
        <w:rPr>
          <w:rStyle w:val="40"/>
          <w:rFonts w:hint="eastAsia" w:ascii="宋体" w:hAnsi="宋体" w:eastAsia="宋体" w:cs="宋体"/>
          <w:bCs/>
          <w:color w:val="auto"/>
          <w:kern w:val="0"/>
          <w:sz w:val="30"/>
          <w:szCs w:val="30"/>
          <w:highlight w:val="none"/>
          <w:u w:val="single"/>
          <w:lang w:val="en-US" w:eastAsia="zh-CN"/>
        </w:rPr>
        <w:t xml:space="preserve">  </w:t>
      </w:r>
      <w:r>
        <w:rPr>
          <w:rStyle w:val="40"/>
          <w:rFonts w:hint="eastAsia" w:ascii="宋体" w:hAnsi="宋体" w:eastAsia="宋体" w:cs="宋体"/>
          <w:color w:val="auto"/>
          <w:kern w:val="0"/>
          <w:sz w:val="30"/>
          <w:szCs w:val="30"/>
          <w:highlight w:val="none"/>
        </w:rPr>
        <w:t>人民法院提起诉讼。</w:t>
      </w:r>
    </w:p>
    <w:p w14:paraId="5017547B">
      <w:pPr>
        <w:pStyle w:val="94"/>
        <w:keepNext w:val="0"/>
        <w:keepLines w:val="0"/>
        <w:snapToGrid w:val="0"/>
        <w:spacing w:line="360" w:lineRule="auto"/>
        <w:ind w:firstLine="602" w:firstLineChars="200"/>
        <w:rPr>
          <w:rStyle w:val="40"/>
          <w:rFonts w:hint="eastAsia" w:ascii="宋体" w:hAnsi="宋体" w:eastAsia="宋体" w:cs="宋体"/>
          <w:color w:val="auto"/>
          <w:sz w:val="30"/>
          <w:szCs w:val="30"/>
          <w:highlight w:val="none"/>
        </w:rPr>
      </w:pPr>
      <w:bookmarkStart w:id="1239" w:name="_Toc2807"/>
      <w:bookmarkStart w:id="1240" w:name="_Toc406150512"/>
      <w:r>
        <w:rPr>
          <w:rStyle w:val="40"/>
          <w:rFonts w:hint="eastAsia" w:ascii="宋体" w:hAnsi="宋体" w:eastAsia="宋体" w:cs="宋体"/>
          <w:color w:val="auto"/>
          <w:sz w:val="30"/>
          <w:szCs w:val="30"/>
          <w:highlight w:val="none"/>
        </w:rPr>
        <w:t>第17条 补充条款</w:t>
      </w:r>
      <w:bookmarkEnd w:id="1239"/>
      <w:bookmarkEnd w:id="1240"/>
    </w:p>
    <w:p w14:paraId="467A73E5">
      <w:pPr>
        <w:pStyle w:val="89"/>
        <w:tabs>
          <w:tab w:val="left" w:pos="1260"/>
        </w:tabs>
        <w:snapToGrid w:val="0"/>
        <w:spacing w:line="360" w:lineRule="auto"/>
        <w:ind w:firstLine="600" w:firstLineChars="200"/>
        <w:rPr>
          <w:rStyle w:val="40"/>
          <w:rFonts w:hint="eastAsia" w:ascii="宋体" w:hAnsi="宋体" w:eastAsia="宋体" w:cs="宋体"/>
          <w:color w:val="auto"/>
          <w:kern w:val="0"/>
          <w:sz w:val="30"/>
          <w:szCs w:val="30"/>
          <w:highlight w:val="none"/>
        </w:rPr>
      </w:pPr>
      <w:r>
        <w:rPr>
          <w:rStyle w:val="40"/>
          <w:rFonts w:hint="eastAsia" w:ascii="宋体" w:hAnsi="宋体" w:eastAsia="宋体" w:cs="宋体"/>
          <w:color w:val="auto"/>
          <w:kern w:val="0"/>
          <w:sz w:val="30"/>
          <w:szCs w:val="30"/>
          <w:highlight w:val="none"/>
        </w:rPr>
        <w:t>双方根据有关法律法规规定，结合实际经协商一致，补充约定如下：</w:t>
      </w:r>
    </w:p>
    <w:p w14:paraId="79935399">
      <w:pPr>
        <w:pStyle w:val="89"/>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（1）暂停勘察期限已连续超过180天</w:t>
      </w:r>
      <w:r>
        <w:rPr>
          <w:rStyle w:val="40"/>
          <w:rFonts w:hint="eastAsia" w:ascii="宋体" w:hAnsi="宋体" w:eastAsia="宋体" w:cs="宋体"/>
          <w:color w:val="auto"/>
          <w:sz w:val="30"/>
          <w:szCs w:val="30"/>
          <w:highlight w:val="none"/>
          <w:lang w:eastAsia="zh-CN"/>
        </w:rPr>
        <w:t>，双方经协商一致，均有权解除合同</w:t>
      </w:r>
      <w:r>
        <w:rPr>
          <w:rStyle w:val="40"/>
          <w:rFonts w:hint="eastAsia" w:ascii="宋体" w:hAnsi="宋体" w:eastAsia="宋体" w:cs="宋体"/>
          <w:color w:val="auto"/>
          <w:sz w:val="30"/>
          <w:szCs w:val="30"/>
          <w:highlight w:val="none"/>
        </w:rPr>
        <w:t>。</w:t>
      </w:r>
    </w:p>
    <w:p w14:paraId="62DB0301">
      <w:pPr>
        <w:pStyle w:val="89"/>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（2）因勘察人原因造成勘察文件不合格致使审查无法通过达到3次的，发包人有权单方面解除合同。</w:t>
      </w:r>
    </w:p>
    <w:p w14:paraId="54CEDBCE">
      <w:pPr>
        <w:pStyle w:val="89"/>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3）勘察人应按附件4以及发包人根据工程进展情况要求的期限交付勘察文件，单次交付阶段逾期超过15日历天的，发包人有权单方面解除合同。勘察人有2次（含2次）以上不依据发包人的通知或函告执行，发包人有权解除本合同。</w:t>
      </w:r>
    </w:p>
    <w:p w14:paraId="283FBCAD">
      <w:pPr>
        <w:pStyle w:val="89"/>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（4）勘察人需按发包人要求及合</w:t>
      </w:r>
      <w:r>
        <w:rPr>
          <w:rStyle w:val="40"/>
          <w:rFonts w:hint="eastAsia" w:ascii="宋体" w:hAnsi="宋体" w:eastAsia="宋体" w:cs="宋体"/>
          <w:color w:val="auto"/>
          <w:sz w:val="30"/>
          <w:szCs w:val="30"/>
          <w:highlight w:val="none"/>
          <w:lang w:eastAsia="zh-CN"/>
        </w:rPr>
        <w:t>同</w:t>
      </w:r>
      <w:r>
        <w:rPr>
          <w:rStyle w:val="40"/>
          <w:rFonts w:hint="eastAsia" w:ascii="宋体" w:hAnsi="宋体" w:eastAsia="宋体" w:cs="宋体"/>
          <w:color w:val="auto"/>
          <w:sz w:val="30"/>
          <w:szCs w:val="30"/>
          <w:highlight w:val="none"/>
        </w:rPr>
        <w:t>约定时按质履行合同义务，如果勘察人存在不符合合同约定的违约行为，发包人有权将该部分工作直接分割，分包给第三方完成，所需费用由勘察人承担，发包人有权从合同款中予以扣除，同时勘察人所需承担责任不免除。</w:t>
      </w:r>
    </w:p>
    <w:p w14:paraId="6F7EC67A">
      <w:pPr>
        <w:pStyle w:val="89"/>
        <w:spacing w:line="360" w:lineRule="auto"/>
        <w:ind w:firstLine="600" w:firstLineChars="2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（5）合同解除后，发包人向勘察人支付已完工作勘察费的期限为</w:t>
      </w:r>
      <w:r>
        <w:rPr>
          <w:rStyle w:val="40"/>
          <w:rFonts w:hint="eastAsia" w:ascii="宋体" w:hAnsi="宋体" w:eastAsia="宋体" w:cs="宋体"/>
          <w:color w:val="auto"/>
          <w:sz w:val="30"/>
          <w:szCs w:val="30"/>
          <w:highlight w:val="none"/>
          <w:lang w:eastAsia="zh-CN"/>
        </w:rPr>
        <w:t>勘察人已完成工作量经</w:t>
      </w:r>
      <w:r>
        <w:rPr>
          <w:rStyle w:val="40"/>
          <w:rFonts w:hint="eastAsia" w:ascii="宋体" w:hAnsi="宋体" w:eastAsia="宋体" w:cs="宋体"/>
          <w:color w:val="auto"/>
          <w:sz w:val="30"/>
          <w:szCs w:val="30"/>
          <w:highlight w:val="none"/>
        </w:rPr>
        <w:t>南宁市财政部门审批并拨付资金后。</w:t>
      </w:r>
    </w:p>
    <w:p w14:paraId="1B4C6A45">
      <w:pPr>
        <w:pStyle w:val="90"/>
        <w:ind w:left="0" w:leftChars="0" w:firstLine="0" w:firstLineChars="0"/>
        <w:rPr>
          <w:rStyle w:val="40"/>
          <w:rFonts w:hint="eastAsia" w:ascii="宋体" w:hAnsi="宋体" w:eastAsia="宋体" w:cs="宋体"/>
          <w:color w:val="auto"/>
          <w:kern w:val="0"/>
          <w:sz w:val="30"/>
          <w:szCs w:val="30"/>
          <w:highlight w:val="none"/>
        </w:rPr>
      </w:pPr>
    </w:p>
    <w:p w14:paraId="4B085CE1">
      <w:pPr>
        <w:pStyle w:val="97"/>
        <w:pageBreakBefore w:val="0"/>
        <w:kinsoku/>
        <w:wordWrap/>
        <w:overflowPunct/>
        <w:topLinePunct w:val="0"/>
        <w:bidi w:val="0"/>
        <w:spacing w:line="530" w:lineRule="exact"/>
        <w:jc w:val="left"/>
        <w:textAlignment w:val="auto"/>
        <w:rPr>
          <w:rStyle w:val="40"/>
          <w:rFonts w:hint="eastAsia" w:ascii="宋体" w:hAnsi="宋体" w:eastAsia="宋体" w:cs="宋体"/>
          <w:b w:val="0"/>
          <w:bCs w:val="0"/>
          <w:color w:val="auto"/>
          <w:kern w:val="2"/>
          <w:sz w:val="30"/>
          <w:szCs w:val="30"/>
          <w:highlight w:val="none"/>
          <w:lang w:val="en-US" w:eastAsia="zh-CN"/>
        </w:rPr>
      </w:pPr>
      <w:bookmarkStart w:id="1241" w:name="_Toc406150513"/>
      <w:bookmarkStart w:id="1242" w:name="_Toc406426565"/>
      <w:r>
        <w:rPr>
          <w:rStyle w:val="40"/>
          <w:rFonts w:hint="eastAsia" w:ascii="仿宋_GB2312" w:hAnsi="仿宋_GB2312" w:eastAsia="仿宋_GB2312" w:cs="仿宋_GB2312"/>
          <w:color w:val="auto"/>
          <w:sz w:val="28"/>
          <w:szCs w:val="28"/>
          <w:highlight w:val="none"/>
          <w:lang w:val="en-US" w:eastAsia="zh-CN"/>
        </w:rPr>
        <w:t xml:space="preserve">     </w:t>
      </w:r>
      <w:r>
        <w:rPr>
          <w:rStyle w:val="40"/>
          <w:rFonts w:hint="eastAsia" w:ascii="宋体" w:hAnsi="宋体" w:eastAsia="宋体" w:cs="宋体"/>
          <w:b w:val="0"/>
          <w:bCs w:val="0"/>
          <w:color w:val="auto"/>
          <w:kern w:val="2"/>
          <w:sz w:val="30"/>
          <w:szCs w:val="30"/>
          <w:highlight w:val="none"/>
          <w:lang w:val="en-US" w:eastAsia="zh-CN"/>
        </w:rPr>
        <w:t xml:space="preserve">                   </w:t>
      </w:r>
      <w:r>
        <w:rPr>
          <w:rStyle w:val="40"/>
          <w:rFonts w:hint="eastAsia" w:ascii="宋体" w:hAnsi="宋体" w:eastAsia="宋体" w:cs="宋体"/>
          <w:b/>
          <w:bCs w:val="0"/>
          <w:color w:val="auto"/>
          <w:kern w:val="2"/>
          <w:sz w:val="36"/>
          <w:szCs w:val="36"/>
          <w:highlight w:val="none"/>
          <w:lang w:val="en-US" w:eastAsia="zh-CN"/>
        </w:rPr>
        <w:t>安全生产管理协议</w:t>
      </w:r>
    </w:p>
    <w:p w14:paraId="5D7957B4">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为在</w:t>
      </w:r>
      <w:r>
        <w:rPr>
          <w:rStyle w:val="40"/>
          <w:rFonts w:hint="eastAsia" w:ascii="宋体" w:hAnsi="宋体" w:eastAsia="宋体" w:cs="宋体"/>
          <w:b w:val="0"/>
          <w:bCs w:val="0"/>
          <w:color w:val="auto"/>
          <w:kern w:val="2"/>
          <w:sz w:val="30"/>
          <w:szCs w:val="30"/>
          <w:highlight w:val="none"/>
          <w:u w:val="single"/>
          <w:lang w:val="en-US" w:eastAsia="zh-CN"/>
        </w:rPr>
        <w:t xml:space="preserve">             </w:t>
      </w:r>
      <w:r>
        <w:rPr>
          <w:rStyle w:val="40"/>
          <w:rFonts w:hint="eastAsia" w:ascii="宋体" w:hAnsi="宋体" w:eastAsia="宋体" w:cs="宋体"/>
          <w:b w:val="0"/>
          <w:bCs w:val="0"/>
          <w:color w:val="auto"/>
          <w:kern w:val="2"/>
          <w:sz w:val="30"/>
          <w:szCs w:val="30"/>
          <w:highlight w:val="none"/>
          <w:lang w:val="en-US" w:eastAsia="zh-CN"/>
        </w:rPr>
        <w:t>勘察合同的实施过程中野外勘探施工现场的正常生产，预防安全事故，保障施工人员、生产设施在生产过程中的安全，甲乙双方平等、协商一致签订本协议，本协议作为勘察合同附属协议。</w:t>
      </w:r>
    </w:p>
    <w:p w14:paraId="01C74A1B">
      <w:pPr>
        <w:pStyle w:val="98"/>
        <w:pageBreakBefore w:val="0"/>
        <w:kinsoku/>
        <w:wordWrap/>
        <w:overflowPunct/>
        <w:topLinePunct w:val="0"/>
        <w:bidi w:val="0"/>
        <w:snapToGrid w:val="0"/>
        <w:spacing w:line="530" w:lineRule="exact"/>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一、甲方职责</w:t>
      </w:r>
    </w:p>
    <w:p w14:paraId="003D0A53">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1、严格遵守国家有关安全生产的法律法规，认真执行工程承包合同中的有关安全要求。</w:t>
      </w:r>
    </w:p>
    <w:p w14:paraId="7D21B244">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2、向勘察单位提供施工现场相关资料，配合勘察单位进行市政、交通、绿化、管网、线网等管理部门沟通对接及开展勘察作业许可手续的办理。</w:t>
      </w:r>
    </w:p>
    <w:p w14:paraId="4F94EB63">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3、不得对勘察单位提出不符合建设工程安全生产法律、法规和强制性标准规定的要求，不得压缩合同约定的工期。</w:t>
      </w:r>
    </w:p>
    <w:p w14:paraId="5B64D1CC">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4、不得明示或者暗示勘察单位购买、租赁、使用不符合安全施工要求的安全防护用具、机械设备、施工机具及配件、消防设施和器材。</w:t>
      </w:r>
    </w:p>
    <w:p w14:paraId="49E80846">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5、定期召开安全生产调度会，及时传达中央及地方有关安全生产的精神。</w:t>
      </w:r>
    </w:p>
    <w:p w14:paraId="4DF935A3">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6、组织对乙方施工现场安全生产检查，监督乙方及时处理发现的各种安全隐患。</w:t>
      </w:r>
    </w:p>
    <w:p w14:paraId="5996B10F">
      <w:pPr>
        <w:pStyle w:val="98"/>
        <w:pageBreakBefore w:val="0"/>
        <w:kinsoku/>
        <w:wordWrap/>
        <w:overflowPunct/>
        <w:topLinePunct w:val="0"/>
        <w:bidi w:val="0"/>
        <w:snapToGrid w:val="0"/>
        <w:spacing w:line="530" w:lineRule="exact"/>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 xml:space="preserve"> 二、乙方职责</w:t>
      </w:r>
    </w:p>
    <w:p w14:paraId="0AD25C4F">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1、乙方项目负责人为安全生产第一责任人，应负责建立安全生产责任制，定期组织施工单位安全生产法律、法规、行业标准和安全操作技能、安全防护知识的学习，并做好记录，掌握安全生产技能，对生产过程中的一切安全问题负责。积极与市政、交通、绿化、管网、线网等管理部门沟通对接，完成各类勘察作业许可手续办理；并做好施工围挡、标志标识。同时应对周边地下管线进行核实。</w:t>
      </w:r>
    </w:p>
    <w:p w14:paraId="19722744">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2、乙方必须建立相应的安全管理制度和相应工种的安全操作规程，设置安全生产专（兼）职人员，负责勘察单位日常的安全防范工作及安全生产检查，发现安全隐患及时纠正、整改，并做好安全工作日志。</w:t>
      </w:r>
    </w:p>
    <w:p w14:paraId="72E8762F">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3、野外特种作业人员，如电工、金属焊接工、钻塔操作工、柴油机工等，必须按照国家的（范本）有关规定，经专门的安全作业培训，经考试合格取得特种作业操作资格证书，方可上岗作业。</w:t>
      </w:r>
    </w:p>
    <w:p w14:paraId="4F62058F">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4、乙方必须做好防火、防爆工作。野外钻探施工使用的大量的柴油、汽油、机油等如遇有明火、高温表面、摩擦撞击、绝热压缩、电气火花、静电火花、雷击、光热射线等会引起火灾或爆炸事故。必须在施工现场对这些引火源采取严格的控制措施，禁止在危险区域吸烟、禁止在野外丢弃未熄灭的烟头和其它火源，各种引火源必须与可燃物保持必要的安全距离，各种油料实行严格的审批、登记制度，并有专人管理</w:t>
      </w:r>
    </w:p>
    <w:p w14:paraId="31929F4D">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5、乙方必须做好电气安全技术防范工作。对钻机、水泵、柴油机等钻探设备，要采取保护接零、接地系统，安装漏电保护器加强绝缘，采用安全电压、设置防止误操作等造成触电事故的安全生产连锁保护装置、钻塔等设备要安装避雷器，每班必须检查各种安全防护设施是否完好、齐全、有效，发现异常情况，及时采取有效措施。</w:t>
      </w:r>
    </w:p>
    <w:p w14:paraId="6193A3CB">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6、乙方必须做好机械安全技术防范工作。机械设备运行过程中，禁止人员触摸机械设备转动部位、禁止加油、修理、检查、清扫等。机械的传动部分、操作区、塔上作业区、钻机的移动区域等，都要进行特殊防护，并设置明显的警告标志，在施工现场按有关规定建立健全安全警示标志。</w:t>
      </w:r>
    </w:p>
    <w:p w14:paraId="3890DD2F">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7、乙方必须做好防洪、防汛工作。雨季常见的灾害有崩落和滑坡、山洪暴发、泥石流等，这些事故的发生常常毁坏野外的工程设施:破坏和阻隔道路交通等，因此要合理地设计和安排钻探施工。雨季来临之前，必须挖好排水沟和防洪堤坝，陡坡处挖台阶，注意收听天气预报，检查道路和钻探场地状况，做好充分的预防和准备工作。</w:t>
      </w:r>
    </w:p>
    <w:p w14:paraId="3D528B9A">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8、施工用车辆及驾乘人员应严格按《中华人民共和国道路交通安全法》执行，定期组织驾驶员学习道路交通安全法，随时检查、保养好车辆，车况不好不准出车，严禁货车车厢载人。</w:t>
      </w:r>
    </w:p>
    <w:p w14:paraId="1F1CFC29">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9、乙方要加强人员管理，协调好与群众的关系，避免打架斗殴现象的发生;同时做好财物的保管维护工作，避免国家、集体和个人的财产损失。</w:t>
      </w:r>
    </w:p>
    <w:p w14:paraId="3B834B67">
      <w:pPr>
        <w:pStyle w:val="98"/>
        <w:pageBreakBefore w:val="0"/>
        <w:kinsoku/>
        <w:wordWrap/>
        <w:overflowPunct/>
        <w:topLinePunct w:val="0"/>
        <w:bidi w:val="0"/>
        <w:snapToGrid w:val="0"/>
        <w:spacing w:line="530" w:lineRule="exact"/>
        <w:ind w:firstLine="600" w:firstLineChars="20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10、乙方项目负责人必须做好施工前安全技术交底，施工作业中，督促施工人员严格按照《安全规程》作业，做到安全生产，文明施工;作业人员必须正确配戴和使用合符规定的劳动防护用品;加强对施工环境的保护工作，严禁生活垃圾乱丢、乱扔钻机周围的油、水污染环境。</w:t>
      </w:r>
    </w:p>
    <w:p w14:paraId="235F2FB6">
      <w:pPr>
        <w:pStyle w:val="98"/>
        <w:pageBreakBefore w:val="0"/>
        <w:kinsoku/>
        <w:wordWrap/>
        <w:overflowPunct/>
        <w:topLinePunct w:val="0"/>
        <w:bidi w:val="0"/>
        <w:spacing w:line="530" w:lineRule="exact"/>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 xml:space="preserve">    三、违约责任</w:t>
      </w:r>
    </w:p>
    <w:p w14:paraId="7EAD419C">
      <w:pPr>
        <w:pStyle w:val="98"/>
        <w:pageBreakBefore w:val="0"/>
        <w:kinsoku/>
        <w:wordWrap/>
        <w:overflowPunct/>
        <w:topLinePunct w:val="0"/>
        <w:bidi w:val="0"/>
        <w:spacing w:line="530" w:lineRule="exact"/>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 xml:space="preserve">    如因甲方或乙方违约造成安全事故，将依法追究责任。</w:t>
      </w:r>
    </w:p>
    <w:p w14:paraId="7DFB03D4">
      <w:pPr>
        <w:pStyle w:val="98"/>
        <w:pageBreakBefore w:val="0"/>
        <w:kinsoku/>
        <w:wordWrap/>
        <w:overflowPunct/>
        <w:topLinePunct w:val="0"/>
        <w:bidi w:val="0"/>
        <w:spacing w:line="530" w:lineRule="exact"/>
        <w:ind w:firstLine="560"/>
        <w:jc w:val="left"/>
        <w:textAlignment w:val="auto"/>
        <w:rPr>
          <w:rStyle w:val="40"/>
          <w:rFonts w:hint="eastAsia" w:ascii="宋体" w:hAnsi="宋体" w:eastAsia="宋体" w:cs="宋体"/>
          <w:b w:val="0"/>
          <w:bCs w:val="0"/>
          <w:color w:val="auto"/>
          <w:kern w:val="2"/>
          <w:sz w:val="30"/>
          <w:szCs w:val="30"/>
          <w:highlight w:val="none"/>
          <w:lang w:val="en-US" w:eastAsia="zh-CN"/>
        </w:rPr>
      </w:pPr>
      <w:r>
        <w:rPr>
          <w:rStyle w:val="40"/>
          <w:rFonts w:hint="eastAsia" w:ascii="宋体" w:hAnsi="宋体" w:eastAsia="宋体" w:cs="宋体"/>
          <w:b w:val="0"/>
          <w:bCs w:val="0"/>
          <w:color w:val="auto"/>
          <w:kern w:val="2"/>
          <w:sz w:val="30"/>
          <w:szCs w:val="30"/>
          <w:highlight w:val="none"/>
          <w:lang w:val="en-US" w:eastAsia="zh-CN"/>
        </w:rPr>
        <w:t>本合同作为主合同附件。由双方法定代表人或其授权的代理人签署与加盖公章后生效，全部工程竣工验收后失效。</w:t>
      </w:r>
    </w:p>
    <w:p w14:paraId="6EFCA4CF">
      <w:pPr>
        <w:pStyle w:val="99"/>
        <w:pageBreakBefore w:val="0"/>
        <w:kinsoku/>
        <w:wordWrap/>
        <w:overflowPunct/>
        <w:topLinePunct w:val="0"/>
        <w:bidi w:val="0"/>
        <w:spacing w:line="530" w:lineRule="exact"/>
        <w:jc w:val="left"/>
        <w:textAlignment w:val="auto"/>
        <w:rPr>
          <w:rStyle w:val="40"/>
          <w:rFonts w:hint="eastAsia" w:ascii="宋体" w:hAnsi="宋体" w:eastAsia="宋体" w:cs="宋体"/>
          <w:b w:val="0"/>
          <w:bCs w:val="0"/>
          <w:color w:val="auto"/>
          <w:kern w:val="2"/>
          <w:sz w:val="30"/>
          <w:szCs w:val="30"/>
          <w:highlight w:val="none"/>
          <w:lang w:val="en-US" w:eastAsia="zh-CN"/>
        </w:rPr>
      </w:pPr>
    </w:p>
    <w:p w14:paraId="4E47EAFA">
      <w:pPr>
        <w:pStyle w:val="90"/>
        <w:rPr>
          <w:rStyle w:val="40"/>
          <w:rFonts w:hint="eastAsia" w:ascii="宋体" w:hAnsi="宋体" w:eastAsia="宋体" w:cs="宋体"/>
          <w:b w:val="0"/>
          <w:bCs w:val="0"/>
          <w:color w:val="auto"/>
          <w:kern w:val="2"/>
          <w:sz w:val="30"/>
          <w:szCs w:val="30"/>
          <w:highlight w:val="none"/>
          <w:lang w:val="en-US" w:eastAsia="zh-CN"/>
        </w:rPr>
      </w:pPr>
    </w:p>
    <w:p w14:paraId="6405B347">
      <w:pPr>
        <w:pStyle w:val="89"/>
        <w:widowControl/>
        <w:spacing w:line="360" w:lineRule="auto"/>
        <w:jc w:val="left"/>
        <w:rPr>
          <w:rStyle w:val="40"/>
          <w:rFonts w:hint="eastAsia" w:ascii="宋体" w:hAnsi="宋体" w:eastAsia="宋体" w:cs="宋体"/>
          <w:color w:val="auto"/>
          <w:sz w:val="30"/>
          <w:szCs w:val="30"/>
          <w:highlight w:val="none"/>
          <w:lang w:eastAsia="zh-CN"/>
        </w:rPr>
      </w:pPr>
      <w:r>
        <w:rPr>
          <w:rStyle w:val="40"/>
          <w:rFonts w:hint="eastAsia" w:ascii="宋体" w:hAnsi="宋体" w:eastAsia="宋体" w:cs="宋体"/>
          <w:color w:val="auto"/>
          <w:sz w:val="30"/>
          <w:szCs w:val="30"/>
          <w:highlight w:val="none"/>
        </w:rPr>
        <w:t>发包人：</w:t>
      </w:r>
      <w:r>
        <w:rPr>
          <w:rStyle w:val="40"/>
          <w:rFonts w:hint="eastAsia" w:ascii="宋体" w:hAnsi="宋体" w:eastAsia="宋体" w:cs="宋体"/>
          <w:color w:val="auto"/>
          <w:sz w:val="30"/>
          <w:szCs w:val="30"/>
          <w:highlight w:val="none"/>
          <w:lang w:val="en-US" w:eastAsia="zh-CN"/>
        </w:rPr>
        <w:t xml:space="preserve">                       </w:t>
      </w:r>
      <w:r>
        <w:rPr>
          <w:rStyle w:val="40"/>
          <w:rFonts w:hint="eastAsia" w:ascii="宋体" w:hAnsi="宋体" w:eastAsia="宋体" w:cs="宋体"/>
          <w:color w:val="auto"/>
          <w:sz w:val="30"/>
          <w:szCs w:val="30"/>
          <w:highlight w:val="none"/>
        </w:rPr>
        <w:t xml:space="preserve"> 勘察人：</w:t>
      </w:r>
      <w:r>
        <w:rPr>
          <w:rStyle w:val="40"/>
          <w:rFonts w:hint="eastAsia" w:ascii="宋体" w:hAnsi="宋体" w:eastAsia="宋体" w:cs="宋体"/>
          <w:color w:val="auto"/>
          <w:sz w:val="30"/>
          <w:szCs w:val="30"/>
          <w:highlight w:val="none"/>
          <w:lang w:val="en-US" w:eastAsia="zh-CN"/>
        </w:rPr>
        <w:t xml:space="preserve"> </w:t>
      </w:r>
    </w:p>
    <w:p w14:paraId="20764CD7">
      <w:pPr>
        <w:pStyle w:val="89"/>
        <w:widowControl/>
        <w:spacing w:line="360" w:lineRule="auto"/>
        <w:ind w:firstLine="1200" w:firstLineChars="400"/>
        <w:jc w:val="left"/>
        <w:rPr>
          <w:rStyle w:val="40"/>
          <w:rFonts w:hint="eastAsia" w:ascii="宋体" w:hAnsi="宋体" w:eastAsia="宋体" w:cs="宋体"/>
          <w:color w:val="auto"/>
          <w:sz w:val="30"/>
          <w:szCs w:val="30"/>
          <w:highlight w:val="none"/>
          <w:u w:val="single"/>
        </w:rPr>
      </w:pPr>
      <w:r>
        <w:rPr>
          <w:rStyle w:val="40"/>
          <w:rFonts w:hint="eastAsia" w:ascii="宋体" w:hAnsi="宋体" w:eastAsia="宋体" w:cs="宋体"/>
          <w:color w:val="auto"/>
          <w:sz w:val="30"/>
          <w:szCs w:val="30"/>
          <w:highlight w:val="none"/>
          <w:lang w:val="en-US" w:eastAsia="zh-CN"/>
        </w:rPr>
        <w:t xml:space="preserve">       </w:t>
      </w:r>
      <w:r>
        <w:rPr>
          <w:rStyle w:val="40"/>
          <w:rFonts w:hint="eastAsia" w:ascii="宋体" w:hAnsi="宋体" w:eastAsia="宋体" w:cs="宋体"/>
          <w:color w:val="auto"/>
          <w:sz w:val="30"/>
          <w:szCs w:val="30"/>
          <w:highlight w:val="none"/>
        </w:rPr>
        <w:t>（</w:t>
      </w:r>
      <w:r>
        <w:rPr>
          <w:rStyle w:val="40"/>
          <w:rFonts w:hint="eastAsia" w:ascii="宋体" w:hAnsi="宋体" w:eastAsia="宋体" w:cs="宋体"/>
          <w:color w:val="auto"/>
          <w:sz w:val="30"/>
          <w:szCs w:val="30"/>
          <w:highlight w:val="none"/>
          <w:lang w:eastAsia="zh-CN"/>
        </w:rPr>
        <w:t>公</w:t>
      </w:r>
      <w:r>
        <w:rPr>
          <w:rStyle w:val="40"/>
          <w:rFonts w:hint="eastAsia" w:ascii="宋体" w:hAnsi="宋体" w:eastAsia="宋体" w:cs="宋体"/>
          <w:color w:val="auto"/>
          <w:sz w:val="30"/>
          <w:szCs w:val="30"/>
          <w:highlight w:val="none"/>
        </w:rPr>
        <w:t xml:space="preserve">章）                </w:t>
      </w:r>
      <w:r>
        <w:rPr>
          <w:rStyle w:val="40"/>
          <w:rFonts w:hint="eastAsia" w:ascii="宋体" w:hAnsi="宋体" w:eastAsia="宋体" w:cs="宋体"/>
          <w:color w:val="auto"/>
          <w:sz w:val="30"/>
          <w:szCs w:val="30"/>
          <w:highlight w:val="none"/>
          <w:lang w:eastAsia="zh-CN"/>
        </w:rPr>
        <w:t xml:space="preserve">  </w:t>
      </w:r>
      <w:r>
        <w:rPr>
          <w:rStyle w:val="40"/>
          <w:rFonts w:hint="eastAsia" w:ascii="宋体" w:hAnsi="宋体" w:eastAsia="宋体" w:cs="宋体"/>
          <w:color w:val="auto"/>
          <w:sz w:val="30"/>
          <w:szCs w:val="30"/>
          <w:highlight w:val="none"/>
        </w:rPr>
        <w:t xml:space="preserve">   （</w:t>
      </w:r>
      <w:r>
        <w:rPr>
          <w:rStyle w:val="40"/>
          <w:rFonts w:hint="eastAsia" w:ascii="宋体" w:hAnsi="宋体" w:eastAsia="宋体" w:cs="宋体"/>
          <w:color w:val="auto"/>
          <w:sz w:val="30"/>
          <w:szCs w:val="30"/>
          <w:highlight w:val="none"/>
          <w:lang w:eastAsia="zh-CN"/>
        </w:rPr>
        <w:t>公</w:t>
      </w:r>
      <w:r>
        <w:rPr>
          <w:rStyle w:val="40"/>
          <w:rFonts w:hint="eastAsia" w:ascii="宋体" w:hAnsi="宋体" w:eastAsia="宋体" w:cs="宋体"/>
          <w:color w:val="auto"/>
          <w:sz w:val="30"/>
          <w:szCs w:val="30"/>
          <w:highlight w:val="none"/>
        </w:rPr>
        <w:t>章）</w:t>
      </w:r>
    </w:p>
    <w:p w14:paraId="059C3845">
      <w:pPr>
        <w:pStyle w:val="89"/>
        <w:widowControl/>
        <w:spacing w:line="360" w:lineRule="auto"/>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法定代表人或其委托代理人：      法定代表人或其委托代理人：</w:t>
      </w:r>
    </w:p>
    <w:p w14:paraId="2A4EF04A">
      <w:pPr>
        <w:pStyle w:val="89"/>
        <w:widowControl/>
        <w:spacing w:line="360" w:lineRule="auto"/>
        <w:jc w:val="left"/>
        <w:rPr>
          <w:rStyle w:val="40"/>
          <w:rFonts w:hint="eastAsia" w:ascii="宋体" w:hAnsi="宋体" w:eastAsia="宋体" w:cs="宋体"/>
          <w:color w:val="auto"/>
          <w:sz w:val="30"/>
          <w:szCs w:val="30"/>
          <w:highlight w:val="none"/>
          <w:u w:val="single"/>
        </w:rPr>
      </w:pPr>
      <w:r>
        <w:rPr>
          <w:rStyle w:val="40"/>
          <w:rFonts w:hint="eastAsia" w:ascii="宋体" w:hAnsi="宋体" w:eastAsia="宋体" w:cs="宋体"/>
          <w:color w:val="auto"/>
          <w:sz w:val="30"/>
          <w:szCs w:val="30"/>
          <w:highlight w:val="none"/>
        </w:rPr>
        <w:t>（签字或盖章）                        （签字或盖章）</w:t>
      </w:r>
    </w:p>
    <w:p w14:paraId="3E45C750">
      <w:pPr>
        <w:pStyle w:val="89"/>
        <w:widowControl/>
        <w:spacing w:line="360" w:lineRule="auto"/>
        <w:ind w:left="3920" w:hanging="4200" w:hangingChars="1400"/>
        <w:jc w:val="left"/>
        <w:rPr>
          <w:rStyle w:val="40"/>
          <w:rFonts w:hint="eastAsia" w:ascii="宋体" w:hAnsi="宋体" w:eastAsia="宋体" w:cs="宋体"/>
          <w:color w:val="auto"/>
          <w:sz w:val="30"/>
          <w:szCs w:val="30"/>
          <w:highlight w:val="none"/>
        </w:rPr>
      </w:pPr>
      <w:r>
        <w:rPr>
          <w:rStyle w:val="40"/>
          <w:rFonts w:hint="eastAsia" w:ascii="宋体" w:hAnsi="宋体" w:eastAsia="宋体" w:cs="宋体"/>
          <w:color w:val="auto"/>
          <w:sz w:val="30"/>
          <w:szCs w:val="30"/>
          <w:highlight w:val="none"/>
        </w:rPr>
        <w:t xml:space="preserve">社会信用代码： </w:t>
      </w:r>
      <w:r>
        <w:rPr>
          <w:rStyle w:val="40"/>
          <w:rFonts w:hint="eastAsia" w:ascii="宋体" w:hAnsi="宋体" w:eastAsia="宋体" w:cs="宋体"/>
          <w:color w:val="auto"/>
          <w:sz w:val="30"/>
          <w:szCs w:val="30"/>
          <w:highlight w:val="none"/>
          <w:lang w:eastAsia="zh-CN"/>
        </w:rPr>
        <w:t xml:space="preserve">              </w:t>
      </w:r>
      <w:r>
        <w:rPr>
          <w:rStyle w:val="40"/>
          <w:rFonts w:hint="eastAsia" w:ascii="宋体" w:hAnsi="宋体" w:eastAsia="宋体" w:cs="宋体"/>
          <w:color w:val="auto"/>
          <w:sz w:val="30"/>
          <w:szCs w:val="30"/>
          <w:highlight w:val="none"/>
        </w:rPr>
        <w:t xml:space="preserve"> </w:t>
      </w:r>
      <w:r>
        <w:rPr>
          <w:rStyle w:val="40"/>
          <w:rFonts w:hint="eastAsia" w:ascii="宋体" w:hAnsi="宋体" w:eastAsia="宋体" w:cs="宋体"/>
          <w:color w:val="auto"/>
          <w:sz w:val="30"/>
          <w:szCs w:val="30"/>
          <w:highlight w:val="none"/>
          <w:lang w:eastAsia="zh-CN"/>
        </w:rPr>
        <w:t xml:space="preserve">  </w:t>
      </w:r>
      <w:r>
        <w:rPr>
          <w:rStyle w:val="40"/>
          <w:rFonts w:hint="eastAsia" w:ascii="宋体" w:hAnsi="宋体" w:eastAsia="宋体" w:cs="宋体"/>
          <w:color w:val="auto"/>
          <w:sz w:val="30"/>
          <w:szCs w:val="30"/>
          <w:highlight w:val="none"/>
        </w:rPr>
        <w:t>社会信用代码：</w:t>
      </w:r>
    </w:p>
    <w:p w14:paraId="794450A2">
      <w:pPr>
        <w:pStyle w:val="89"/>
        <w:widowControl/>
        <w:spacing w:line="360" w:lineRule="auto"/>
        <w:ind w:left="3920" w:hanging="4200" w:hangingChars="1400"/>
        <w:jc w:val="left"/>
        <w:rPr>
          <w:rStyle w:val="40"/>
          <w:rFonts w:hint="default"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 xml:space="preserve">  </w:t>
      </w:r>
      <w:r>
        <w:rPr>
          <w:rStyle w:val="40"/>
          <w:rFonts w:hint="eastAsia" w:ascii="宋体" w:hAnsi="宋体" w:eastAsia="宋体" w:cs="宋体"/>
          <w:color w:val="auto"/>
          <w:sz w:val="30"/>
          <w:szCs w:val="30"/>
          <w:highlight w:val="none"/>
          <w:lang w:eastAsia="zh-CN"/>
        </w:rPr>
        <w:t xml:space="preserve">          </w:t>
      </w:r>
      <w:r>
        <w:rPr>
          <w:rStyle w:val="40"/>
          <w:rFonts w:hint="eastAsia" w:ascii="宋体" w:hAnsi="宋体" w:eastAsia="宋体" w:cs="宋体"/>
          <w:color w:val="auto"/>
          <w:sz w:val="30"/>
          <w:szCs w:val="30"/>
          <w:highlight w:val="none"/>
          <w:lang w:val="en-US" w:eastAsia="zh-CN"/>
        </w:rPr>
        <w:t xml:space="preserve">    </w:t>
      </w:r>
      <w:r>
        <w:rPr>
          <w:rStyle w:val="40"/>
          <w:rFonts w:hint="eastAsia" w:ascii="宋体" w:hAnsi="宋体" w:eastAsia="宋体" w:cs="宋体"/>
          <w:color w:val="auto"/>
          <w:sz w:val="30"/>
          <w:szCs w:val="30"/>
          <w:highlight w:val="none"/>
          <w:u w:val="single"/>
          <w:lang w:val="en-US" w:eastAsia="zh-CN"/>
        </w:rPr>
        <w:t xml:space="preserve">                       </w:t>
      </w:r>
    </w:p>
    <w:p w14:paraId="66E5CA50">
      <w:pPr>
        <w:pStyle w:val="89"/>
        <w:widowControl/>
        <w:spacing w:line="360" w:lineRule="auto"/>
        <w:ind w:left="5600" w:hanging="6000" w:hangingChars="2000"/>
        <w:jc w:val="left"/>
        <w:rPr>
          <w:rStyle w:val="40"/>
          <w:rFonts w:hint="default"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rPr>
        <w:t>地 址：</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none"/>
          <w:lang w:val="en-US" w:eastAsia="zh-CN"/>
        </w:rPr>
        <w:t xml:space="preserve">     </w:t>
      </w:r>
      <w:r>
        <w:rPr>
          <w:rStyle w:val="40"/>
          <w:rFonts w:hint="eastAsia" w:ascii="宋体" w:hAnsi="宋体" w:eastAsia="宋体" w:cs="宋体"/>
          <w:color w:val="auto"/>
          <w:sz w:val="30"/>
          <w:szCs w:val="30"/>
          <w:highlight w:val="none"/>
        </w:rPr>
        <w:t>地址：</w:t>
      </w:r>
      <w:r>
        <w:rPr>
          <w:rStyle w:val="40"/>
          <w:rFonts w:hint="eastAsia" w:ascii="宋体" w:hAnsi="宋体" w:eastAsia="宋体" w:cs="宋体"/>
          <w:color w:val="auto"/>
          <w:sz w:val="30"/>
          <w:szCs w:val="30"/>
          <w:highlight w:val="none"/>
          <w:u w:val="single"/>
          <w:lang w:val="en-US" w:eastAsia="zh-CN"/>
        </w:rPr>
        <w:t xml:space="preserve">             </w:t>
      </w:r>
    </w:p>
    <w:p w14:paraId="32A55B65">
      <w:pPr>
        <w:pStyle w:val="89"/>
        <w:widowControl/>
        <w:spacing w:line="360" w:lineRule="auto"/>
        <w:jc w:val="left"/>
        <w:rPr>
          <w:rStyle w:val="40"/>
          <w:rFonts w:hint="eastAsia"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rPr>
        <w:t>邮政编码：</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none"/>
          <w:lang w:val="en-US" w:eastAsia="zh-CN"/>
        </w:rPr>
        <w:t xml:space="preserve">        </w:t>
      </w:r>
      <w:r>
        <w:rPr>
          <w:rStyle w:val="40"/>
          <w:rFonts w:hint="eastAsia" w:ascii="宋体" w:hAnsi="宋体" w:eastAsia="宋体" w:cs="宋体"/>
          <w:color w:val="auto"/>
          <w:sz w:val="30"/>
          <w:szCs w:val="30"/>
          <w:highlight w:val="none"/>
        </w:rPr>
        <w:t>邮政编码：</w:t>
      </w:r>
      <w:r>
        <w:rPr>
          <w:rStyle w:val="40"/>
          <w:rFonts w:hint="eastAsia" w:ascii="宋体" w:hAnsi="宋体" w:eastAsia="宋体" w:cs="宋体"/>
          <w:color w:val="auto"/>
          <w:sz w:val="30"/>
          <w:szCs w:val="30"/>
          <w:highlight w:val="none"/>
          <w:u w:val="single"/>
          <w:lang w:val="en-US" w:eastAsia="zh-CN"/>
        </w:rPr>
        <w:t xml:space="preserve">              </w:t>
      </w:r>
    </w:p>
    <w:p w14:paraId="2E5052CF">
      <w:pPr>
        <w:pStyle w:val="89"/>
        <w:widowControl/>
        <w:spacing w:line="360" w:lineRule="auto"/>
        <w:jc w:val="left"/>
        <w:rPr>
          <w:rStyle w:val="40"/>
          <w:rFonts w:hint="eastAsia" w:ascii="宋体" w:hAnsi="宋体" w:eastAsia="宋体" w:cs="宋体"/>
          <w:color w:val="auto"/>
          <w:sz w:val="30"/>
          <w:szCs w:val="30"/>
          <w:highlight w:val="none"/>
          <w:u w:val="single"/>
          <w:lang w:val="en-US" w:eastAsia="zh-CN"/>
        </w:rPr>
      </w:pPr>
      <w:r>
        <w:rPr>
          <w:rStyle w:val="40"/>
          <w:rFonts w:hint="eastAsia" w:ascii="宋体" w:hAnsi="宋体" w:eastAsia="宋体" w:cs="宋体"/>
          <w:color w:val="auto"/>
          <w:sz w:val="30"/>
          <w:szCs w:val="30"/>
          <w:highlight w:val="none"/>
        </w:rPr>
        <w:t>电  话：</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rPr>
        <w:t xml:space="preserve">       </w:t>
      </w:r>
      <w:r>
        <w:rPr>
          <w:rStyle w:val="40"/>
          <w:rFonts w:hint="eastAsia" w:ascii="宋体" w:hAnsi="宋体" w:eastAsia="宋体" w:cs="宋体"/>
          <w:color w:val="auto"/>
          <w:sz w:val="30"/>
          <w:szCs w:val="30"/>
          <w:highlight w:val="none"/>
          <w:lang w:val="en-US" w:eastAsia="zh-CN"/>
        </w:rPr>
        <w:t xml:space="preserve"> </w:t>
      </w:r>
      <w:r>
        <w:rPr>
          <w:rStyle w:val="40"/>
          <w:rFonts w:hint="eastAsia" w:ascii="宋体" w:hAnsi="宋体" w:eastAsia="宋体" w:cs="宋体"/>
          <w:color w:val="auto"/>
          <w:sz w:val="30"/>
          <w:szCs w:val="30"/>
          <w:highlight w:val="none"/>
        </w:rPr>
        <w:t>电  话：</w:t>
      </w:r>
      <w:r>
        <w:rPr>
          <w:rStyle w:val="40"/>
          <w:rFonts w:hint="eastAsia" w:ascii="宋体" w:hAnsi="宋体" w:eastAsia="宋体" w:cs="宋体"/>
          <w:color w:val="auto"/>
          <w:sz w:val="30"/>
          <w:szCs w:val="30"/>
          <w:highlight w:val="none"/>
          <w:u w:val="single"/>
          <w:lang w:val="en-US" w:eastAsia="zh-CN"/>
        </w:rPr>
        <w:t xml:space="preserve">                         </w:t>
      </w:r>
    </w:p>
    <w:p w14:paraId="59B9977D">
      <w:pPr>
        <w:pStyle w:val="89"/>
        <w:widowControl/>
        <w:spacing w:line="360" w:lineRule="auto"/>
        <w:jc w:val="left"/>
        <w:rPr>
          <w:rStyle w:val="40"/>
          <w:rFonts w:hint="eastAsia" w:ascii="宋体" w:hAnsi="宋体" w:eastAsia="宋体" w:cs="宋体"/>
          <w:color w:val="auto"/>
          <w:kern w:val="0"/>
          <w:sz w:val="28"/>
          <w:szCs w:val="28"/>
          <w:highlight w:val="none"/>
        </w:rPr>
      </w:pPr>
      <w:r>
        <w:rPr>
          <w:rStyle w:val="40"/>
          <w:rFonts w:hint="eastAsia" w:ascii="宋体" w:hAnsi="宋体" w:eastAsia="宋体" w:cs="宋体"/>
          <w:color w:val="auto"/>
          <w:sz w:val="30"/>
          <w:szCs w:val="30"/>
          <w:highlight w:val="none"/>
        </w:rPr>
        <w:t>传  真：</w:t>
      </w:r>
      <w:r>
        <w:rPr>
          <w:rStyle w:val="40"/>
          <w:rFonts w:hint="eastAsia" w:ascii="宋体" w:hAnsi="宋体" w:eastAsia="宋体" w:cs="宋体"/>
          <w:color w:val="auto"/>
          <w:sz w:val="30"/>
          <w:szCs w:val="30"/>
          <w:highlight w:val="none"/>
          <w:u w:val="single"/>
          <w:lang w:val="en-US" w:eastAsia="zh-CN"/>
        </w:rPr>
        <w:t xml:space="preserve">                 </w:t>
      </w:r>
      <w:r>
        <w:rPr>
          <w:rStyle w:val="40"/>
          <w:rFonts w:hint="eastAsia" w:ascii="宋体" w:hAnsi="宋体" w:eastAsia="宋体" w:cs="宋体"/>
          <w:color w:val="auto"/>
          <w:sz w:val="30"/>
          <w:szCs w:val="30"/>
          <w:highlight w:val="none"/>
          <w:u w:val="single"/>
        </w:rPr>
        <w:t xml:space="preserve"> </w:t>
      </w:r>
      <w:r>
        <w:rPr>
          <w:rStyle w:val="40"/>
          <w:rFonts w:hint="eastAsia" w:ascii="宋体" w:hAnsi="宋体" w:eastAsia="宋体" w:cs="宋体"/>
          <w:color w:val="auto"/>
          <w:sz w:val="30"/>
          <w:szCs w:val="30"/>
          <w:highlight w:val="none"/>
        </w:rPr>
        <w:t xml:space="preserve">       传  真：</w:t>
      </w:r>
      <w:r>
        <w:rPr>
          <w:rStyle w:val="40"/>
          <w:rFonts w:hint="eastAsia" w:ascii="宋体" w:hAnsi="宋体" w:eastAsia="宋体" w:cs="宋体"/>
          <w:color w:val="auto"/>
          <w:sz w:val="30"/>
          <w:szCs w:val="30"/>
          <w:highlight w:val="none"/>
          <w:u w:val="single"/>
          <w:lang w:val="en-US" w:eastAsia="zh-CN"/>
        </w:rPr>
        <w:t xml:space="preserve">                      </w:t>
      </w:r>
    </w:p>
    <w:p w14:paraId="314A4B5E">
      <w:pPr>
        <w:pStyle w:val="90"/>
        <w:rPr>
          <w:rStyle w:val="40"/>
          <w:rFonts w:hint="eastAsia" w:ascii="宋体" w:hAnsi="宋体" w:eastAsia="宋体" w:cs="宋体"/>
          <w:b/>
          <w:bCs/>
          <w:color w:val="auto"/>
          <w:sz w:val="28"/>
          <w:szCs w:val="28"/>
          <w:highlight w:val="none"/>
        </w:rPr>
      </w:pPr>
      <w:r>
        <w:rPr>
          <w:rStyle w:val="40"/>
          <w:rFonts w:hint="eastAsia" w:ascii="宋体" w:hAnsi="宋体" w:eastAsia="宋体" w:cs="宋体"/>
          <w:b/>
          <w:bCs/>
          <w:color w:val="auto"/>
          <w:kern w:val="2"/>
          <w:sz w:val="28"/>
          <w:szCs w:val="28"/>
          <w:highlight w:val="none"/>
        </w:rPr>
        <w:t xml:space="preserve">附件A </w:t>
      </w:r>
      <w:r>
        <w:rPr>
          <w:rStyle w:val="40"/>
          <w:rFonts w:hint="eastAsia" w:ascii="宋体" w:hAnsi="宋体" w:eastAsia="宋体" w:cs="宋体"/>
          <w:b/>
          <w:bCs/>
          <w:color w:val="auto"/>
          <w:sz w:val="28"/>
          <w:szCs w:val="28"/>
          <w:highlight w:val="none"/>
        </w:rPr>
        <w:t>中标通知书</w:t>
      </w:r>
      <w:r>
        <w:rPr>
          <w:rStyle w:val="40"/>
          <w:rFonts w:hint="eastAsia" w:ascii="宋体" w:hAnsi="宋体" w:eastAsia="宋体" w:cs="宋体"/>
          <w:b/>
          <w:bCs/>
          <w:color w:val="auto"/>
          <w:sz w:val="28"/>
          <w:szCs w:val="28"/>
          <w:highlight w:val="none"/>
        </w:rPr>
        <w:tab/>
      </w:r>
      <w:bookmarkEnd w:id="1241"/>
      <w:bookmarkStart w:id="1243" w:name="_Toc406150514"/>
    </w:p>
    <w:p w14:paraId="4065BB91">
      <w:pPr>
        <w:pStyle w:val="90"/>
        <w:rPr>
          <w:rStyle w:val="40"/>
          <w:rFonts w:hint="eastAsia" w:ascii="宋体" w:hAnsi="宋体" w:eastAsia="宋体" w:cs="宋体"/>
          <w:b/>
          <w:bCs/>
          <w:color w:val="auto"/>
          <w:sz w:val="28"/>
          <w:szCs w:val="28"/>
          <w:highlight w:val="none"/>
        </w:rPr>
      </w:pPr>
      <w:r>
        <w:rPr>
          <w:rStyle w:val="40"/>
          <w:rFonts w:hint="eastAsia" w:ascii="宋体" w:hAnsi="宋体" w:eastAsia="宋体" w:cs="宋体"/>
          <w:b/>
          <w:bCs/>
          <w:color w:val="auto"/>
          <w:kern w:val="2"/>
          <w:sz w:val="28"/>
          <w:szCs w:val="28"/>
          <w:highlight w:val="none"/>
        </w:rPr>
        <w:t xml:space="preserve">附件B  </w:t>
      </w:r>
      <w:bookmarkEnd w:id="1242"/>
      <w:bookmarkEnd w:id="1243"/>
      <w:bookmarkStart w:id="1244" w:name="_Toc406150515"/>
      <w:r>
        <w:rPr>
          <w:rStyle w:val="40"/>
          <w:rFonts w:hint="eastAsia" w:ascii="宋体" w:hAnsi="宋体" w:eastAsia="宋体" w:cs="宋体"/>
          <w:b/>
          <w:bCs/>
          <w:color w:val="auto"/>
          <w:kern w:val="2"/>
          <w:sz w:val="28"/>
          <w:szCs w:val="28"/>
          <w:highlight w:val="none"/>
        </w:rPr>
        <w:t>投标函及附录</w:t>
      </w:r>
      <w:r>
        <w:rPr>
          <w:rStyle w:val="40"/>
          <w:rFonts w:hint="eastAsia" w:ascii="宋体" w:hAnsi="宋体" w:eastAsia="宋体" w:cs="宋体"/>
          <w:b/>
          <w:bCs/>
          <w:color w:val="auto"/>
          <w:kern w:val="2"/>
          <w:sz w:val="28"/>
          <w:szCs w:val="28"/>
          <w:highlight w:val="none"/>
        </w:rPr>
        <w:tab/>
      </w:r>
    </w:p>
    <w:bookmarkEnd w:id="1244"/>
    <w:p w14:paraId="79DE0532">
      <w:pPr>
        <w:pStyle w:val="90"/>
        <w:rPr>
          <w:rStyle w:val="40"/>
          <w:rFonts w:hint="eastAsia" w:ascii="宋体" w:hAnsi="宋体" w:eastAsia="宋体" w:cs="宋体"/>
          <w:b/>
          <w:bCs/>
          <w:color w:val="auto"/>
          <w:kern w:val="2"/>
          <w:sz w:val="28"/>
          <w:szCs w:val="28"/>
          <w:highlight w:val="none"/>
        </w:rPr>
      </w:pPr>
      <w:bookmarkStart w:id="1245" w:name="_Toc406150516"/>
      <w:r>
        <w:rPr>
          <w:rStyle w:val="40"/>
          <w:rFonts w:hint="eastAsia" w:ascii="宋体" w:hAnsi="宋体" w:eastAsia="宋体" w:cs="宋体"/>
          <w:b/>
          <w:bCs/>
          <w:color w:val="auto"/>
          <w:kern w:val="2"/>
          <w:sz w:val="28"/>
          <w:szCs w:val="28"/>
          <w:highlight w:val="none"/>
        </w:rPr>
        <w:t>附件</w:t>
      </w:r>
      <w:r>
        <w:rPr>
          <w:rStyle w:val="40"/>
          <w:rFonts w:hint="eastAsia" w:ascii="宋体" w:hAnsi="宋体" w:eastAsia="宋体" w:cs="宋体"/>
          <w:b/>
          <w:bCs/>
          <w:color w:val="auto"/>
          <w:kern w:val="2"/>
          <w:sz w:val="28"/>
          <w:szCs w:val="28"/>
          <w:highlight w:val="none"/>
          <w:lang w:val="en-US" w:eastAsia="zh-CN"/>
        </w:rPr>
        <w:t>C</w:t>
      </w:r>
      <w:r>
        <w:rPr>
          <w:rStyle w:val="40"/>
          <w:rFonts w:hint="eastAsia" w:ascii="宋体" w:hAnsi="宋体" w:eastAsia="宋体" w:cs="宋体"/>
          <w:b/>
          <w:bCs/>
          <w:color w:val="auto"/>
          <w:kern w:val="2"/>
          <w:sz w:val="28"/>
          <w:szCs w:val="28"/>
          <w:highlight w:val="none"/>
        </w:rPr>
        <w:t xml:space="preserve">  </w:t>
      </w:r>
      <w:bookmarkEnd w:id="1245"/>
      <w:r>
        <w:rPr>
          <w:rStyle w:val="40"/>
          <w:rFonts w:hint="eastAsia" w:ascii="宋体" w:hAnsi="宋体" w:eastAsia="宋体" w:cs="宋体"/>
          <w:b/>
          <w:bCs/>
          <w:color w:val="auto"/>
          <w:kern w:val="2"/>
          <w:sz w:val="28"/>
          <w:szCs w:val="28"/>
          <w:highlight w:val="none"/>
        </w:rPr>
        <w:t>相关资质证明（营业执照、资质证书）</w:t>
      </w:r>
    </w:p>
    <w:p w14:paraId="35AF02B2">
      <w:pPr>
        <w:pStyle w:val="90"/>
        <w:rPr>
          <w:rStyle w:val="40"/>
          <w:rFonts w:hint="eastAsia" w:ascii="宋体" w:hAnsi="宋体" w:eastAsia="宋体" w:cs="宋体"/>
          <w:b/>
          <w:bCs/>
          <w:color w:val="auto"/>
          <w:kern w:val="2"/>
          <w:sz w:val="28"/>
          <w:szCs w:val="28"/>
          <w:highlight w:val="none"/>
        </w:rPr>
      </w:pPr>
      <w:r>
        <w:rPr>
          <w:rStyle w:val="40"/>
          <w:rFonts w:hint="eastAsia" w:ascii="宋体" w:hAnsi="宋体" w:eastAsia="宋体" w:cs="宋体"/>
          <w:b/>
          <w:bCs/>
          <w:color w:val="auto"/>
          <w:kern w:val="2"/>
          <w:sz w:val="28"/>
          <w:szCs w:val="28"/>
          <w:highlight w:val="none"/>
        </w:rPr>
        <w:t>附件</w:t>
      </w:r>
      <w:r>
        <w:rPr>
          <w:rStyle w:val="40"/>
          <w:rFonts w:hint="eastAsia" w:ascii="宋体" w:hAnsi="宋体" w:eastAsia="宋体" w:cs="宋体"/>
          <w:b/>
          <w:bCs/>
          <w:color w:val="auto"/>
          <w:kern w:val="2"/>
          <w:sz w:val="28"/>
          <w:szCs w:val="28"/>
          <w:highlight w:val="none"/>
          <w:lang w:val="en-US" w:eastAsia="zh-CN"/>
        </w:rPr>
        <w:t>D</w:t>
      </w:r>
      <w:r>
        <w:rPr>
          <w:rStyle w:val="40"/>
          <w:rFonts w:hint="eastAsia" w:ascii="宋体" w:hAnsi="宋体" w:eastAsia="宋体" w:cs="宋体"/>
          <w:b/>
          <w:bCs/>
          <w:color w:val="auto"/>
          <w:kern w:val="2"/>
          <w:sz w:val="28"/>
          <w:szCs w:val="28"/>
          <w:highlight w:val="none"/>
        </w:rPr>
        <w:t xml:space="preserve"> 工作量和费用明细表</w:t>
      </w:r>
    </w:p>
    <w:p w14:paraId="27DF0796">
      <w:pPr>
        <w:pStyle w:val="89"/>
        <w:rPr>
          <w:rStyle w:val="40"/>
          <w:rFonts w:hint="eastAsia" w:ascii="Calibri" w:hAnsi="Calibri" w:eastAsia="宋体" w:cs="Times New Roman"/>
          <w:color w:val="auto"/>
          <w:highlight w:val="none"/>
        </w:rPr>
      </w:pPr>
    </w:p>
    <w:p w14:paraId="1E2F6F1D">
      <w:pPr>
        <w:rPr>
          <w:rFonts w:hint="eastAsia"/>
          <w:color w:val="000080"/>
          <w:sz w:val="20"/>
          <w:highlight w:val="white"/>
        </w:rPr>
      </w:pPr>
      <w:r>
        <w:rPr>
          <w:rFonts w:hint="eastAsia"/>
          <w:color w:val="000080"/>
          <w:sz w:val="20"/>
          <w:highlight w:val="white"/>
        </w:rPr>
        <w:t xml:space="preserve"> </w:t>
      </w:r>
    </w:p>
    <w:p w14:paraId="40CAAB41">
      <w:r>
        <w:rPr>
          <w:highlight w:val="white"/>
        </w:rPr>
        <w:br w:type="page"/>
      </w:r>
    </w:p>
    <w:p w14:paraId="19B08295">
      <w:pPr>
        <w:pStyle w:val="2"/>
        <w:rPr>
          <w:rFonts w:hint="eastAsia"/>
          <w:highlight w:val="red"/>
        </w:rPr>
      </w:pPr>
      <w:bookmarkStart w:id="1246" w:name="_Toc256000101"/>
      <w:bookmarkStart w:id="1247" w:name="_Toc98319675"/>
      <w:r>
        <w:rPr>
          <w:highlight w:val="white"/>
        </w:rPr>
        <w:t>第</w:t>
      </w:r>
      <w:r>
        <w:rPr>
          <w:rFonts w:hint="eastAsia"/>
          <w:highlight w:val="white"/>
          <w:lang w:val="en-US" w:eastAsia="zh-CN"/>
        </w:rPr>
        <w:t>四</w:t>
      </w:r>
      <w:r>
        <w:rPr>
          <w:highlight w:val="white"/>
        </w:rPr>
        <w:t>章</w:t>
      </w:r>
      <w:r>
        <w:rPr>
          <w:rFonts w:hint="eastAsia"/>
          <w:highlight w:val="white"/>
        </w:rPr>
        <w:t xml:space="preserve"> </w:t>
      </w:r>
      <w:r>
        <w:rPr>
          <w:rFonts w:hint="eastAsia"/>
          <w:highlight w:val="white"/>
          <w:lang w:val="en-US" w:eastAsia="zh-CN"/>
        </w:rPr>
        <w:t>比选人</w:t>
      </w:r>
      <w:r>
        <w:rPr>
          <w:rFonts w:hint="eastAsia"/>
          <w:highlight w:val="white"/>
        </w:rPr>
        <w:t>要求</w:t>
      </w:r>
      <w:bookmarkEnd w:id="1246"/>
      <w:bookmarkEnd w:id="1247"/>
    </w:p>
    <w:p w14:paraId="5E265189">
      <w:pPr>
        <w:pStyle w:val="100"/>
        <w:spacing w:before="0" w:after="0" w:line="360" w:lineRule="auto"/>
        <w:jc w:val="left"/>
        <w:rPr>
          <w:rStyle w:val="40"/>
          <w:rFonts w:hint="eastAsia" w:ascii="宋体" w:hAnsi="宋体" w:eastAsia="宋体" w:cs="Times New Roman"/>
          <w:color w:val="auto"/>
          <w:sz w:val="24"/>
          <w:szCs w:val="24"/>
          <w:highlight w:val="none"/>
        </w:rPr>
      </w:pPr>
      <w:bookmarkStart w:id="1248" w:name="_Toc56013412"/>
      <w:bookmarkStart w:id="1249" w:name="_Toc256000328"/>
      <w:bookmarkStart w:id="1250" w:name="_Toc14070"/>
      <w:r>
        <w:rPr>
          <w:rStyle w:val="40"/>
          <w:rFonts w:hint="eastAsia" w:ascii="宋体" w:hAnsi="宋体" w:eastAsia="宋体" w:cs="Times New Roman"/>
          <w:color w:val="auto"/>
          <w:sz w:val="24"/>
          <w:szCs w:val="24"/>
          <w:highlight w:val="none"/>
        </w:rPr>
        <w:t>一、勘察要求</w:t>
      </w:r>
      <w:bookmarkEnd w:id="1248"/>
      <w:bookmarkEnd w:id="1249"/>
      <w:bookmarkEnd w:id="1250"/>
    </w:p>
    <w:p w14:paraId="53076CF0">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cs="Times New Roman"/>
          <w:color w:val="auto"/>
          <w:szCs w:val="21"/>
          <w:highlight w:val="none"/>
          <w:lang w:val="en-US" w:eastAsia="zh-CN"/>
        </w:rPr>
        <w:t>比选人</w:t>
      </w:r>
      <w:r>
        <w:rPr>
          <w:rStyle w:val="40"/>
          <w:rFonts w:hint="eastAsia" w:ascii="宋体" w:hAnsi="宋体" w:eastAsia="宋体" w:cs="Times New Roman"/>
          <w:color w:val="auto"/>
          <w:szCs w:val="21"/>
          <w:highlight w:val="none"/>
        </w:rPr>
        <w:t>应当根据项目情况在本章中明确相应的勘察要求，一般应包括以下内容：</w:t>
      </w:r>
    </w:p>
    <w:p w14:paraId="48727292">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1. 项目概况</w:t>
      </w:r>
    </w:p>
    <w:p w14:paraId="243F31C6">
      <w:pPr>
        <w:pStyle w:val="104"/>
        <w:spacing w:line="360" w:lineRule="auto"/>
        <w:ind w:firstLine="420" w:firstLineChars="200"/>
        <w:jc w:val="both"/>
        <w:rPr>
          <w:rStyle w:val="40"/>
          <w:rFonts w:hint="default" w:ascii="宋体" w:hAnsi="宋体" w:eastAsia="宋体" w:cs="宋体"/>
          <w:color w:val="auto"/>
          <w:kern w:val="0"/>
          <w:sz w:val="21"/>
          <w:szCs w:val="24"/>
          <w:highlight w:val="none"/>
          <w:u w:val="single"/>
          <w:lang w:val="zh-CN" w:bidi="ar-SA"/>
        </w:rPr>
      </w:pPr>
      <w:r>
        <w:rPr>
          <w:rStyle w:val="40"/>
          <w:rFonts w:hint="eastAsia" w:ascii="宋体" w:hAnsi="宋体" w:eastAsia="宋体" w:cs="Times New Roman"/>
          <w:color w:val="auto"/>
          <w:szCs w:val="21"/>
          <w:highlight w:val="none"/>
        </w:rPr>
        <w:t>项目名称</w:t>
      </w:r>
      <w:r>
        <w:rPr>
          <w:rStyle w:val="40"/>
          <w:rFonts w:hint="eastAsia" w:ascii="宋体" w:hAnsi="宋体" w:eastAsia="宋体" w:cs="Times New Roman"/>
          <w:color w:val="auto"/>
          <w:szCs w:val="21"/>
          <w:highlight w:val="none"/>
          <w:lang w:eastAsia="zh-CN"/>
        </w:rPr>
        <w:t>：</w:t>
      </w:r>
      <w:r>
        <w:rPr>
          <w:rStyle w:val="40"/>
          <w:rFonts w:hint="eastAsia" w:ascii="宋体" w:hAnsi="宋体" w:cs="宋体"/>
          <w:b w:val="0"/>
          <w:bCs w:val="0"/>
          <w:i w:val="0"/>
          <w:iCs w:val="0"/>
          <w:smallCaps w:val="0"/>
          <w:color w:val="auto"/>
          <w:kern w:val="0"/>
          <w:sz w:val="21"/>
          <w:szCs w:val="24"/>
          <w:highlight w:val="none"/>
          <w:u w:val="single"/>
          <w:lang w:val="zh-CN"/>
        </w:rPr>
        <w:t>南宁市白沙半岛片区城中村改造项目安置住房小区（地块</w:t>
      </w:r>
      <w:r>
        <w:rPr>
          <w:rStyle w:val="40"/>
          <w:rFonts w:hint="eastAsia" w:ascii="宋体" w:hAnsi="宋体" w:cs="宋体"/>
          <w:b w:val="0"/>
          <w:bCs w:val="0"/>
          <w:i w:val="0"/>
          <w:iCs w:val="0"/>
          <w:smallCaps w:val="0"/>
          <w:color w:val="auto"/>
          <w:kern w:val="0"/>
          <w:sz w:val="21"/>
          <w:szCs w:val="24"/>
          <w:highlight w:val="none"/>
          <w:u w:val="single"/>
          <w:lang w:val="en-US" w:eastAsia="zh-CN"/>
        </w:rPr>
        <w:t>1</w:t>
      </w:r>
      <w:r>
        <w:rPr>
          <w:rStyle w:val="40"/>
          <w:rFonts w:hint="eastAsia" w:ascii="宋体" w:hAnsi="宋体" w:cs="宋体"/>
          <w:b w:val="0"/>
          <w:bCs w:val="0"/>
          <w:i w:val="0"/>
          <w:iCs w:val="0"/>
          <w:smallCaps w:val="0"/>
          <w:color w:val="auto"/>
          <w:kern w:val="0"/>
          <w:sz w:val="21"/>
          <w:szCs w:val="24"/>
          <w:highlight w:val="none"/>
          <w:u w:val="single"/>
          <w:lang w:val="zh-CN"/>
        </w:rPr>
        <w:t>）地质勘察</w:t>
      </w:r>
    </w:p>
    <w:p w14:paraId="27038BD6">
      <w:pPr>
        <w:pStyle w:val="101"/>
        <w:spacing w:line="360" w:lineRule="auto"/>
        <w:ind w:firstLine="420" w:firstLineChars="200"/>
        <w:rPr>
          <w:rStyle w:val="40"/>
          <w:rFonts w:hint="eastAsia" w:ascii="宋体" w:hAnsi="宋体" w:eastAsia="宋体" w:cs="Times New Roman"/>
          <w:color w:val="auto"/>
          <w:szCs w:val="21"/>
          <w:highlight w:val="none"/>
          <w:u w:val="single"/>
        </w:rPr>
      </w:pPr>
      <w:r>
        <w:rPr>
          <w:rStyle w:val="40"/>
          <w:rFonts w:hint="eastAsia" w:ascii="宋体" w:hAnsi="宋体" w:eastAsia="宋体" w:cs="Times New Roman"/>
          <w:color w:val="auto"/>
          <w:szCs w:val="21"/>
          <w:highlight w:val="none"/>
        </w:rPr>
        <w:t>建设单位</w:t>
      </w:r>
      <w:r>
        <w:rPr>
          <w:rStyle w:val="40"/>
          <w:rFonts w:hint="eastAsia" w:ascii="宋体" w:hAnsi="宋体" w:eastAsia="宋体" w:cs="Times New Roman"/>
          <w:color w:val="auto"/>
          <w:szCs w:val="21"/>
          <w:highlight w:val="none"/>
          <w:lang w:eastAsia="zh-CN"/>
        </w:rPr>
        <w:t>：</w:t>
      </w:r>
      <w:r>
        <w:rPr>
          <w:rStyle w:val="40"/>
          <w:rFonts w:hint="eastAsia" w:ascii="宋体" w:hAnsi="宋体" w:cs="宋体"/>
          <w:color w:val="auto"/>
          <w:kern w:val="0"/>
          <w:highlight w:val="none"/>
          <w:u w:val="single"/>
          <w:lang w:val="zh-CN"/>
        </w:rPr>
        <w:t>南宁兴邕城市更新有限责任公司</w:t>
      </w:r>
    </w:p>
    <w:p w14:paraId="676C12FE">
      <w:pPr>
        <w:pStyle w:val="101"/>
        <w:spacing w:line="360" w:lineRule="auto"/>
        <w:ind w:firstLine="420" w:firstLineChars="200"/>
        <w:rPr>
          <w:rFonts w:hint="eastAsia"/>
          <w:color w:val="0000FF"/>
          <w:highlight w:val="white"/>
        </w:rPr>
      </w:pPr>
      <w:r>
        <w:rPr>
          <w:rStyle w:val="40"/>
          <w:rFonts w:hint="eastAsia" w:ascii="宋体" w:hAnsi="宋体" w:eastAsia="宋体" w:cs="Times New Roman"/>
          <w:color w:val="auto"/>
          <w:szCs w:val="21"/>
          <w:highlight w:val="none"/>
        </w:rPr>
        <w:t>建设规模</w:t>
      </w:r>
      <w:r>
        <w:rPr>
          <w:rStyle w:val="40"/>
          <w:rFonts w:hint="eastAsia" w:ascii="宋体" w:hAnsi="宋体" w:eastAsia="宋体" w:cs="Times New Roman"/>
          <w:color w:val="auto"/>
          <w:szCs w:val="21"/>
          <w:highlight w:val="none"/>
          <w:lang w:eastAsia="zh-CN"/>
        </w:rPr>
        <w:t>：</w:t>
      </w:r>
      <w:r>
        <w:rPr>
          <w:rFonts w:hint="eastAsia" w:ascii="宋体" w:hAnsi="宋体"/>
          <w:color w:val="auto"/>
          <w:highlight w:val="none"/>
        </w:rPr>
        <w:t>项目总用地面积为16226.45㎡(约24.34亩)。项目总建筑面积71152.03㎡。计容总建筑面积约56792.58㎡(按容积率3.5计算)，不计容建筑面积地下—层车库12686.18㎡、地下二层车库3109.73㎡、架空层206.6㎡，地下室人防总面积2839.63㎡(按计容总建筑面积的5%计算)。单体建筑最高高度为80米，2</w:t>
      </w:r>
      <w:r>
        <w:rPr>
          <w:rFonts w:hint="eastAsia" w:ascii="宋体" w:hAnsi="宋体"/>
          <w:color w:val="auto"/>
          <w:highlight w:val="none"/>
          <w:lang w:val="en-US" w:eastAsia="zh-CN"/>
        </w:rPr>
        <w:t>7</w:t>
      </w:r>
      <w:r>
        <w:rPr>
          <w:rFonts w:hint="eastAsia" w:ascii="宋体" w:hAnsi="宋体"/>
          <w:color w:val="auto"/>
          <w:highlight w:val="none"/>
        </w:rPr>
        <w:t>层。预计布孔71个，其中高层建筑物钻孔46个，平均孔深35米，基坑及商铺钻孔25个，平均孔深20米。预计总进尺2110米。</w:t>
      </w:r>
    </w:p>
    <w:p w14:paraId="1199EC39">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2. 勘察范围及内容：</w:t>
      </w:r>
    </w:p>
    <w:p w14:paraId="015E6728">
      <w:pPr>
        <w:pStyle w:val="101"/>
        <w:keepNext w:val="0"/>
        <w:keepLines w:val="0"/>
        <w:widowControl/>
        <w:suppressLineNumbers w:val="0"/>
        <w:spacing w:line="360" w:lineRule="auto"/>
        <w:ind w:firstLine="420" w:firstLineChars="200"/>
        <w:jc w:val="left"/>
        <w:rPr>
          <w:rStyle w:val="40"/>
          <w:rFonts w:ascii="Times New Roman" w:hAnsi="Times New Roman" w:eastAsia="宋体" w:cs="Times New Roman"/>
          <w:color w:val="auto"/>
          <w:highlight w:val="none"/>
        </w:rPr>
      </w:pPr>
      <w:r>
        <w:rPr>
          <w:rStyle w:val="40"/>
          <w:rFonts w:hint="eastAsia" w:ascii="宋体" w:hAnsi="宋体" w:eastAsia="宋体" w:cs="Times New Roman"/>
          <w:color w:val="auto"/>
          <w:szCs w:val="21"/>
          <w:highlight w:val="none"/>
        </w:rPr>
        <w:t>勘察范围：</w:t>
      </w:r>
      <w:r>
        <w:rPr>
          <w:rStyle w:val="40"/>
          <w:rFonts w:hint="eastAsia" w:ascii="宋体" w:hAnsi="宋体" w:eastAsia="宋体" w:cs="宋体"/>
          <w:b w:val="0"/>
          <w:bCs w:val="0"/>
          <w:color w:val="FF0000"/>
          <w:kern w:val="0"/>
          <w:sz w:val="21"/>
          <w:szCs w:val="21"/>
          <w:highlight w:val="none"/>
          <w:lang w:bidi="ar"/>
        </w:rPr>
        <w:t>初步</w:t>
      </w:r>
      <w:r>
        <w:rPr>
          <w:rStyle w:val="40"/>
          <w:rFonts w:hint="eastAsia" w:ascii="宋体" w:hAnsi="宋体" w:cs="宋体"/>
          <w:b w:val="0"/>
          <w:bCs w:val="0"/>
          <w:color w:val="FF0000"/>
          <w:kern w:val="0"/>
          <w:sz w:val="21"/>
          <w:szCs w:val="21"/>
          <w:highlight w:val="none"/>
          <w:lang w:eastAsia="zh-CN" w:bidi="ar"/>
        </w:rPr>
        <w:t>勘察</w:t>
      </w:r>
      <w:r>
        <w:rPr>
          <w:rStyle w:val="40"/>
          <w:rFonts w:hint="eastAsia" w:ascii="宋体" w:hAnsi="宋体" w:eastAsia="宋体" w:cs="宋体"/>
          <w:color w:val="FF0000"/>
          <w:kern w:val="0"/>
          <w:sz w:val="21"/>
          <w:szCs w:val="21"/>
          <w:highlight w:val="none"/>
          <w:lang w:val="en-US" w:eastAsia="zh-CN" w:bidi="ar"/>
        </w:rPr>
        <w:t>、详细</w:t>
      </w:r>
      <w:r>
        <w:rPr>
          <w:rStyle w:val="40"/>
          <w:rFonts w:hint="eastAsia" w:ascii="宋体" w:hAnsi="宋体" w:cs="宋体"/>
          <w:color w:val="FF0000"/>
          <w:kern w:val="0"/>
          <w:sz w:val="21"/>
          <w:szCs w:val="21"/>
          <w:highlight w:val="none"/>
          <w:lang w:val="en-US" w:eastAsia="zh-CN" w:bidi="ar"/>
        </w:rPr>
        <w:t>勘察</w:t>
      </w:r>
      <w:r>
        <w:rPr>
          <w:rStyle w:val="40"/>
          <w:rFonts w:hint="eastAsia" w:ascii="宋体" w:hAnsi="宋体" w:eastAsia="宋体" w:cs="宋体"/>
          <w:color w:val="FF0000"/>
          <w:kern w:val="0"/>
          <w:sz w:val="21"/>
          <w:szCs w:val="21"/>
          <w:highlight w:val="none"/>
          <w:lang w:val="en-US" w:eastAsia="zh-CN" w:bidi="ar"/>
        </w:rPr>
        <w:t>。</w:t>
      </w:r>
    </w:p>
    <w:p w14:paraId="772B6C4B">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3. 勘察依据：与工程勘察有关的依据性文件的名称和文号，政府有关主管部门对立项报告的批文等；国家、行业、项目所在地规范、标准、规程名录等；项目相关的勘察资料。</w:t>
      </w:r>
    </w:p>
    <w:p w14:paraId="5E4773A7">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4. 基础资料：</w:t>
      </w:r>
      <w:bookmarkStart w:id="1251" w:name="OLE_LINK51"/>
      <w:r>
        <w:rPr>
          <w:rStyle w:val="40"/>
          <w:rFonts w:hint="eastAsia" w:ascii="宋体" w:hAnsi="宋体" w:eastAsia="宋体" w:cs="Times New Roman"/>
          <w:color w:val="auto"/>
          <w:szCs w:val="21"/>
          <w:highlight w:val="none"/>
        </w:rPr>
        <w:t>如用地红线图、设计总平图、地形图等</w:t>
      </w:r>
      <w:bookmarkEnd w:id="1251"/>
      <w:r>
        <w:rPr>
          <w:rStyle w:val="40"/>
          <w:rFonts w:hint="eastAsia" w:ascii="宋体" w:hAnsi="宋体" w:eastAsia="宋体" w:cs="Times New Roman"/>
          <w:color w:val="auto"/>
          <w:szCs w:val="21"/>
          <w:highlight w:val="none"/>
        </w:rPr>
        <w:t>。</w:t>
      </w:r>
    </w:p>
    <w:p w14:paraId="6BE0BD44">
      <w:pPr>
        <w:pStyle w:val="101"/>
        <w:keepNext w:val="0"/>
        <w:keepLines w:val="0"/>
        <w:widowControl/>
        <w:suppressLineNumbers w:val="0"/>
        <w:spacing w:line="360" w:lineRule="auto"/>
        <w:ind w:firstLine="420" w:firstLineChars="200"/>
        <w:jc w:val="left"/>
        <w:rPr>
          <w:rStyle w:val="40"/>
          <w:rFonts w:ascii="Times New Roman" w:hAnsi="Times New Roman" w:eastAsia="宋体" w:cs="Times New Roman"/>
          <w:color w:val="auto"/>
          <w:highlight w:val="none"/>
        </w:rPr>
      </w:pPr>
      <w:r>
        <w:rPr>
          <w:rStyle w:val="40"/>
          <w:rFonts w:hint="eastAsia" w:ascii="宋体" w:hAnsi="宋体" w:eastAsia="宋体" w:cs="Times New Roman"/>
          <w:color w:val="auto"/>
          <w:szCs w:val="21"/>
          <w:highlight w:val="none"/>
        </w:rPr>
        <w:t>5. 勘察人员和设备要求：</w:t>
      </w:r>
      <w:r>
        <w:rPr>
          <w:rStyle w:val="40"/>
          <w:rFonts w:hint="eastAsia" w:ascii="宋体" w:hAnsi="宋体" w:eastAsia="宋体" w:cs="宋体"/>
          <w:color w:val="auto"/>
          <w:kern w:val="0"/>
          <w:sz w:val="21"/>
          <w:szCs w:val="21"/>
          <w:highlight w:val="none"/>
          <w:lang w:val="en-US" w:eastAsia="zh-CN" w:bidi="ar"/>
        </w:rPr>
        <w:t xml:space="preserve">详见招标公告。 </w:t>
      </w:r>
    </w:p>
    <w:p w14:paraId="2A38D84D">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6. 其他要求：</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u w:val="single"/>
          <w:lang w:eastAsia="zh-CN"/>
        </w:rPr>
        <w:t>无</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rPr>
        <w:t>。</w:t>
      </w:r>
    </w:p>
    <w:p w14:paraId="23EB4876">
      <w:pPr>
        <w:pStyle w:val="100"/>
        <w:spacing w:before="0" w:after="0" w:line="360" w:lineRule="auto"/>
        <w:jc w:val="both"/>
        <w:rPr>
          <w:rStyle w:val="40"/>
          <w:rFonts w:hint="eastAsia" w:ascii="宋体" w:hAnsi="宋体" w:eastAsia="宋体" w:cs="Times New Roman"/>
          <w:color w:val="auto"/>
          <w:sz w:val="24"/>
          <w:szCs w:val="24"/>
          <w:highlight w:val="none"/>
        </w:rPr>
      </w:pPr>
      <w:bookmarkStart w:id="1252" w:name="_Toc256000329"/>
      <w:bookmarkStart w:id="1253" w:name="_Toc56013413"/>
      <w:bookmarkStart w:id="1254" w:name="_Toc18178"/>
      <w:r>
        <w:rPr>
          <w:rStyle w:val="40"/>
          <w:rFonts w:hint="eastAsia" w:ascii="宋体" w:hAnsi="宋体" w:eastAsia="宋体" w:cs="Times New Roman"/>
          <w:color w:val="auto"/>
          <w:sz w:val="24"/>
          <w:szCs w:val="24"/>
          <w:highlight w:val="none"/>
        </w:rPr>
        <w:t>二、适用规范标准</w:t>
      </w:r>
      <w:bookmarkEnd w:id="1252"/>
      <w:bookmarkEnd w:id="1253"/>
      <w:bookmarkEnd w:id="1254"/>
    </w:p>
    <w:p w14:paraId="70D2B34B">
      <w:pPr>
        <w:pStyle w:val="101"/>
        <w:keepNext w:val="0"/>
        <w:keepLines w:val="0"/>
        <w:widowControl/>
        <w:suppressLineNumbers w:val="0"/>
        <w:spacing w:line="360" w:lineRule="auto"/>
        <w:jc w:val="left"/>
        <w:rPr>
          <w:rStyle w:val="40"/>
          <w:rFonts w:ascii="Times New Roman" w:hAnsi="Times New Roman" w:eastAsia="宋体" w:cs="Times New Roman"/>
          <w:color w:val="auto"/>
          <w:highlight w:val="none"/>
        </w:rPr>
      </w:pPr>
      <w:r>
        <w:rPr>
          <w:rStyle w:val="40"/>
          <w:rFonts w:hint="eastAsia" w:ascii="宋体" w:hAnsi="宋体" w:eastAsia="宋体" w:cs="宋体"/>
          <w:color w:val="auto"/>
          <w:kern w:val="0"/>
          <w:sz w:val="21"/>
          <w:szCs w:val="21"/>
          <w:highlight w:val="none"/>
          <w:lang w:val="en-US" w:eastAsia="zh-CN" w:bidi="ar"/>
        </w:rPr>
        <w:t xml:space="preserve">（包括但不限于以下，如以下标准不是现行的按最新现行标准执行） </w:t>
      </w:r>
    </w:p>
    <w:p w14:paraId="78C22D47">
      <w:pPr>
        <w:pStyle w:val="101"/>
        <w:keepNext w:val="0"/>
        <w:keepLines w:val="0"/>
        <w:widowControl/>
        <w:suppressLineNumbers w:val="0"/>
        <w:spacing w:line="360" w:lineRule="auto"/>
        <w:jc w:val="left"/>
        <w:rPr>
          <w:rStyle w:val="40"/>
          <w:rFonts w:ascii="Times New Roman" w:hAnsi="Times New Roman" w:eastAsia="宋体" w:cs="Times New Roman"/>
          <w:color w:val="auto"/>
          <w:highlight w:val="none"/>
        </w:rPr>
      </w:pPr>
      <w:r>
        <w:rPr>
          <w:rStyle w:val="40"/>
          <w:rFonts w:hint="eastAsia" w:cs="Times New Roman"/>
          <w:color w:val="auto"/>
          <w:kern w:val="0"/>
          <w:sz w:val="21"/>
          <w:szCs w:val="21"/>
          <w:highlight w:val="none"/>
          <w:lang w:val="en-US" w:eastAsia="zh-CN" w:bidi="ar"/>
        </w:rPr>
        <w:t>1</w:t>
      </w:r>
      <w:r>
        <w:rPr>
          <w:rStyle w:val="40"/>
          <w:rFonts w:hint="eastAsia" w:ascii="宋体" w:hAnsi="宋体" w:eastAsia="宋体" w:cs="宋体"/>
          <w:color w:val="auto"/>
          <w:kern w:val="0"/>
          <w:sz w:val="21"/>
          <w:szCs w:val="21"/>
          <w:highlight w:val="none"/>
          <w:lang w:val="en-US" w:eastAsia="zh-CN" w:bidi="ar"/>
        </w:rPr>
        <w:t>、 《建筑工程地质勘探与取样技术规程》（</w:t>
      </w:r>
      <w:r>
        <w:rPr>
          <w:rStyle w:val="40"/>
          <w:rFonts w:hint="default" w:ascii="Times New Roman" w:hAnsi="Times New Roman" w:eastAsia="宋体" w:cs="Times New Roman"/>
          <w:color w:val="auto"/>
          <w:kern w:val="0"/>
          <w:sz w:val="21"/>
          <w:szCs w:val="21"/>
          <w:highlight w:val="none"/>
          <w:lang w:val="en-US" w:eastAsia="zh-CN" w:bidi="ar"/>
        </w:rPr>
        <w:t>JGJ/T 87</w:t>
      </w:r>
      <w:r>
        <w:rPr>
          <w:rStyle w:val="40"/>
          <w:rFonts w:hint="eastAsia" w:ascii="宋体" w:hAnsi="宋体" w:eastAsia="宋体" w:cs="宋体"/>
          <w:color w:val="auto"/>
          <w:kern w:val="0"/>
          <w:sz w:val="21"/>
          <w:szCs w:val="21"/>
          <w:highlight w:val="none"/>
          <w:lang w:val="en-US" w:eastAsia="zh-CN" w:bidi="ar"/>
        </w:rPr>
        <w:t>—</w:t>
      </w:r>
      <w:r>
        <w:rPr>
          <w:rStyle w:val="40"/>
          <w:rFonts w:hint="default" w:ascii="Times New Roman" w:hAnsi="Times New Roman" w:eastAsia="宋体" w:cs="Times New Roman"/>
          <w:color w:val="auto"/>
          <w:kern w:val="0"/>
          <w:sz w:val="21"/>
          <w:szCs w:val="21"/>
          <w:highlight w:val="none"/>
          <w:lang w:val="en-US" w:eastAsia="zh-CN" w:bidi="ar"/>
        </w:rPr>
        <w:t>2012</w:t>
      </w:r>
      <w:r>
        <w:rPr>
          <w:rStyle w:val="40"/>
          <w:rFonts w:hint="eastAsia" w:ascii="宋体" w:hAnsi="宋体" w:eastAsia="宋体" w:cs="宋体"/>
          <w:color w:val="auto"/>
          <w:kern w:val="0"/>
          <w:sz w:val="21"/>
          <w:szCs w:val="21"/>
          <w:highlight w:val="none"/>
          <w:lang w:val="en-US" w:eastAsia="zh-CN" w:bidi="ar"/>
        </w:rPr>
        <w:t xml:space="preserve">）； </w:t>
      </w:r>
    </w:p>
    <w:p w14:paraId="0F8363AD">
      <w:pPr>
        <w:pStyle w:val="101"/>
        <w:keepNext w:val="0"/>
        <w:keepLines w:val="0"/>
        <w:widowControl/>
        <w:suppressLineNumbers w:val="0"/>
        <w:spacing w:line="360" w:lineRule="auto"/>
        <w:jc w:val="left"/>
        <w:rPr>
          <w:rStyle w:val="40"/>
          <w:rFonts w:ascii="Times New Roman" w:hAnsi="Times New Roman" w:eastAsia="宋体" w:cs="Times New Roman"/>
          <w:color w:val="auto"/>
          <w:highlight w:val="none"/>
        </w:rPr>
      </w:pPr>
      <w:r>
        <w:rPr>
          <w:rStyle w:val="40"/>
          <w:rFonts w:hint="eastAsia" w:cs="Times New Roman"/>
          <w:color w:val="auto"/>
          <w:kern w:val="0"/>
          <w:sz w:val="21"/>
          <w:szCs w:val="21"/>
          <w:highlight w:val="none"/>
          <w:lang w:val="en-US" w:eastAsia="zh-CN" w:bidi="ar"/>
        </w:rPr>
        <w:t>2</w:t>
      </w:r>
      <w:r>
        <w:rPr>
          <w:rStyle w:val="40"/>
          <w:rFonts w:hint="eastAsia" w:ascii="宋体" w:hAnsi="宋体" w:eastAsia="宋体" w:cs="宋体"/>
          <w:color w:val="auto"/>
          <w:kern w:val="0"/>
          <w:sz w:val="21"/>
          <w:szCs w:val="21"/>
          <w:highlight w:val="none"/>
          <w:lang w:val="en-US" w:eastAsia="zh-CN" w:bidi="ar"/>
        </w:rPr>
        <w:t>、 《建筑边坡工程技术规范》（</w:t>
      </w:r>
      <w:r>
        <w:rPr>
          <w:rStyle w:val="40"/>
          <w:rFonts w:hint="default" w:ascii="Times New Roman" w:hAnsi="Times New Roman" w:eastAsia="宋体" w:cs="Times New Roman"/>
          <w:color w:val="auto"/>
          <w:kern w:val="0"/>
          <w:sz w:val="21"/>
          <w:szCs w:val="21"/>
          <w:highlight w:val="none"/>
          <w:lang w:val="en-US" w:eastAsia="zh-CN" w:bidi="ar"/>
        </w:rPr>
        <w:t>GB50330-2013</w:t>
      </w:r>
      <w:r>
        <w:rPr>
          <w:rStyle w:val="40"/>
          <w:rFonts w:hint="eastAsia" w:ascii="宋体" w:hAnsi="宋体" w:eastAsia="宋体" w:cs="宋体"/>
          <w:color w:val="auto"/>
          <w:kern w:val="0"/>
          <w:sz w:val="21"/>
          <w:szCs w:val="21"/>
          <w:highlight w:val="none"/>
          <w:lang w:val="en-US" w:eastAsia="zh-CN" w:bidi="ar"/>
        </w:rPr>
        <w:t xml:space="preserve">）； </w:t>
      </w:r>
    </w:p>
    <w:p w14:paraId="7F1F95F0">
      <w:pPr>
        <w:pStyle w:val="101"/>
        <w:keepNext w:val="0"/>
        <w:keepLines w:val="0"/>
        <w:widowControl/>
        <w:suppressLineNumbers w:val="0"/>
        <w:spacing w:line="360" w:lineRule="auto"/>
        <w:jc w:val="left"/>
        <w:rPr>
          <w:rStyle w:val="40"/>
          <w:rFonts w:ascii="Times New Roman" w:hAnsi="Times New Roman" w:eastAsia="宋体" w:cs="Times New Roman"/>
          <w:color w:val="auto"/>
          <w:highlight w:val="none"/>
        </w:rPr>
      </w:pPr>
      <w:r>
        <w:rPr>
          <w:rStyle w:val="40"/>
          <w:rFonts w:hint="eastAsia" w:cs="Times New Roman"/>
          <w:color w:val="auto"/>
          <w:kern w:val="0"/>
          <w:sz w:val="21"/>
          <w:szCs w:val="21"/>
          <w:highlight w:val="none"/>
          <w:lang w:val="en-US" w:eastAsia="zh-CN" w:bidi="ar"/>
        </w:rPr>
        <w:t>3</w:t>
      </w:r>
      <w:r>
        <w:rPr>
          <w:rStyle w:val="40"/>
          <w:rFonts w:hint="eastAsia" w:ascii="宋体" w:hAnsi="宋体" w:eastAsia="宋体" w:cs="宋体"/>
          <w:color w:val="auto"/>
          <w:kern w:val="0"/>
          <w:sz w:val="21"/>
          <w:szCs w:val="21"/>
          <w:highlight w:val="none"/>
          <w:lang w:val="en-US" w:eastAsia="zh-CN" w:bidi="ar"/>
        </w:rPr>
        <w:t>、 《岩土工程勘察安全规范》（</w:t>
      </w:r>
      <w:r>
        <w:rPr>
          <w:rStyle w:val="40"/>
          <w:rFonts w:hint="default" w:ascii="Times New Roman" w:hAnsi="Times New Roman" w:eastAsia="宋体" w:cs="Times New Roman"/>
          <w:color w:val="auto"/>
          <w:kern w:val="0"/>
          <w:sz w:val="21"/>
          <w:szCs w:val="21"/>
          <w:highlight w:val="none"/>
          <w:lang w:val="en-US" w:eastAsia="zh-CN" w:bidi="ar"/>
        </w:rPr>
        <w:t>GB 50585-2010</w:t>
      </w:r>
      <w:r>
        <w:rPr>
          <w:rStyle w:val="40"/>
          <w:rFonts w:hint="eastAsia" w:ascii="宋体" w:hAnsi="宋体" w:eastAsia="宋体" w:cs="宋体"/>
          <w:color w:val="auto"/>
          <w:kern w:val="0"/>
          <w:sz w:val="21"/>
          <w:szCs w:val="21"/>
          <w:highlight w:val="none"/>
          <w:lang w:val="en-US" w:eastAsia="zh-CN" w:bidi="ar"/>
        </w:rPr>
        <w:t xml:space="preserve">）； </w:t>
      </w:r>
    </w:p>
    <w:p w14:paraId="36E07159">
      <w:pPr>
        <w:pStyle w:val="101"/>
        <w:keepNext w:val="0"/>
        <w:keepLines w:val="0"/>
        <w:widowControl/>
        <w:suppressLineNumbers w:val="0"/>
        <w:spacing w:line="360" w:lineRule="auto"/>
        <w:jc w:val="left"/>
        <w:rPr>
          <w:rStyle w:val="40"/>
          <w:rFonts w:ascii="Times New Roman" w:hAnsi="Times New Roman" w:eastAsia="宋体" w:cs="Times New Roman"/>
          <w:color w:val="auto"/>
          <w:highlight w:val="none"/>
        </w:rPr>
      </w:pPr>
      <w:r>
        <w:rPr>
          <w:rStyle w:val="40"/>
          <w:rFonts w:hint="eastAsia" w:cs="Times New Roman"/>
          <w:color w:val="auto"/>
          <w:kern w:val="0"/>
          <w:sz w:val="21"/>
          <w:szCs w:val="21"/>
          <w:highlight w:val="none"/>
          <w:lang w:val="en-US" w:eastAsia="zh-CN" w:bidi="ar"/>
        </w:rPr>
        <w:t>4</w:t>
      </w:r>
      <w:r>
        <w:rPr>
          <w:rStyle w:val="40"/>
          <w:rFonts w:hint="eastAsia" w:ascii="宋体" w:hAnsi="宋体" w:eastAsia="宋体" w:cs="宋体"/>
          <w:color w:val="auto"/>
          <w:kern w:val="0"/>
          <w:sz w:val="21"/>
          <w:szCs w:val="21"/>
          <w:highlight w:val="none"/>
          <w:lang w:val="en-US" w:eastAsia="zh-CN" w:bidi="ar"/>
        </w:rPr>
        <w:t>、《岩土工程勘察报告编制标准》（</w:t>
      </w:r>
      <w:r>
        <w:rPr>
          <w:rStyle w:val="40"/>
          <w:rFonts w:hint="default" w:ascii="Times New Roman" w:hAnsi="Times New Roman" w:eastAsia="宋体" w:cs="Times New Roman"/>
          <w:color w:val="auto"/>
          <w:kern w:val="0"/>
          <w:sz w:val="21"/>
          <w:szCs w:val="21"/>
          <w:highlight w:val="none"/>
          <w:lang w:val="en-US" w:eastAsia="zh-CN" w:bidi="ar"/>
        </w:rPr>
        <w:t>CECS99</w:t>
      </w:r>
      <w:r>
        <w:rPr>
          <w:rStyle w:val="40"/>
          <w:rFonts w:hint="eastAsia" w:ascii="宋体" w:hAnsi="宋体" w:eastAsia="宋体" w:cs="宋体"/>
          <w:color w:val="auto"/>
          <w:kern w:val="0"/>
          <w:sz w:val="21"/>
          <w:szCs w:val="21"/>
          <w:highlight w:val="none"/>
          <w:lang w:val="en-US" w:eastAsia="zh-CN" w:bidi="ar"/>
        </w:rPr>
        <w:t>：</w:t>
      </w:r>
      <w:r>
        <w:rPr>
          <w:rStyle w:val="40"/>
          <w:rFonts w:hint="default" w:ascii="Times New Roman" w:hAnsi="Times New Roman" w:eastAsia="宋体" w:cs="Times New Roman"/>
          <w:color w:val="auto"/>
          <w:kern w:val="0"/>
          <w:sz w:val="21"/>
          <w:szCs w:val="21"/>
          <w:highlight w:val="none"/>
          <w:lang w:val="en-US" w:eastAsia="zh-CN" w:bidi="ar"/>
        </w:rPr>
        <w:t>98</w:t>
      </w:r>
      <w:r>
        <w:rPr>
          <w:rStyle w:val="40"/>
          <w:rFonts w:hint="eastAsia" w:ascii="宋体" w:hAnsi="宋体" w:eastAsia="宋体" w:cs="宋体"/>
          <w:color w:val="auto"/>
          <w:kern w:val="0"/>
          <w:sz w:val="21"/>
          <w:szCs w:val="21"/>
          <w:highlight w:val="none"/>
          <w:lang w:val="en-US" w:eastAsia="zh-CN" w:bidi="ar"/>
        </w:rPr>
        <w:t xml:space="preserve">）； </w:t>
      </w:r>
    </w:p>
    <w:p w14:paraId="7AD26AE2">
      <w:pPr>
        <w:pStyle w:val="101"/>
        <w:keepNext w:val="0"/>
        <w:keepLines w:val="0"/>
        <w:widowControl/>
        <w:suppressLineNumbers w:val="0"/>
        <w:spacing w:line="360" w:lineRule="auto"/>
        <w:jc w:val="left"/>
        <w:rPr>
          <w:rStyle w:val="40"/>
          <w:rFonts w:ascii="Times New Roman" w:hAnsi="Times New Roman" w:eastAsia="宋体" w:cs="Times New Roman"/>
          <w:color w:val="auto"/>
          <w:highlight w:val="none"/>
        </w:rPr>
      </w:pPr>
      <w:r>
        <w:rPr>
          <w:rStyle w:val="40"/>
          <w:rFonts w:hint="eastAsia" w:cs="Times New Roman"/>
          <w:color w:val="auto"/>
          <w:kern w:val="0"/>
          <w:sz w:val="21"/>
          <w:szCs w:val="21"/>
          <w:highlight w:val="none"/>
          <w:lang w:val="en-US" w:eastAsia="zh-CN" w:bidi="ar"/>
        </w:rPr>
        <w:t>5</w:t>
      </w:r>
      <w:r>
        <w:rPr>
          <w:rStyle w:val="40"/>
          <w:rFonts w:hint="eastAsia" w:ascii="宋体" w:hAnsi="宋体" w:eastAsia="宋体" w:cs="宋体"/>
          <w:color w:val="auto"/>
          <w:kern w:val="0"/>
          <w:sz w:val="21"/>
          <w:szCs w:val="21"/>
          <w:highlight w:val="none"/>
          <w:lang w:val="en-US" w:eastAsia="zh-CN" w:bidi="ar"/>
        </w:rPr>
        <w:t>、《房屋建筑与市政基础设施工程勘察文件编制深度规定》（</w:t>
      </w:r>
      <w:r>
        <w:rPr>
          <w:rStyle w:val="40"/>
          <w:rFonts w:hint="default" w:ascii="Times New Roman" w:hAnsi="Times New Roman" w:eastAsia="宋体" w:cs="Times New Roman"/>
          <w:color w:val="auto"/>
          <w:kern w:val="0"/>
          <w:sz w:val="21"/>
          <w:szCs w:val="21"/>
          <w:highlight w:val="none"/>
          <w:lang w:val="en-US" w:eastAsia="zh-CN" w:bidi="ar"/>
        </w:rPr>
        <w:t>2010</w:t>
      </w:r>
      <w:r>
        <w:rPr>
          <w:rStyle w:val="40"/>
          <w:rFonts w:hint="eastAsia" w:ascii="宋体" w:hAnsi="宋体" w:eastAsia="宋体" w:cs="宋体"/>
          <w:color w:val="auto"/>
          <w:kern w:val="0"/>
          <w:sz w:val="21"/>
          <w:szCs w:val="21"/>
          <w:highlight w:val="none"/>
          <w:lang w:val="en-US" w:eastAsia="zh-CN" w:bidi="ar"/>
        </w:rPr>
        <w:t xml:space="preserve">）； </w:t>
      </w:r>
    </w:p>
    <w:p w14:paraId="321B6873">
      <w:pPr>
        <w:pStyle w:val="101"/>
        <w:keepNext w:val="0"/>
        <w:keepLines w:val="0"/>
        <w:widowControl/>
        <w:suppressLineNumbers w:val="0"/>
        <w:spacing w:line="360" w:lineRule="auto"/>
        <w:jc w:val="left"/>
        <w:rPr>
          <w:rStyle w:val="40"/>
          <w:rFonts w:ascii="Times New Roman" w:hAnsi="Times New Roman" w:eastAsia="宋体" w:cs="Times New Roman"/>
          <w:color w:val="auto"/>
          <w:highlight w:val="none"/>
        </w:rPr>
      </w:pPr>
      <w:r>
        <w:rPr>
          <w:rStyle w:val="40"/>
          <w:rFonts w:hint="eastAsia" w:cs="Times New Roman"/>
          <w:color w:val="auto"/>
          <w:kern w:val="0"/>
          <w:sz w:val="21"/>
          <w:szCs w:val="21"/>
          <w:highlight w:val="none"/>
          <w:lang w:val="en-US" w:eastAsia="zh-CN" w:bidi="ar"/>
        </w:rPr>
        <w:t>6</w:t>
      </w:r>
      <w:r>
        <w:rPr>
          <w:rStyle w:val="40"/>
          <w:rFonts w:hint="eastAsia" w:ascii="宋体" w:hAnsi="宋体" w:eastAsia="宋体" w:cs="宋体"/>
          <w:color w:val="auto"/>
          <w:kern w:val="0"/>
          <w:sz w:val="21"/>
          <w:szCs w:val="21"/>
          <w:highlight w:val="none"/>
          <w:lang w:val="en-US" w:eastAsia="zh-CN" w:bidi="ar"/>
        </w:rPr>
        <w:t>、《广西壮族自治区岩土工程勘察规范》（</w:t>
      </w:r>
      <w:r>
        <w:rPr>
          <w:rStyle w:val="40"/>
          <w:rFonts w:hint="default" w:ascii="Times New Roman" w:hAnsi="Times New Roman" w:eastAsia="宋体" w:cs="Times New Roman"/>
          <w:color w:val="auto"/>
          <w:kern w:val="0"/>
          <w:sz w:val="21"/>
          <w:szCs w:val="21"/>
          <w:highlight w:val="none"/>
          <w:lang w:val="en-US" w:eastAsia="zh-CN" w:bidi="ar"/>
        </w:rPr>
        <w:t>DBJ/T45-066--2018</w:t>
      </w:r>
      <w:r>
        <w:rPr>
          <w:rStyle w:val="40"/>
          <w:rFonts w:hint="eastAsia" w:ascii="宋体" w:hAnsi="宋体" w:eastAsia="宋体" w:cs="宋体"/>
          <w:color w:val="auto"/>
          <w:kern w:val="0"/>
          <w:sz w:val="21"/>
          <w:szCs w:val="21"/>
          <w:highlight w:val="none"/>
          <w:lang w:val="en-US" w:eastAsia="zh-CN" w:bidi="ar"/>
        </w:rPr>
        <w:t xml:space="preserve">）（简称《广西勘察规范》）； </w:t>
      </w:r>
    </w:p>
    <w:p w14:paraId="225B2171">
      <w:pPr>
        <w:pStyle w:val="101"/>
        <w:keepNext w:val="0"/>
        <w:keepLines w:val="0"/>
        <w:widowControl/>
        <w:suppressLineNumbers w:val="0"/>
        <w:spacing w:line="360" w:lineRule="auto"/>
        <w:jc w:val="left"/>
        <w:rPr>
          <w:rStyle w:val="40"/>
          <w:rFonts w:ascii="Times New Roman" w:hAnsi="Times New Roman" w:eastAsia="宋体" w:cs="Times New Roman"/>
          <w:color w:val="auto"/>
          <w:highlight w:val="none"/>
        </w:rPr>
      </w:pPr>
      <w:r>
        <w:rPr>
          <w:rStyle w:val="40"/>
          <w:rFonts w:hint="eastAsia" w:cs="Times New Roman"/>
          <w:color w:val="auto"/>
          <w:kern w:val="0"/>
          <w:sz w:val="21"/>
          <w:szCs w:val="21"/>
          <w:highlight w:val="none"/>
          <w:lang w:val="en-US" w:eastAsia="zh-CN" w:bidi="ar"/>
        </w:rPr>
        <w:t>7</w:t>
      </w:r>
      <w:r>
        <w:rPr>
          <w:rStyle w:val="40"/>
          <w:rFonts w:hint="eastAsia" w:ascii="宋体" w:hAnsi="宋体" w:eastAsia="宋体" w:cs="宋体"/>
          <w:color w:val="auto"/>
          <w:kern w:val="0"/>
          <w:sz w:val="21"/>
          <w:szCs w:val="21"/>
          <w:highlight w:val="none"/>
          <w:lang w:val="en-US" w:eastAsia="zh-CN" w:bidi="ar"/>
        </w:rPr>
        <w:t>、《建筑边坡工程技术规程》（</w:t>
      </w:r>
      <w:r>
        <w:rPr>
          <w:rStyle w:val="40"/>
          <w:rFonts w:hint="default" w:ascii="Times New Roman" w:hAnsi="Times New Roman" w:eastAsia="宋体" w:cs="Times New Roman"/>
          <w:color w:val="auto"/>
          <w:kern w:val="0"/>
          <w:sz w:val="21"/>
          <w:szCs w:val="21"/>
          <w:highlight w:val="none"/>
          <w:lang w:val="en-US" w:eastAsia="zh-CN" w:bidi="ar"/>
        </w:rPr>
        <w:t>DBJ/T 45-012-2016</w:t>
      </w:r>
      <w:r>
        <w:rPr>
          <w:rStyle w:val="40"/>
          <w:rFonts w:hint="eastAsia" w:ascii="宋体" w:hAnsi="宋体" w:eastAsia="宋体" w:cs="宋体"/>
          <w:color w:val="auto"/>
          <w:kern w:val="0"/>
          <w:sz w:val="21"/>
          <w:szCs w:val="21"/>
          <w:highlight w:val="none"/>
          <w:lang w:val="en-US" w:eastAsia="zh-CN" w:bidi="ar"/>
        </w:rPr>
        <w:t xml:space="preserve">）； </w:t>
      </w:r>
    </w:p>
    <w:p w14:paraId="67323C07">
      <w:pPr>
        <w:pStyle w:val="101"/>
        <w:keepNext w:val="0"/>
        <w:keepLines w:val="0"/>
        <w:widowControl/>
        <w:suppressLineNumbers w:val="0"/>
        <w:spacing w:line="360" w:lineRule="auto"/>
        <w:jc w:val="left"/>
        <w:rPr>
          <w:rStyle w:val="40"/>
          <w:rFonts w:ascii="Times New Roman" w:hAnsi="Times New Roman" w:eastAsia="宋体" w:cs="Times New Roman"/>
          <w:color w:val="auto"/>
          <w:highlight w:val="none"/>
        </w:rPr>
      </w:pPr>
      <w:r>
        <w:rPr>
          <w:rStyle w:val="40"/>
          <w:rFonts w:hint="eastAsia" w:cs="Times New Roman"/>
          <w:color w:val="auto"/>
          <w:kern w:val="0"/>
          <w:sz w:val="21"/>
          <w:szCs w:val="21"/>
          <w:highlight w:val="none"/>
          <w:lang w:val="en-US" w:eastAsia="zh-CN" w:bidi="ar"/>
        </w:rPr>
        <w:t>8</w:t>
      </w:r>
      <w:r>
        <w:rPr>
          <w:rStyle w:val="40"/>
          <w:rFonts w:hint="eastAsia" w:ascii="宋体" w:hAnsi="宋体" w:eastAsia="宋体" w:cs="宋体"/>
          <w:color w:val="auto"/>
          <w:kern w:val="0"/>
          <w:sz w:val="21"/>
          <w:szCs w:val="21"/>
          <w:highlight w:val="none"/>
          <w:lang w:val="en-US" w:eastAsia="zh-CN" w:bidi="ar"/>
        </w:rPr>
        <w:t>、《岩溶地区建筑地基基础技术规范》（</w:t>
      </w:r>
      <w:r>
        <w:rPr>
          <w:rStyle w:val="40"/>
          <w:rFonts w:hint="default" w:ascii="Times New Roman" w:hAnsi="Times New Roman" w:eastAsia="宋体" w:cs="Times New Roman"/>
          <w:color w:val="auto"/>
          <w:kern w:val="0"/>
          <w:sz w:val="21"/>
          <w:szCs w:val="21"/>
          <w:highlight w:val="none"/>
          <w:lang w:val="en-US" w:eastAsia="zh-CN" w:bidi="ar"/>
        </w:rPr>
        <w:t>DBJ45/024-2016</w:t>
      </w:r>
      <w:r>
        <w:rPr>
          <w:rStyle w:val="40"/>
          <w:rFonts w:hint="eastAsia" w:ascii="宋体" w:hAnsi="宋体" w:eastAsia="宋体" w:cs="宋体"/>
          <w:color w:val="auto"/>
          <w:kern w:val="0"/>
          <w:sz w:val="21"/>
          <w:szCs w:val="21"/>
          <w:highlight w:val="none"/>
          <w:lang w:val="en-US" w:eastAsia="zh-CN" w:bidi="ar"/>
        </w:rPr>
        <w:t>）；</w:t>
      </w:r>
      <w:r>
        <w:rPr>
          <w:rStyle w:val="40"/>
          <w:rFonts w:hint="default" w:ascii="Times New Roman" w:hAnsi="Times New Roman" w:eastAsia="宋体" w:cs="Times New Roman"/>
          <w:color w:val="auto"/>
          <w:kern w:val="0"/>
          <w:sz w:val="18"/>
          <w:szCs w:val="18"/>
          <w:highlight w:val="none"/>
          <w:lang w:val="en-US" w:eastAsia="zh-CN" w:bidi="ar"/>
        </w:rPr>
        <w:t xml:space="preserve">109 </w:t>
      </w:r>
    </w:p>
    <w:p w14:paraId="0A8752B4">
      <w:pPr>
        <w:pStyle w:val="101"/>
        <w:keepNext w:val="0"/>
        <w:keepLines w:val="0"/>
        <w:widowControl/>
        <w:suppressLineNumbers w:val="0"/>
        <w:spacing w:line="360" w:lineRule="auto"/>
        <w:jc w:val="left"/>
        <w:rPr>
          <w:rStyle w:val="40"/>
          <w:rFonts w:ascii="Times New Roman" w:hAnsi="Times New Roman" w:eastAsia="宋体" w:cs="Times New Roman"/>
          <w:color w:val="auto"/>
          <w:highlight w:val="none"/>
        </w:rPr>
      </w:pPr>
      <w:r>
        <w:rPr>
          <w:rStyle w:val="40"/>
          <w:rFonts w:hint="eastAsia" w:ascii="Calibri" w:hAnsi="Calibri" w:cs="Calibri"/>
          <w:color w:val="auto"/>
          <w:kern w:val="0"/>
          <w:sz w:val="21"/>
          <w:szCs w:val="21"/>
          <w:highlight w:val="none"/>
          <w:lang w:val="en-US" w:eastAsia="zh-CN" w:bidi="ar"/>
        </w:rPr>
        <w:t>9</w:t>
      </w:r>
      <w:r>
        <w:rPr>
          <w:rStyle w:val="40"/>
          <w:rFonts w:hint="eastAsia" w:ascii="宋体" w:hAnsi="宋体" w:eastAsia="宋体" w:cs="宋体"/>
          <w:color w:val="auto"/>
          <w:kern w:val="0"/>
          <w:sz w:val="21"/>
          <w:szCs w:val="21"/>
          <w:highlight w:val="none"/>
          <w:lang w:val="en-US" w:eastAsia="zh-CN" w:bidi="ar"/>
        </w:rPr>
        <w:t>、其它相关的规范、规程及手册</w:t>
      </w:r>
    </w:p>
    <w:p w14:paraId="36F13F58">
      <w:pPr>
        <w:pStyle w:val="100"/>
        <w:spacing w:before="0" w:after="0" w:line="360" w:lineRule="auto"/>
        <w:jc w:val="left"/>
        <w:rPr>
          <w:rStyle w:val="40"/>
          <w:rFonts w:hint="eastAsia" w:ascii="宋体" w:hAnsi="宋体" w:eastAsia="宋体" w:cs="Times New Roman"/>
          <w:color w:val="auto"/>
          <w:sz w:val="24"/>
          <w:szCs w:val="24"/>
          <w:highlight w:val="none"/>
        </w:rPr>
      </w:pPr>
      <w:bookmarkStart w:id="1255" w:name="_Toc56013414"/>
      <w:bookmarkStart w:id="1256" w:name="_Toc256000330"/>
      <w:bookmarkStart w:id="1257" w:name="_Toc1592"/>
      <w:r>
        <w:rPr>
          <w:rStyle w:val="40"/>
          <w:rFonts w:hint="eastAsia" w:ascii="宋体" w:hAnsi="宋体" w:eastAsia="宋体" w:cs="Times New Roman"/>
          <w:color w:val="auto"/>
          <w:sz w:val="24"/>
          <w:szCs w:val="24"/>
          <w:highlight w:val="none"/>
        </w:rPr>
        <w:t>三、成果文件要求</w:t>
      </w:r>
      <w:bookmarkEnd w:id="1255"/>
      <w:bookmarkEnd w:id="1256"/>
      <w:bookmarkEnd w:id="1257"/>
    </w:p>
    <w:p w14:paraId="45163E05">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1. 成果文件的组成：勘察报告、图纸等</w:t>
      </w:r>
    </w:p>
    <w:p w14:paraId="4ADE8431">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2. 成果文件的深度：成果文件的深度符合国家、地方的相关规范、标准、规程等要求。</w:t>
      </w:r>
    </w:p>
    <w:p w14:paraId="78CC6BB1">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3. 成果文件的格式要求：明确文本、图纸规格、装订要求、电子版格式等。</w:t>
      </w:r>
    </w:p>
    <w:p w14:paraId="3B51A5CA">
      <w:pPr>
        <w:pStyle w:val="101"/>
        <w:widowControl/>
        <w:spacing w:line="360" w:lineRule="auto"/>
        <w:ind w:firstLine="0" w:firstLineChars="0"/>
        <w:jc w:val="left"/>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4. 成果文件的份数要求：</w:t>
      </w:r>
      <w:r>
        <w:rPr>
          <w:rStyle w:val="40"/>
          <w:rFonts w:hint="eastAsia" w:ascii="宋体" w:hAnsi="宋体" w:eastAsia="宋体" w:cs="宋体"/>
          <w:color w:val="auto"/>
          <w:kern w:val="0"/>
          <w:sz w:val="21"/>
          <w:szCs w:val="21"/>
          <w:highlight w:val="none"/>
          <w:lang w:val="en-US" w:eastAsia="zh-CN" w:bidi="ar"/>
        </w:rPr>
        <w:t xml:space="preserve">详见专用条款。 </w:t>
      </w:r>
    </w:p>
    <w:p w14:paraId="206D8480">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5. 成果文件的载体要求：</w:t>
      </w:r>
    </w:p>
    <w:p w14:paraId="48C13300">
      <w:pPr>
        <w:pStyle w:val="101"/>
        <w:widowControl/>
        <w:spacing w:line="360" w:lineRule="auto"/>
        <w:ind w:firstLine="0" w:firstLineChars="0"/>
        <w:jc w:val="left"/>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（1）纸质版的要求：</w:t>
      </w:r>
      <w:r>
        <w:rPr>
          <w:rStyle w:val="40"/>
          <w:rFonts w:hint="eastAsia" w:ascii="宋体" w:hAnsi="宋体" w:eastAsia="宋体" w:cs="宋体"/>
          <w:color w:val="auto"/>
          <w:kern w:val="0"/>
          <w:sz w:val="21"/>
          <w:szCs w:val="21"/>
          <w:highlight w:val="none"/>
          <w:lang w:val="en-US" w:eastAsia="zh-CN" w:bidi="ar"/>
        </w:rPr>
        <w:t xml:space="preserve">详见专用条款。 </w:t>
      </w:r>
    </w:p>
    <w:p w14:paraId="654E0F0A">
      <w:pPr>
        <w:pStyle w:val="101"/>
        <w:keepNext w:val="0"/>
        <w:keepLines w:val="0"/>
        <w:widowControl/>
        <w:suppressLineNumbers w:val="0"/>
        <w:spacing w:line="360" w:lineRule="auto"/>
        <w:jc w:val="left"/>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（2）电子版的要求：</w:t>
      </w:r>
      <w:r>
        <w:rPr>
          <w:rStyle w:val="40"/>
          <w:rFonts w:hint="eastAsia" w:ascii="宋体" w:hAnsi="宋体" w:eastAsia="宋体" w:cs="宋体"/>
          <w:color w:val="auto"/>
          <w:kern w:val="0"/>
          <w:sz w:val="21"/>
          <w:szCs w:val="21"/>
          <w:highlight w:val="none"/>
          <w:lang w:val="en-US" w:eastAsia="zh-CN" w:bidi="ar"/>
        </w:rPr>
        <w:t>详见专用条款。</w:t>
      </w:r>
    </w:p>
    <w:p w14:paraId="55DC24C6">
      <w:pPr>
        <w:pStyle w:val="101"/>
        <w:widowControl/>
        <w:spacing w:line="360" w:lineRule="auto"/>
        <w:ind w:firstLine="0" w:firstLineChars="0"/>
        <w:jc w:val="left"/>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（3）其他要求：</w:t>
      </w:r>
      <w:r>
        <w:rPr>
          <w:rStyle w:val="40"/>
          <w:rFonts w:hint="eastAsia" w:ascii="宋体" w:hAnsi="宋体" w:eastAsia="宋体" w:cs="宋体"/>
          <w:color w:val="auto"/>
          <w:kern w:val="0"/>
          <w:sz w:val="21"/>
          <w:szCs w:val="21"/>
          <w:highlight w:val="none"/>
          <w:lang w:val="en-US" w:eastAsia="zh-CN" w:bidi="ar"/>
        </w:rPr>
        <w:t xml:space="preserve">详见专用条款。 </w:t>
      </w:r>
    </w:p>
    <w:p w14:paraId="0C26B58E">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6. 成果交付方式要求：明确成果文件交付的方式，包含时间、地点、自取或邮寄等。</w:t>
      </w:r>
    </w:p>
    <w:p w14:paraId="62358916">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7. 成果文件的其他要求：</w:t>
      </w:r>
      <w:r>
        <w:rPr>
          <w:rStyle w:val="40"/>
          <w:rFonts w:hint="eastAsia" w:ascii="宋体" w:hAnsi="宋体" w:cs="Times New Roman"/>
          <w:color w:val="auto"/>
          <w:szCs w:val="21"/>
          <w:highlight w:val="none"/>
          <w:lang w:eastAsia="zh-CN"/>
        </w:rPr>
        <w:t>☑</w:t>
      </w:r>
      <w:r>
        <w:rPr>
          <w:rStyle w:val="40"/>
          <w:rFonts w:hint="eastAsia" w:ascii="宋体" w:hAnsi="宋体" w:eastAsia="宋体" w:cs="Times New Roman"/>
          <w:color w:val="auto"/>
          <w:szCs w:val="21"/>
          <w:highlight w:val="none"/>
        </w:rPr>
        <w:t>无    □有，招标人的其他要求</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rPr>
        <w:t>。</w:t>
      </w:r>
    </w:p>
    <w:p w14:paraId="349EDBFA">
      <w:pPr>
        <w:pStyle w:val="100"/>
        <w:spacing w:before="0" w:after="0" w:line="360" w:lineRule="auto"/>
        <w:jc w:val="left"/>
        <w:rPr>
          <w:rStyle w:val="40"/>
          <w:rFonts w:hint="eastAsia" w:ascii="宋体" w:hAnsi="宋体" w:eastAsia="宋体" w:cs="Times New Roman"/>
          <w:color w:val="auto"/>
          <w:sz w:val="24"/>
          <w:szCs w:val="24"/>
          <w:highlight w:val="none"/>
        </w:rPr>
      </w:pPr>
      <w:bookmarkStart w:id="1258" w:name="_Toc56013415"/>
      <w:bookmarkStart w:id="1259" w:name="_Toc256000331"/>
      <w:bookmarkStart w:id="1260" w:name="_Toc25910"/>
      <w:r>
        <w:rPr>
          <w:rStyle w:val="40"/>
          <w:rFonts w:hint="eastAsia" w:ascii="宋体" w:hAnsi="宋体" w:eastAsia="宋体" w:cs="Times New Roman"/>
          <w:color w:val="auto"/>
          <w:sz w:val="24"/>
          <w:szCs w:val="24"/>
          <w:highlight w:val="none"/>
        </w:rPr>
        <w:t>四、</w:t>
      </w:r>
      <w:bookmarkStart w:id="1261" w:name="OLE_LINK29"/>
      <w:r>
        <w:rPr>
          <w:rStyle w:val="40"/>
          <w:rFonts w:hint="eastAsia" w:ascii="宋体" w:hAnsi="宋体" w:eastAsia="宋体" w:cs="Times New Roman"/>
          <w:color w:val="auto"/>
          <w:sz w:val="24"/>
          <w:szCs w:val="24"/>
          <w:highlight w:val="none"/>
        </w:rPr>
        <w:t>发包人</w:t>
      </w:r>
      <w:bookmarkEnd w:id="1261"/>
      <w:r>
        <w:rPr>
          <w:rStyle w:val="40"/>
          <w:rFonts w:hint="eastAsia" w:ascii="宋体" w:hAnsi="宋体" w:eastAsia="宋体" w:cs="Times New Roman"/>
          <w:color w:val="auto"/>
          <w:sz w:val="24"/>
          <w:szCs w:val="24"/>
          <w:highlight w:val="none"/>
        </w:rPr>
        <w:t>财产清单</w:t>
      </w:r>
      <w:bookmarkEnd w:id="1258"/>
      <w:bookmarkEnd w:id="1259"/>
      <w:bookmarkEnd w:id="1260"/>
    </w:p>
    <w:p w14:paraId="4A527F57">
      <w:pPr>
        <w:pStyle w:val="101"/>
        <w:spacing w:line="360" w:lineRule="auto"/>
        <w:ind w:firstLine="420" w:firstLineChars="200"/>
        <w:outlineLvl w:val="0"/>
        <w:rPr>
          <w:rStyle w:val="40"/>
          <w:rFonts w:hint="eastAsia" w:ascii="宋体" w:hAnsi="宋体" w:eastAsia="宋体" w:cs="Times New Roman"/>
          <w:color w:val="auto"/>
          <w:szCs w:val="21"/>
          <w:highlight w:val="none"/>
        </w:rPr>
      </w:pPr>
      <w:bookmarkStart w:id="1262" w:name="_Toc256000332"/>
      <w:r>
        <w:rPr>
          <w:rStyle w:val="40"/>
          <w:rFonts w:hint="eastAsia" w:ascii="宋体" w:hAnsi="宋体" w:eastAsia="宋体" w:cs="Times New Roman"/>
          <w:color w:val="auto"/>
          <w:szCs w:val="21"/>
          <w:highlight w:val="none"/>
        </w:rPr>
        <w:t>（一）发包人提供的设备、设施：</w:t>
      </w:r>
      <w:bookmarkEnd w:id="1262"/>
    </w:p>
    <w:p w14:paraId="699B351D">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lang w:eastAsia="zh-CN"/>
        </w:rPr>
        <w:t>☑</w:t>
      </w:r>
      <w:r>
        <w:rPr>
          <w:rStyle w:val="40"/>
          <w:rFonts w:hint="eastAsia" w:ascii="宋体" w:hAnsi="宋体" w:eastAsia="宋体" w:cs="Times New Roman"/>
          <w:color w:val="auto"/>
          <w:szCs w:val="21"/>
          <w:highlight w:val="none"/>
        </w:rPr>
        <w:t>无    □ 提供的设施及设备，如办公室数量及面积、空调、电脑、投影、打印机、复印机、办公桌椅、文件柜等</w:t>
      </w:r>
    </w:p>
    <w:p w14:paraId="24E204FE">
      <w:pPr>
        <w:pStyle w:val="101"/>
        <w:spacing w:line="360" w:lineRule="auto"/>
        <w:ind w:firstLine="420" w:firstLineChars="200"/>
        <w:outlineLvl w:val="0"/>
        <w:rPr>
          <w:rStyle w:val="40"/>
          <w:rFonts w:hint="eastAsia" w:ascii="宋体" w:hAnsi="宋体" w:eastAsia="宋体" w:cs="Times New Roman"/>
          <w:color w:val="auto"/>
          <w:szCs w:val="21"/>
          <w:highlight w:val="none"/>
        </w:rPr>
      </w:pPr>
      <w:bookmarkStart w:id="1263" w:name="_Toc256000333"/>
      <w:r>
        <w:rPr>
          <w:rStyle w:val="40"/>
          <w:rFonts w:hint="eastAsia" w:ascii="宋体" w:hAnsi="宋体" w:eastAsia="宋体" w:cs="Times New Roman"/>
          <w:color w:val="auto"/>
          <w:szCs w:val="21"/>
          <w:highlight w:val="none"/>
        </w:rPr>
        <w:t>（二）发包人提供的资料</w:t>
      </w:r>
      <w:bookmarkEnd w:id="1263"/>
    </w:p>
    <w:p w14:paraId="11D3798C">
      <w:pPr>
        <w:pStyle w:val="101"/>
        <w:spacing w:line="360" w:lineRule="auto"/>
        <w:ind w:firstLine="420" w:firstLineChars="200"/>
        <w:rPr>
          <w:rStyle w:val="40"/>
          <w:rFonts w:hint="eastAsia" w:ascii="宋体" w:hAnsi="宋体" w:eastAsia="宋体" w:cs="Times New Roman"/>
          <w:color w:val="auto"/>
          <w:szCs w:val="21"/>
          <w:highlight w:val="none"/>
          <w:lang w:eastAsia="zh-CN"/>
        </w:rPr>
      </w:pPr>
      <w:r>
        <w:rPr>
          <w:rStyle w:val="40"/>
          <w:rFonts w:hint="eastAsia" w:ascii="宋体" w:hAnsi="宋体" w:eastAsia="宋体" w:cs="Times New Roman"/>
          <w:color w:val="auto"/>
          <w:szCs w:val="21"/>
          <w:highlight w:val="none"/>
        </w:rPr>
        <w:t xml:space="preserve">1.  </w:t>
      </w:r>
      <w:r>
        <w:rPr>
          <w:rStyle w:val="40"/>
          <w:rFonts w:ascii="宋体" w:hAnsi="宋体" w:eastAsia="宋体" w:cs="Times New Roman"/>
          <w:color w:val="auto"/>
          <w:spacing w:val="-5"/>
          <w:szCs w:val="21"/>
          <w:highlight w:val="none"/>
        </w:rPr>
        <w:t>施工场地及毗邻区域内的供水、排水、供电、供气、供热、通信、广播电视等地下管线资料、气象和水文观测资料，相邻建筑物和构筑物、地下工程的有关资料，以及其他与建设工</w:t>
      </w:r>
      <w:r>
        <w:rPr>
          <w:rStyle w:val="40"/>
          <w:rFonts w:ascii="宋体" w:hAnsi="宋体" w:eastAsia="宋体" w:cs="Times New Roman"/>
          <w:color w:val="auto"/>
          <w:spacing w:val="-4"/>
          <w:szCs w:val="21"/>
          <w:highlight w:val="none"/>
        </w:rPr>
        <w:t>程有关的原始资料</w:t>
      </w:r>
      <w:r>
        <w:rPr>
          <w:rStyle w:val="40"/>
          <w:rFonts w:hint="eastAsia" w:ascii="宋体" w:hAnsi="宋体" w:eastAsia="宋体" w:cs="Times New Roman"/>
          <w:color w:val="auto"/>
          <w:spacing w:val="-4"/>
          <w:szCs w:val="21"/>
          <w:highlight w:val="none"/>
          <w:lang w:eastAsia="zh-CN"/>
        </w:rPr>
        <w:t>；</w:t>
      </w:r>
    </w:p>
    <w:p w14:paraId="1BB439A6">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2. 定位放线的基准点、基准线和基准标高；</w:t>
      </w:r>
    </w:p>
    <w:p w14:paraId="5BE92C99">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3. 发包人取得的有关审批、核准和备案材料，如规划许可证；</w:t>
      </w:r>
    </w:p>
    <w:p w14:paraId="2C986A56">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4. 发包人提供的总平图资料；</w:t>
      </w:r>
    </w:p>
    <w:p w14:paraId="5750F387">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5. 发包人提供的技术标准、规范；</w:t>
      </w:r>
    </w:p>
    <w:p w14:paraId="1DF50150">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6. 其他资料。</w:t>
      </w:r>
    </w:p>
    <w:p w14:paraId="59137827">
      <w:pPr>
        <w:pStyle w:val="101"/>
        <w:spacing w:line="360" w:lineRule="auto"/>
        <w:ind w:firstLine="420" w:firstLineChars="200"/>
        <w:outlineLvl w:val="0"/>
        <w:rPr>
          <w:rStyle w:val="40"/>
          <w:rFonts w:hint="eastAsia" w:ascii="宋体" w:hAnsi="宋体" w:eastAsia="宋体" w:cs="Times New Roman"/>
          <w:color w:val="auto"/>
          <w:szCs w:val="21"/>
          <w:highlight w:val="none"/>
        </w:rPr>
      </w:pPr>
      <w:bookmarkStart w:id="1264" w:name="_Toc256000334"/>
      <w:r>
        <w:rPr>
          <w:rStyle w:val="40"/>
          <w:rFonts w:hint="eastAsia" w:ascii="宋体" w:hAnsi="宋体" w:eastAsia="宋体" w:cs="Times New Roman"/>
          <w:color w:val="auto"/>
          <w:szCs w:val="21"/>
          <w:highlight w:val="none"/>
        </w:rPr>
        <w:t>（三）发包人财产使用要求及退还要求</w:t>
      </w:r>
      <w:bookmarkEnd w:id="1264"/>
    </w:p>
    <w:p w14:paraId="13F2ACC6">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1. 发包人财产使用要求：</w:t>
      </w:r>
      <w:r>
        <w:rPr>
          <w:rStyle w:val="40"/>
          <w:rFonts w:hint="eastAsia" w:ascii="宋体" w:hAnsi="宋体" w:eastAsia="宋体" w:cs="Times New Roman"/>
          <w:color w:val="auto"/>
          <w:szCs w:val="21"/>
          <w:highlight w:val="none"/>
          <w:lang w:eastAsia="zh-CN"/>
        </w:rPr>
        <w:t>☑</w:t>
      </w:r>
      <w:r>
        <w:rPr>
          <w:rStyle w:val="40"/>
          <w:rFonts w:hint="eastAsia" w:ascii="宋体" w:hAnsi="宋体" w:eastAsia="宋体" w:cs="Times New Roman"/>
          <w:color w:val="auto"/>
          <w:szCs w:val="21"/>
          <w:highlight w:val="none"/>
        </w:rPr>
        <w:t>无    □ 使用的要求</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u w:val="single"/>
          <w:lang w:val="en-US" w:eastAsia="zh-CN"/>
        </w:rPr>
        <w:t>/</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rPr>
        <w:t>。</w:t>
      </w:r>
    </w:p>
    <w:p w14:paraId="58BC4058">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2. 发包人财产退还要求：</w:t>
      </w:r>
      <w:r>
        <w:rPr>
          <w:rStyle w:val="40"/>
          <w:rFonts w:hint="eastAsia" w:ascii="宋体" w:hAnsi="宋体" w:eastAsia="宋体" w:cs="Times New Roman"/>
          <w:color w:val="auto"/>
          <w:szCs w:val="21"/>
          <w:highlight w:val="none"/>
          <w:lang w:eastAsia="zh-CN"/>
        </w:rPr>
        <w:t>☑</w:t>
      </w:r>
      <w:r>
        <w:rPr>
          <w:rStyle w:val="40"/>
          <w:rFonts w:hint="eastAsia" w:ascii="宋体" w:hAnsi="宋体" w:eastAsia="宋体" w:cs="Times New Roman"/>
          <w:color w:val="auto"/>
          <w:szCs w:val="21"/>
          <w:highlight w:val="none"/>
        </w:rPr>
        <w:t>无    □ 归还期限</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u w:val="single"/>
          <w:lang w:val="en-US" w:eastAsia="zh-CN"/>
        </w:rPr>
        <w:t>/</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rPr>
        <w:t>。</w:t>
      </w:r>
    </w:p>
    <w:p w14:paraId="09458CBE">
      <w:pPr>
        <w:pStyle w:val="100"/>
        <w:spacing w:before="0" w:after="0" w:line="360" w:lineRule="auto"/>
        <w:jc w:val="left"/>
        <w:rPr>
          <w:rStyle w:val="40"/>
          <w:rFonts w:hint="eastAsia" w:ascii="宋体" w:hAnsi="宋体" w:eastAsia="宋体" w:cs="Times New Roman"/>
          <w:color w:val="auto"/>
          <w:sz w:val="24"/>
          <w:szCs w:val="24"/>
          <w:highlight w:val="none"/>
        </w:rPr>
      </w:pPr>
      <w:bookmarkStart w:id="1265" w:name="_Toc29262"/>
      <w:bookmarkStart w:id="1266" w:name="_Toc56013416"/>
      <w:bookmarkStart w:id="1267" w:name="_Toc256000335"/>
      <w:r>
        <w:rPr>
          <w:rStyle w:val="40"/>
          <w:rFonts w:hint="eastAsia" w:ascii="宋体" w:hAnsi="宋体" w:eastAsia="宋体" w:cs="Times New Roman"/>
          <w:color w:val="auto"/>
          <w:sz w:val="24"/>
          <w:szCs w:val="24"/>
          <w:highlight w:val="none"/>
        </w:rPr>
        <w:t>五、发包人提供的便利条件</w:t>
      </w:r>
      <w:bookmarkEnd w:id="1265"/>
      <w:bookmarkEnd w:id="1266"/>
      <w:bookmarkEnd w:id="1267"/>
    </w:p>
    <w:p w14:paraId="2EC9A2A4">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1. 发包人提供的生活条件：</w:t>
      </w:r>
      <w:r>
        <w:rPr>
          <w:rStyle w:val="40"/>
          <w:rFonts w:hint="eastAsia" w:ascii="宋体" w:hAnsi="宋体" w:eastAsia="宋体" w:cs="Times New Roman"/>
          <w:color w:val="auto"/>
          <w:szCs w:val="21"/>
          <w:highlight w:val="none"/>
          <w:lang w:eastAsia="zh-CN"/>
        </w:rPr>
        <w:t>☑</w:t>
      </w:r>
      <w:r>
        <w:rPr>
          <w:rStyle w:val="40"/>
          <w:rFonts w:hint="eastAsia" w:ascii="宋体" w:hAnsi="宋体" w:eastAsia="宋体" w:cs="Times New Roman"/>
          <w:color w:val="auto"/>
          <w:szCs w:val="21"/>
          <w:highlight w:val="none"/>
        </w:rPr>
        <w:t>无    □ 提供的条件</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u w:val="single"/>
          <w:lang w:val="en-US" w:eastAsia="zh-CN"/>
        </w:rPr>
        <w:t>/</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rPr>
        <w:t>。</w:t>
      </w:r>
    </w:p>
    <w:p w14:paraId="47CED558">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2. 发包人提供的交通条件：</w:t>
      </w:r>
      <w:r>
        <w:rPr>
          <w:rStyle w:val="40"/>
          <w:rFonts w:hint="eastAsia" w:ascii="宋体" w:hAnsi="宋体" w:eastAsia="宋体" w:cs="Times New Roman"/>
          <w:color w:val="auto"/>
          <w:szCs w:val="21"/>
          <w:highlight w:val="none"/>
          <w:lang w:eastAsia="zh-CN"/>
        </w:rPr>
        <w:t>☑</w:t>
      </w:r>
      <w:r>
        <w:rPr>
          <w:rStyle w:val="40"/>
          <w:rFonts w:hint="eastAsia" w:ascii="宋体" w:hAnsi="宋体" w:eastAsia="宋体" w:cs="Times New Roman"/>
          <w:color w:val="auto"/>
          <w:szCs w:val="21"/>
          <w:highlight w:val="none"/>
        </w:rPr>
        <w:t>无    □ 提供的条件</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u w:val="single"/>
          <w:lang w:val="en-US" w:eastAsia="zh-CN"/>
        </w:rPr>
        <w:t>/</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rPr>
        <w:t>。</w:t>
      </w:r>
    </w:p>
    <w:p w14:paraId="6B12D282">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3. 发包人提供的网络、通讯条件：</w:t>
      </w:r>
      <w:r>
        <w:rPr>
          <w:rStyle w:val="40"/>
          <w:rFonts w:hint="eastAsia" w:ascii="宋体" w:hAnsi="宋体" w:eastAsia="宋体" w:cs="Times New Roman"/>
          <w:color w:val="auto"/>
          <w:szCs w:val="21"/>
          <w:highlight w:val="none"/>
          <w:lang w:eastAsia="zh-CN"/>
        </w:rPr>
        <w:t>☑</w:t>
      </w:r>
      <w:r>
        <w:rPr>
          <w:rStyle w:val="40"/>
          <w:rFonts w:hint="eastAsia" w:ascii="宋体" w:hAnsi="宋体" w:eastAsia="宋体" w:cs="Times New Roman"/>
          <w:color w:val="auto"/>
          <w:szCs w:val="21"/>
          <w:highlight w:val="none"/>
        </w:rPr>
        <w:t>无    □ 提供的条件</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u w:val="single"/>
          <w:lang w:val="en-US" w:eastAsia="zh-CN"/>
        </w:rPr>
        <w:t>/</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rPr>
        <w:t>。</w:t>
      </w:r>
    </w:p>
    <w:p w14:paraId="2BBB2E08">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4. 发包人提供的协助人员：</w:t>
      </w:r>
      <w:r>
        <w:rPr>
          <w:rStyle w:val="40"/>
          <w:rFonts w:hint="eastAsia" w:ascii="宋体" w:hAnsi="宋体" w:eastAsia="宋体" w:cs="Times New Roman"/>
          <w:color w:val="auto"/>
          <w:szCs w:val="21"/>
          <w:highlight w:val="none"/>
          <w:lang w:eastAsia="zh-CN"/>
        </w:rPr>
        <w:t>☑</w:t>
      </w:r>
      <w:r>
        <w:rPr>
          <w:rStyle w:val="40"/>
          <w:rFonts w:hint="eastAsia" w:ascii="宋体" w:hAnsi="宋体" w:eastAsia="宋体" w:cs="Times New Roman"/>
          <w:color w:val="auto"/>
          <w:szCs w:val="21"/>
          <w:highlight w:val="none"/>
        </w:rPr>
        <w:t>无    □有</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u w:val="single"/>
          <w:lang w:val="en-US" w:eastAsia="zh-CN"/>
        </w:rPr>
        <w:t>/</w:t>
      </w:r>
      <w:r>
        <w:rPr>
          <w:rStyle w:val="40"/>
          <w:rFonts w:hint="eastAsia" w:ascii="宋体" w:hAnsi="宋体" w:eastAsia="宋体" w:cs="Times New Roman"/>
          <w:color w:val="auto"/>
          <w:szCs w:val="21"/>
          <w:highlight w:val="none"/>
          <w:u w:val="single"/>
        </w:rPr>
        <w:t xml:space="preserve">                   </w:t>
      </w:r>
      <w:r>
        <w:rPr>
          <w:rStyle w:val="40"/>
          <w:rFonts w:hint="eastAsia" w:ascii="宋体" w:hAnsi="宋体" w:eastAsia="宋体" w:cs="Times New Roman"/>
          <w:color w:val="auto"/>
          <w:szCs w:val="21"/>
          <w:highlight w:val="none"/>
        </w:rPr>
        <w:t>。</w:t>
      </w:r>
    </w:p>
    <w:p w14:paraId="24CEEF89">
      <w:pPr>
        <w:pStyle w:val="100"/>
        <w:spacing w:before="0" w:after="0" w:line="360" w:lineRule="auto"/>
        <w:jc w:val="left"/>
        <w:rPr>
          <w:rStyle w:val="40"/>
          <w:rFonts w:hint="eastAsia" w:ascii="宋体" w:hAnsi="宋体" w:eastAsia="宋体" w:cs="Times New Roman"/>
          <w:color w:val="auto"/>
          <w:sz w:val="24"/>
          <w:szCs w:val="24"/>
          <w:highlight w:val="none"/>
        </w:rPr>
      </w:pPr>
      <w:bookmarkStart w:id="1268" w:name="_Toc256000336"/>
      <w:bookmarkStart w:id="1269" w:name="_Toc3326"/>
      <w:bookmarkStart w:id="1270" w:name="_Toc56013417"/>
      <w:r>
        <w:rPr>
          <w:rStyle w:val="40"/>
          <w:rFonts w:hint="eastAsia" w:ascii="宋体" w:hAnsi="宋体" w:eastAsia="宋体" w:cs="Times New Roman"/>
          <w:color w:val="auto"/>
          <w:sz w:val="24"/>
          <w:szCs w:val="24"/>
          <w:highlight w:val="none"/>
        </w:rPr>
        <w:t>六、勘察人需要自备的工作条件</w:t>
      </w:r>
      <w:bookmarkEnd w:id="1268"/>
      <w:bookmarkEnd w:id="1269"/>
      <w:bookmarkEnd w:id="1270"/>
    </w:p>
    <w:p w14:paraId="5D211EEF">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1. 勘察人自备的工作手册：如本项目必备的规范标准、图集等</w:t>
      </w:r>
    </w:p>
    <w:p w14:paraId="59CE9414">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2. 勘察人自备的办公设备：如电脑、软件、投影、打印机、复印机、照相机等</w:t>
      </w:r>
    </w:p>
    <w:p w14:paraId="230AC4E4">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3. 勘察人自备的交通工具：如出行车辆等</w:t>
      </w:r>
    </w:p>
    <w:p w14:paraId="0C768201">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4. 勘察人自备的现场办公设施：如办公桌椅、文件柜等</w:t>
      </w:r>
    </w:p>
    <w:p w14:paraId="735BD3DE">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5. 勘察人自备的安全设施：如安全帽、安全鞋、手电筒等</w:t>
      </w:r>
    </w:p>
    <w:p w14:paraId="195C2576">
      <w:pPr>
        <w:pStyle w:val="100"/>
        <w:spacing w:before="0" w:after="0" w:line="360" w:lineRule="auto"/>
        <w:jc w:val="left"/>
        <w:rPr>
          <w:rStyle w:val="40"/>
          <w:rFonts w:hint="eastAsia" w:ascii="宋体" w:hAnsi="宋体" w:eastAsia="宋体" w:cs="Times New Roman"/>
          <w:color w:val="auto"/>
          <w:sz w:val="24"/>
          <w:szCs w:val="24"/>
          <w:highlight w:val="none"/>
        </w:rPr>
      </w:pPr>
      <w:bookmarkStart w:id="1271" w:name="_Toc256000337"/>
      <w:bookmarkStart w:id="1272" w:name="_Toc56013418"/>
      <w:bookmarkStart w:id="1273" w:name="_Toc30324"/>
      <w:r>
        <w:rPr>
          <w:rStyle w:val="40"/>
          <w:rFonts w:hint="eastAsia" w:ascii="宋体" w:hAnsi="宋体" w:eastAsia="宋体" w:cs="Times New Roman"/>
          <w:color w:val="auto"/>
          <w:sz w:val="24"/>
          <w:szCs w:val="24"/>
          <w:highlight w:val="none"/>
        </w:rPr>
        <w:t>七、发包人的其他要求</w:t>
      </w:r>
      <w:bookmarkEnd w:id="1271"/>
      <w:bookmarkEnd w:id="1272"/>
      <w:bookmarkEnd w:id="1273"/>
    </w:p>
    <w:p w14:paraId="0786F895">
      <w:pPr>
        <w:pStyle w:val="101"/>
        <w:spacing w:line="360" w:lineRule="auto"/>
        <w:ind w:firstLine="420" w:firstLineChars="200"/>
        <w:rPr>
          <w:rStyle w:val="40"/>
          <w:rFonts w:hint="eastAsia" w:ascii="宋体" w:hAnsi="宋体" w:eastAsia="宋体" w:cs="Times New Roman"/>
          <w:color w:val="auto"/>
          <w:szCs w:val="21"/>
          <w:highlight w:val="none"/>
        </w:rPr>
      </w:pPr>
      <w:r>
        <w:rPr>
          <w:rStyle w:val="40"/>
          <w:rFonts w:hint="eastAsia" w:ascii="宋体" w:hAnsi="宋体" w:eastAsia="宋体" w:cs="Times New Roman"/>
          <w:color w:val="auto"/>
          <w:szCs w:val="21"/>
          <w:highlight w:val="none"/>
        </w:rPr>
        <w:t>发包人认为需事先约定的内容，如配合报建、保密措施、知识产权归属、勘察服务、勘察费支付条件以及支付方式、开票要求等。</w:t>
      </w:r>
    </w:p>
    <w:p w14:paraId="03FDFF26">
      <w:pPr>
        <w:pStyle w:val="22"/>
        <w:rPr>
          <w:color w:val="auto"/>
          <w:highlight w:val="none"/>
        </w:rPr>
      </w:pPr>
    </w:p>
    <w:p w14:paraId="4EAB1AA8">
      <w:pPr>
        <w:pStyle w:val="22"/>
        <w:rPr>
          <w:color w:val="auto"/>
          <w:highlight w:val="none"/>
        </w:rPr>
      </w:pPr>
    </w:p>
    <w:p w14:paraId="67DD9B02">
      <w:pPr>
        <w:pStyle w:val="22"/>
        <w:rPr>
          <w:color w:val="auto"/>
          <w:highlight w:val="none"/>
        </w:rPr>
      </w:pPr>
    </w:p>
    <w:p w14:paraId="020E0060">
      <w:pPr>
        <w:pStyle w:val="22"/>
        <w:rPr>
          <w:color w:val="auto"/>
          <w:highlight w:val="none"/>
        </w:rPr>
      </w:pPr>
    </w:p>
    <w:p w14:paraId="4B82BF28">
      <w:pPr>
        <w:pStyle w:val="22"/>
        <w:rPr>
          <w:color w:val="auto"/>
          <w:highlight w:val="none"/>
        </w:rPr>
      </w:pPr>
    </w:p>
    <w:p w14:paraId="3060BD3B">
      <w:pPr>
        <w:pStyle w:val="22"/>
        <w:rPr>
          <w:color w:val="auto"/>
          <w:highlight w:val="none"/>
        </w:rPr>
      </w:pPr>
    </w:p>
    <w:p w14:paraId="0DE36410">
      <w:pPr>
        <w:pStyle w:val="22"/>
        <w:rPr>
          <w:color w:val="auto"/>
          <w:highlight w:val="none"/>
        </w:rPr>
      </w:pPr>
    </w:p>
    <w:p w14:paraId="17992A0A">
      <w:pPr>
        <w:pStyle w:val="22"/>
        <w:rPr>
          <w:color w:val="auto"/>
          <w:highlight w:val="none"/>
        </w:rPr>
      </w:pPr>
    </w:p>
    <w:p w14:paraId="779A7AAE">
      <w:pPr>
        <w:pStyle w:val="22"/>
        <w:rPr>
          <w:color w:val="auto"/>
          <w:highlight w:val="none"/>
        </w:rPr>
      </w:pPr>
    </w:p>
    <w:p w14:paraId="187242C0">
      <w:pPr>
        <w:pStyle w:val="22"/>
        <w:rPr>
          <w:color w:val="auto"/>
          <w:highlight w:val="none"/>
        </w:rPr>
      </w:pPr>
    </w:p>
    <w:p w14:paraId="43D50109">
      <w:pPr>
        <w:pStyle w:val="22"/>
        <w:rPr>
          <w:color w:val="auto"/>
          <w:highlight w:val="none"/>
        </w:rPr>
      </w:pPr>
    </w:p>
    <w:p w14:paraId="25D84238">
      <w:pPr>
        <w:pStyle w:val="22"/>
        <w:rPr>
          <w:color w:val="auto"/>
          <w:highlight w:val="none"/>
        </w:rPr>
      </w:pPr>
    </w:p>
    <w:p w14:paraId="42004B02">
      <w:pPr>
        <w:pStyle w:val="22"/>
        <w:rPr>
          <w:color w:val="auto"/>
          <w:highlight w:val="none"/>
        </w:rPr>
      </w:pPr>
    </w:p>
    <w:p w14:paraId="7005A1E2">
      <w:pPr>
        <w:pStyle w:val="22"/>
        <w:rPr>
          <w:color w:val="auto"/>
          <w:highlight w:val="none"/>
        </w:rPr>
      </w:pPr>
    </w:p>
    <w:p w14:paraId="4F78ACCF">
      <w:pPr>
        <w:rPr>
          <w:rFonts w:ascii="宋体" w:hAnsi="宋体"/>
          <w:color w:val="auto"/>
          <w:highlight w:val="none"/>
        </w:rPr>
      </w:pPr>
    </w:p>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14:paraId="6885D5DD">
      <w:pPr>
        <w:pStyle w:val="2"/>
        <w:spacing w:before="120" w:after="120" w:line="240" w:lineRule="auto"/>
        <w:ind w:left="0" w:right="-57" w:rightChars="-27" w:firstLine="0"/>
        <w:rPr>
          <w:rFonts w:ascii="黑体" w:hAnsi="黑体" w:eastAsia="黑体"/>
          <w:b w:val="0"/>
          <w:color w:val="auto"/>
          <w:highlight w:val="none"/>
        </w:rPr>
      </w:pPr>
      <w:bookmarkStart w:id="1274" w:name="_Toc12984811"/>
      <w:bookmarkStart w:id="1275" w:name="_Toc13328"/>
      <w:bookmarkStart w:id="1276" w:name="_Toc18876"/>
      <w:bookmarkStart w:id="1277" w:name="_Toc28662"/>
      <w:bookmarkStart w:id="1278" w:name="_Toc11582"/>
      <w:bookmarkStart w:id="1279" w:name="_Toc114134667"/>
      <w:bookmarkStart w:id="1280" w:name="_Toc17687"/>
      <w:bookmarkStart w:id="1281" w:name="_Toc414290525"/>
      <w:bookmarkStart w:id="1282" w:name="_Toc29358"/>
      <w:bookmarkStart w:id="1283" w:name="_Toc24971"/>
      <w:bookmarkStart w:id="1284" w:name="_Toc8874"/>
      <w:bookmarkStart w:id="1285" w:name="_Toc492478807"/>
      <w:bookmarkStart w:id="1286" w:name="_Toc10812"/>
      <w:bookmarkStart w:id="1287" w:name="_Toc14586"/>
      <w:bookmarkStart w:id="1288" w:name="_Toc12677"/>
      <w:bookmarkStart w:id="1289" w:name="_Toc8451"/>
      <w:bookmarkStart w:id="1290" w:name="_Toc14988"/>
      <w:bookmarkStart w:id="1291" w:name="_Toc9618"/>
      <w:bookmarkStart w:id="1292" w:name="_Toc27820"/>
      <w:bookmarkStart w:id="1293" w:name="_Toc536355246"/>
      <w:bookmarkStart w:id="1294" w:name="_Toc12983551"/>
      <w:bookmarkStart w:id="1295" w:name="_Toc8914"/>
      <w:bookmarkStart w:id="1296" w:name="_Toc16676"/>
      <w:bookmarkStart w:id="1297" w:name="_Toc23770"/>
    </w:p>
    <w:p w14:paraId="7307438B">
      <w:pPr>
        <w:rPr>
          <w:color w:val="auto"/>
          <w:highlight w:val="none"/>
        </w:rPr>
      </w:pPr>
    </w:p>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14:paraId="6A1124DA">
      <w:pPr>
        <w:rPr>
          <w:color w:val="auto"/>
          <w:highlight w:val="none"/>
        </w:rPr>
      </w:pPr>
      <w:bookmarkStart w:id="1298" w:name="_Toc9823"/>
      <w:bookmarkStart w:id="1299" w:name="_Toc114134662"/>
    </w:p>
    <w:p w14:paraId="5390EF20">
      <w:pPr>
        <w:pStyle w:val="2"/>
        <w:spacing w:before="120" w:after="120" w:line="240" w:lineRule="auto"/>
        <w:ind w:left="0" w:right="-57" w:rightChars="-27" w:firstLine="0"/>
        <w:jc w:val="center"/>
        <w:rPr>
          <w:rFonts w:ascii="黑体" w:hAnsi="黑体" w:eastAsia="黑体"/>
          <w:b w:val="0"/>
          <w:color w:val="auto"/>
          <w:highlight w:val="none"/>
        </w:rPr>
      </w:pPr>
      <w:r>
        <w:rPr>
          <w:rFonts w:hint="eastAsia" w:ascii="黑体" w:hAnsi="黑体" w:eastAsia="黑体"/>
          <w:b w:val="0"/>
          <w:color w:val="auto"/>
          <w:highlight w:val="none"/>
        </w:rPr>
        <w:t>第</w:t>
      </w:r>
      <w:r>
        <w:rPr>
          <w:rFonts w:hint="eastAsia" w:ascii="黑体" w:hAnsi="黑体" w:eastAsia="黑体"/>
          <w:b w:val="0"/>
          <w:color w:val="auto"/>
          <w:highlight w:val="none"/>
          <w:lang w:val="en-US" w:eastAsia="zh-CN"/>
        </w:rPr>
        <w:t>五</w:t>
      </w:r>
      <w:r>
        <w:rPr>
          <w:rFonts w:hint="eastAsia" w:ascii="黑体" w:hAnsi="黑体" w:eastAsia="黑体"/>
          <w:b w:val="0"/>
          <w:color w:val="auto"/>
          <w:highlight w:val="none"/>
        </w:rPr>
        <w:t>章</w:t>
      </w:r>
      <w:r>
        <w:rPr>
          <w:rFonts w:ascii="黑体" w:hAnsi="黑体" w:eastAsia="黑体"/>
          <w:b w:val="0"/>
          <w:color w:val="auto"/>
          <w:highlight w:val="none"/>
        </w:rPr>
        <w:t xml:space="preserve"> </w:t>
      </w:r>
      <w:r>
        <w:rPr>
          <w:rFonts w:hint="eastAsia" w:ascii="黑体" w:hAnsi="黑体" w:eastAsia="黑体"/>
          <w:b w:val="0"/>
          <w:color w:val="auto"/>
          <w:highlight w:val="none"/>
        </w:rPr>
        <w:t>比选申请文件</w:t>
      </w:r>
      <w:r>
        <w:rPr>
          <w:rFonts w:ascii="黑体" w:hAnsi="黑体" w:eastAsia="黑体"/>
          <w:b w:val="0"/>
          <w:color w:val="auto"/>
          <w:highlight w:val="none"/>
        </w:rPr>
        <w:t>格式</w:t>
      </w:r>
    </w:p>
    <w:p w14:paraId="7BEC63FE">
      <w:pPr>
        <w:pStyle w:val="35"/>
        <w:spacing w:before="0" w:beforeAutospacing="0" w:after="0" w:afterAutospacing="0" w:line="500" w:lineRule="exact"/>
        <w:jc w:val="both"/>
        <w:rPr>
          <w:rFonts w:ascii="宋体" w:hAnsi="宋体" w:eastAsia="宋体" w:cs="宋体"/>
          <w:bCs/>
          <w:color w:val="auto"/>
          <w:sz w:val="44"/>
          <w:szCs w:val="44"/>
          <w:highlight w:val="none"/>
          <w:lang w:val="zh-CN"/>
        </w:rPr>
      </w:pPr>
    </w:p>
    <w:p w14:paraId="703C027C">
      <w:pPr>
        <w:spacing w:before="240" w:beforeLines="100"/>
        <w:jc w:val="center"/>
        <w:rPr>
          <w:rFonts w:cs="宋体"/>
          <w:color w:val="auto"/>
          <w:sz w:val="52"/>
          <w:szCs w:val="52"/>
          <w:highlight w:val="none"/>
          <w:u w:val="single"/>
        </w:rPr>
      </w:pPr>
      <w:r>
        <w:rPr>
          <w:rFonts w:hint="eastAsia" w:ascii="宋体" w:hAnsi="宋体" w:cs="宋体"/>
          <w:bCs/>
          <w:color w:val="auto"/>
          <w:sz w:val="44"/>
          <w:szCs w:val="44"/>
          <w:highlight w:val="none"/>
          <w:lang w:val="zh-CN"/>
        </w:rPr>
        <w:t>南宁市白沙半岛片区城中村改造项目安置住房小区（地块1）地质勘察</w:t>
      </w:r>
    </w:p>
    <w:p w14:paraId="40E7ECF2">
      <w:pPr>
        <w:spacing w:before="240" w:beforeLines="100"/>
        <w:jc w:val="center"/>
        <w:rPr>
          <w:color w:val="auto"/>
          <w:sz w:val="32"/>
          <w:szCs w:val="32"/>
          <w:highlight w:val="none"/>
        </w:rPr>
      </w:pPr>
      <w:r>
        <w:rPr>
          <w:rFonts w:hint="eastAsia" w:cs="宋体"/>
          <w:color w:val="auto"/>
          <w:sz w:val="52"/>
          <w:szCs w:val="52"/>
          <w:highlight w:val="none"/>
        </w:rPr>
        <w:t>比选文件</w:t>
      </w:r>
    </w:p>
    <w:p w14:paraId="52F28F11">
      <w:pPr>
        <w:jc w:val="center"/>
        <w:rPr>
          <w:color w:val="auto"/>
          <w:sz w:val="32"/>
          <w:szCs w:val="32"/>
          <w:highlight w:val="none"/>
        </w:rPr>
      </w:pPr>
      <w:r>
        <w:rPr>
          <w:rFonts w:hint="eastAsia" w:cs="宋体"/>
          <w:color w:val="auto"/>
          <w:sz w:val="32"/>
          <w:szCs w:val="32"/>
          <w:highlight w:val="none"/>
        </w:rPr>
        <w:t>（正本</w:t>
      </w:r>
      <w:r>
        <w:rPr>
          <w:color w:val="auto"/>
          <w:sz w:val="32"/>
          <w:szCs w:val="32"/>
          <w:highlight w:val="none"/>
        </w:rPr>
        <w:t>/</w:t>
      </w:r>
      <w:r>
        <w:rPr>
          <w:rFonts w:hint="eastAsia" w:cs="宋体"/>
          <w:color w:val="auto"/>
          <w:sz w:val="32"/>
          <w:szCs w:val="32"/>
          <w:highlight w:val="none"/>
        </w:rPr>
        <w:t>副本）</w:t>
      </w:r>
    </w:p>
    <w:p w14:paraId="3F1B8876">
      <w:pPr>
        <w:ind w:left="0" w:firstLine="0"/>
        <w:rPr>
          <w:color w:val="auto"/>
          <w:sz w:val="32"/>
          <w:szCs w:val="32"/>
          <w:highlight w:val="none"/>
        </w:rPr>
      </w:pPr>
    </w:p>
    <w:p w14:paraId="7F0F6714">
      <w:pPr>
        <w:ind w:left="1680" w:leftChars="800" w:firstLine="0"/>
        <w:rPr>
          <w:color w:val="auto"/>
          <w:sz w:val="28"/>
          <w:szCs w:val="28"/>
          <w:highlight w:val="none"/>
        </w:rPr>
      </w:pPr>
      <w:r>
        <w:rPr>
          <w:rFonts w:hint="eastAsia" w:cs="宋体"/>
          <w:color w:val="auto"/>
          <w:sz w:val="28"/>
          <w:szCs w:val="28"/>
          <w:highlight w:val="none"/>
        </w:rPr>
        <w:t>比选申请人：（盖单位章）</w:t>
      </w:r>
    </w:p>
    <w:p w14:paraId="7ABBFB14">
      <w:pPr>
        <w:ind w:left="1680" w:leftChars="800" w:firstLine="0"/>
        <w:rPr>
          <w:color w:val="auto"/>
          <w:sz w:val="28"/>
          <w:szCs w:val="28"/>
          <w:highlight w:val="none"/>
        </w:rPr>
      </w:pPr>
      <w:r>
        <w:rPr>
          <w:rFonts w:hint="eastAsia" w:cs="宋体"/>
          <w:color w:val="auto"/>
          <w:sz w:val="28"/>
          <w:szCs w:val="28"/>
          <w:highlight w:val="none"/>
        </w:rPr>
        <w:t>法定代表人或其委托代理人：（签字）</w:t>
      </w:r>
    </w:p>
    <w:p w14:paraId="1A8369A8">
      <w:pPr>
        <w:ind w:left="1680" w:leftChars="800" w:firstLine="0"/>
        <w:rPr>
          <w:rFonts w:cs="宋体"/>
          <w:color w:val="auto"/>
          <w:sz w:val="28"/>
          <w:szCs w:val="28"/>
          <w:highlight w:val="none"/>
        </w:rPr>
      </w:pPr>
      <w:r>
        <w:rPr>
          <w:rFonts w:hint="eastAsia" w:cs="宋体"/>
          <w:color w:val="auto"/>
          <w:sz w:val="28"/>
          <w:szCs w:val="28"/>
          <w:highlight w:val="none"/>
        </w:rPr>
        <w:t>年  月  日</w:t>
      </w:r>
    </w:p>
    <w:p w14:paraId="7C72ADE4">
      <w:pPr>
        <w:pStyle w:val="2"/>
        <w:spacing w:after="100"/>
        <w:ind w:right="-57" w:firstLine="0"/>
        <w:jc w:val="center"/>
        <w:rPr>
          <w:color w:val="auto"/>
          <w:sz w:val="24"/>
          <w:szCs w:val="24"/>
          <w:highlight w:val="none"/>
        </w:rPr>
      </w:pPr>
    </w:p>
    <w:p w14:paraId="27A55145">
      <w:pPr>
        <w:pStyle w:val="2"/>
        <w:spacing w:after="100"/>
        <w:ind w:right="-57" w:firstLine="0"/>
        <w:jc w:val="center"/>
        <w:rPr>
          <w:color w:val="auto"/>
          <w:highlight w:val="none"/>
        </w:rPr>
      </w:pPr>
      <w:r>
        <w:rPr>
          <w:color w:val="auto"/>
          <w:sz w:val="24"/>
          <w:szCs w:val="24"/>
          <w:highlight w:val="none"/>
        </w:rPr>
        <w:t>A  资格审查</w:t>
      </w:r>
      <w:r>
        <w:rPr>
          <w:rFonts w:hint="eastAsia"/>
          <w:color w:val="auto"/>
          <w:sz w:val="24"/>
          <w:szCs w:val="24"/>
          <w:highlight w:val="none"/>
        </w:rPr>
        <w:t>文件</w:t>
      </w:r>
      <w:bookmarkEnd w:id="1298"/>
      <w:bookmarkEnd w:id="1299"/>
    </w:p>
    <w:p w14:paraId="7E487127">
      <w:pPr>
        <w:spacing w:before="0" w:after="0" w:afterAutospacing="0" w:line="276" w:lineRule="auto"/>
        <w:ind w:left="0" w:right="0" w:firstLine="0"/>
        <w:rPr>
          <w:b/>
          <w:color w:val="auto"/>
          <w:highlight w:val="none"/>
        </w:rPr>
      </w:pPr>
      <w:r>
        <w:rPr>
          <w:rFonts w:hint="eastAsia"/>
          <w:b/>
          <w:color w:val="auto"/>
          <w:highlight w:val="none"/>
        </w:rPr>
        <w:t>资格审查文件文件</w:t>
      </w:r>
    </w:p>
    <w:p w14:paraId="49F06993">
      <w:pPr>
        <w:spacing w:before="0" w:after="0" w:afterAutospacing="0"/>
        <w:ind w:left="0" w:right="0" w:firstLine="420" w:firstLineChars="200"/>
        <w:rPr>
          <w:rFonts w:hint="eastAsia" w:hAnsi="宋体"/>
          <w:color w:val="auto"/>
          <w:highlight w:val="none"/>
        </w:rPr>
      </w:pPr>
      <w:r>
        <w:rPr>
          <w:rFonts w:hint="eastAsia" w:hAnsi="宋体"/>
          <w:color w:val="auto"/>
          <w:highlight w:val="none"/>
        </w:rPr>
        <w:t>（1）法定代表人授权书（格式见A1）及法定代表人资格证明书（如无授权时，只需提供法定代表人资格证明书，格式见A2），法定代表人及被授权人身份证复印件；</w:t>
      </w:r>
    </w:p>
    <w:p w14:paraId="6D1DE83F">
      <w:pPr>
        <w:spacing w:before="0" w:after="0" w:afterAutospacing="0"/>
        <w:ind w:left="0" w:right="0" w:firstLine="420" w:firstLineChars="200"/>
        <w:rPr>
          <w:rFonts w:hint="eastAsia" w:hAnsi="宋体"/>
          <w:color w:val="auto"/>
          <w:highlight w:val="none"/>
        </w:rPr>
      </w:pPr>
      <w:r>
        <w:rPr>
          <w:rFonts w:hint="eastAsia" w:hAnsi="宋体"/>
          <w:color w:val="auto"/>
          <w:highlight w:val="none"/>
        </w:rPr>
        <w:t>（2）比选申请人有效的营业执照及资质证书复印件；</w:t>
      </w:r>
    </w:p>
    <w:p w14:paraId="4972D34D">
      <w:pPr>
        <w:spacing w:before="0" w:after="0" w:afterAutospacing="0"/>
        <w:ind w:left="0" w:right="0" w:firstLine="420" w:firstLineChars="200"/>
        <w:rPr>
          <w:rFonts w:hint="eastAsia" w:hAnsi="宋体"/>
          <w:color w:val="auto"/>
          <w:highlight w:val="none"/>
        </w:rPr>
      </w:pPr>
      <w:r>
        <w:rPr>
          <w:rFonts w:hint="eastAsia" w:hAnsi="宋体"/>
          <w:color w:val="auto"/>
          <w:highlight w:val="none"/>
        </w:rPr>
        <w:t>（3）承诺书（格式见A3）；</w:t>
      </w:r>
    </w:p>
    <w:p w14:paraId="3025C419">
      <w:pPr>
        <w:spacing w:before="0" w:after="0" w:afterAutospacing="0"/>
        <w:ind w:left="0" w:right="0" w:firstLine="420" w:firstLineChars="200"/>
        <w:rPr>
          <w:rFonts w:hint="eastAsia" w:hAnsi="宋体"/>
          <w:color w:val="auto"/>
          <w:highlight w:val="none"/>
        </w:rPr>
      </w:pPr>
      <w:r>
        <w:rPr>
          <w:rFonts w:hint="eastAsia" w:hAnsi="宋体"/>
          <w:color w:val="auto"/>
          <w:highlight w:val="none"/>
        </w:rPr>
        <w:t>（4）类似项目业绩表（A4）；</w:t>
      </w:r>
    </w:p>
    <w:p w14:paraId="79C9F9A6">
      <w:pPr>
        <w:spacing w:before="0" w:after="0" w:afterAutospacing="0"/>
        <w:ind w:left="0" w:right="0" w:firstLine="420" w:firstLineChars="200"/>
        <w:rPr>
          <w:rFonts w:hint="eastAsia" w:hAnsi="宋体"/>
          <w:color w:val="auto"/>
          <w:highlight w:val="none"/>
        </w:rPr>
      </w:pPr>
      <w:r>
        <w:rPr>
          <w:rFonts w:hint="eastAsia" w:hAnsi="宋体"/>
          <w:color w:val="auto"/>
          <w:highlight w:val="none"/>
        </w:rPr>
        <w:t>（5）比选申请人认为应提交的其他比选申请资料（如有）。</w:t>
      </w:r>
    </w:p>
    <w:p w14:paraId="41C29431">
      <w:pPr>
        <w:spacing w:before="0" w:after="0" w:afterAutospacing="0"/>
        <w:ind w:left="0" w:right="0" w:firstLine="420" w:firstLineChars="200"/>
        <w:rPr>
          <w:rFonts w:hint="eastAsia" w:hAnsi="宋体" w:eastAsia="宋体"/>
          <w:color w:val="auto"/>
          <w:highlight w:val="none"/>
          <w:lang w:val="en-US" w:eastAsia="zh-CN"/>
        </w:rPr>
      </w:pPr>
      <w:r>
        <w:rPr>
          <w:rFonts w:hint="eastAsia" w:hAnsi="宋体"/>
          <w:color w:val="auto"/>
          <w:highlight w:val="none"/>
        </w:rPr>
        <w:t>注：以上提供的复印件必须加盖比选申请人</w:t>
      </w:r>
      <w:r>
        <w:rPr>
          <w:rFonts w:hint="eastAsia" w:hAnsi="宋体"/>
          <w:color w:val="auto"/>
          <w:highlight w:val="none"/>
          <w:lang w:val="en-US" w:eastAsia="zh-CN"/>
        </w:rPr>
        <w:t>公章。</w:t>
      </w:r>
    </w:p>
    <w:p w14:paraId="67C66330">
      <w:pPr>
        <w:pStyle w:val="19"/>
        <w:rPr>
          <w:rFonts w:hint="eastAsia"/>
          <w:color w:val="auto"/>
          <w:highlight w:val="none"/>
          <w:lang w:eastAsia="zh-CN"/>
        </w:rPr>
        <w:sectPr>
          <w:headerReference r:id="rId9" w:type="default"/>
          <w:footerReference r:id="rId10" w:type="default"/>
          <w:pgSz w:w="11905" w:h="16838"/>
          <w:pgMar w:top="1417" w:right="1417" w:bottom="1417" w:left="1417" w:header="454" w:footer="567" w:gutter="0"/>
          <w:cols w:space="720" w:num="1"/>
          <w:docGrid w:linePitch="312" w:charSpace="0"/>
        </w:sectPr>
      </w:pPr>
    </w:p>
    <w:p w14:paraId="2E449325">
      <w:pPr>
        <w:numPr>
          <w:ilvl w:val="0"/>
          <w:numId w:val="0"/>
        </w:numPr>
        <w:snapToGrid w:val="0"/>
        <w:spacing w:before="0" w:line="240" w:lineRule="auto"/>
        <w:ind w:right="0" w:rightChars="0"/>
        <w:jc w:val="left"/>
        <w:outlineLvl w:val="0"/>
        <w:rPr>
          <w:rFonts w:ascii="宋体" w:hAnsi="宋体"/>
          <w:b/>
          <w:color w:val="auto"/>
          <w:sz w:val="32"/>
          <w:szCs w:val="32"/>
          <w:highlight w:val="none"/>
        </w:rPr>
      </w:pPr>
      <w:bookmarkStart w:id="1300" w:name="_Toc18243"/>
      <w:bookmarkStart w:id="1301" w:name="_Toc375564351"/>
      <w:bookmarkStart w:id="1302" w:name="_Toc8868"/>
      <w:bookmarkStart w:id="1303" w:name="_Toc3499"/>
      <w:bookmarkStart w:id="1304" w:name="_Toc20029"/>
      <w:bookmarkStart w:id="1305" w:name="_Toc15696"/>
      <w:bookmarkStart w:id="1306" w:name="_Toc13389"/>
      <w:bookmarkStart w:id="1307" w:name="_Toc16089"/>
      <w:bookmarkStart w:id="1308" w:name="_Toc956"/>
      <w:bookmarkStart w:id="1309" w:name="_Toc10238"/>
      <w:bookmarkStart w:id="1310" w:name="_Toc10789"/>
      <w:bookmarkStart w:id="1311" w:name="_Toc114134663"/>
      <w:bookmarkStart w:id="1312" w:name="_Toc25750675"/>
      <w:bookmarkStart w:id="1313" w:name="_Toc7057"/>
      <w:bookmarkStart w:id="1314" w:name="_Toc12984807"/>
      <w:bookmarkStart w:id="1315" w:name="_Toc492478804"/>
      <w:bookmarkStart w:id="1316" w:name="_Toc22533"/>
      <w:bookmarkStart w:id="1317" w:name="_Toc10433"/>
      <w:bookmarkStart w:id="1318" w:name="_Toc414290522"/>
      <w:bookmarkStart w:id="1319" w:name="_Toc20671"/>
      <w:bookmarkStart w:id="1320" w:name="_Toc32455"/>
      <w:bookmarkStart w:id="1321" w:name="_Toc9658"/>
      <w:bookmarkStart w:id="1322" w:name="_Toc20283"/>
      <w:bookmarkStart w:id="1323" w:name="_Toc4125"/>
      <w:bookmarkStart w:id="1324" w:name="_Toc24436"/>
      <w:bookmarkStart w:id="1325" w:name="_Toc29312"/>
      <w:r>
        <w:rPr>
          <w:rFonts w:hint="eastAsia" w:ascii="宋体" w:hAnsi="宋体"/>
          <w:b/>
          <w:color w:val="auto"/>
          <w:highlight w:val="none"/>
          <w:lang w:val="en-US" w:eastAsia="zh-CN"/>
        </w:rPr>
        <w:t>A1</w:t>
      </w:r>
      <w:r>
        <w:rPr>
          <w:rFonts w:ascii="宋体" w:hAnsi="宋体"/>
          <w:b/>
          <w:color w:val="auto"/>
          <w:highlight w:val="none"/>
        </w:rPr>
        <w:t>法定代表人授权书格式</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0FC63E7">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1C63C028">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南宁兴邕城市更新有限责任公司</w:t>
      </w:r>
    </w:p>
    <w:p w14:paraId="135181FC">
      <w:pPr>
        <w:tabs>
          <w:tab w:val="left" w:pos="8364"/>
        </w:tabs>
        <w:snapToGrid w:val="0"/>
        <w:ind w:left="0" w:leftChars="0" w:right="0" w:firstLine="420" w:firstLineChars="200"/>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2F6A1D0D">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14:paraId="3A4A6B57">
      <w:pPr>
        <w:tabs>
          <w:tab w:val="left" w:pos="8364"/>
        </w:tabs>
        <w:snapToGrid w:val="0"/>
        <w:ind w:right="0" w:firstLine="200"/>
        <w:rPr>
          <w:rFonts w:ascii="宋体" w:hAnsi="宋体"/>
          <w:color w:val="auto"/>
          <w:highlight w:val="none"/>
        </w:rPr>
      </w:pPr>
    </w:p>
    <w:p w14:paraId="2A9B20BF">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6EF85755">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0A9B425F">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3B9C2107">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040A07A5">
      <w:pPr>
        <w:tabs>
          <w:tab w:val="left" w:pos="8364"/>
        </w:tabs>
        <w:snapToGrid w:val="0"/>
        <w:ind w:right="0" w:firstLine="200"/>
        <w:rPr>
          <w:rFonts w:ascii="宋体" w:hAnsi="宋体"/>
          <w:color w:val="auto"/>
          <w:highlight w:val="none"/>
        </w:rPr>
      </w:pPr>
    </w:p>
    <w:p w14:paraId="6A74F688">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639FF7C3">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0900E5C1">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7A92218C">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32FEDC63">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14:paraId="0CD13481">
      <w:pPr>
        <w:tabs>
          <w:tab w:val="left" w:pos="8364"/>
        </w:tabs>
        <w:snapToGrid w:val="0"/>
        <w:ind w:right="0" w:firstLine="200"/>
        <w:rPr>
          <w:rFonts w:ascii="宋体" w:hAnsi="宋体"/>
          <w:color w:val="auto"/>
          <w:highlight w:val="none"/>
          <w:u w:val="single"/>
        </w:rPr>
      </w:pPr>
    </w:p>
    <w:p w14:paraId="6364D7DD">
      <w:pPr>
        <w:numPr>
          <w:ilvl w:val="0"/>
          <w:numId w:val="0"/>
        </w:numPr>
        <w:snapToGrid w:val="0"/>
        <w:spacing w:before="0" w:line="240" w:lineRule="auto"/>
        <w:ind w:left="567" w:leftChars="0" w:right="0" w:rightChars="0"/>
        <w:jc w:val="left"/>
        <w:outlineLvl w:val="0"/>
        <w:rPr>
          <w:rFonts w:ascii="宋体" w:hAnsi="宋体"/>
          <w:b/>
          <w:color w:val="auto"/>
          <w:highlight w:val="none"/>
        </w:rPr>
      </w:pPr>
      <w:bookmarkStart w:id="1326" w:name="_Toc114134664"/>
      <w:bookmarkStart w:id="1327" w:name="_Toc13634"/>
      <w:bookmarkStart w:id="1328" w:name="_Toc25750676"/>
      <w:bookmarkStart w:id="1329" w:name="_Toc17964"/>
      <w:bookmarkStart w:id="1330" w:name="_Toc20436"/>
      <w:bookmarkStart w:id="1331" w:name="_Toc27722"/>
      <w:bookmarkStart w:id="1332" w:name="_Toc12984808"/>
      <w:bookmarkStart w:id="1333" w:name="_Toc9583"/>
      <w:bookmarkStart w:id="1334" w:name="_Toc7753"/>
      <w:bookmarkStart w:id="1335" w:name="_Toc375564352"/>
      <w:bookmarkStart w:id="1336" w:name="_Toc15572"/>
      <w:bookmarkStart w:id="1337" w:name="_Toc8654"/>
      <w:bookmarkStart w:id="1338" w:name="_Toc13798"/>
      <w:bookmarkStart w:id="1339" w:name="_Toc24322"/>
      <w:bookmarkStart w:id="1340" w:name="_Toc15980"/>
      <w:bookmarkStart w:id="1341" w:name="_Toc8405"/>
      <w:bookmarkStart w:id="1342" w:name="_Toc27657"/>
      <w:bookmarkStart w:id="1343" w:name="_Toc492478805"/>
      <w:bookmarkStart w:id="1344" w:name="_Toc7273"/>
      <w:bookmarkStart w:id="1345" w:name="_Toc3938"/>
      <w:bookmarkStart w:id="1346" w:name="_Toc13606"/>
      <w:bookmarkStart w:id="1347" w:name="_Toc9757"/>
      <w:bookmarkStart w:id="1348" w:name="_Toc31808"/>
      <w:bookmarkStart w:id="1349" w:name="_Toc19744"/>
      <w:bookmarkStart w:id="1350" w:name="_Toc414290523"/>
      <w:bookmarkStart w:id="1351" w:name="_Toc26713"/>
      <w:r>
        <w:rPr>
          <w:rFonts w:hint="eastAsia" w:ascii="宋体" w:hAnsi="宋体"/>
          <w:b/>
          <w:color w:val="auto"/>
          <w:highlight w:val="none"/>
          <w:lang w:val="en-US" w:eastAsia="zh-CN"/>
        </w:rPr>
        <w:t>A2</w:t>
      </w:r>
      <w:r>
        <w:rPr>
          <w:rFonts w:ascii="宋体" w:hAnsi="宋体"/>
          <w:b/>
          <w:color w:val="auto"/>
          <w:highlight w:val="none"/>
        </w:rPr>
        <w:t>法定代表人资格证明书格式</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6FD8722D">
      <w:pPr>
        <w:ind w:right="0" w:firstLine="200"/>
        <w:rPr>
          <w:rFonts w:ascii="宋体" w:hAnsi="宋体"/>
          <w:color w:val="auto"/>
          <w:highlight w:val="none"/>
        </w:rPr>
      </w:pPr>
    </w:p>
    <w:p w14:paraId="4BF22FAE">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6D7FAA32">
      <w:pPr>
        <w:ind w:right="0" w:firstLine="200"/>
        <w:rPr>
          <w:rFonts w:ascii="宋体" w:hAnsi="宋体"/>
          <w:color w:val="auto"/>
          <w:highlight w:val="none"/>
          <w:u w:val="single"/>
        </w:rPr>
      </w:pPr>
      <w:r>
        <w:rPr>
          <w:rFonts w:ascii="宋体" w:hAnsi="宋体"/>
          <w:color w:val="auto"/>
          <w:highlight w:val="none"/>
        </w:rPr>
        <w:t>单位名称：</w:t>
      </w:r>
    </w:p>
    <w:p w14:paraId="34DE3245">
      <w:pPr>
        <w:ind w:right="0" w:firstLine="200"/>
        <w:rPr>
          <w:rFonts w:ascii="宋体" w:hAnsi="宋体"/>
          <w:color w:val="auto"/>
          <w:highlight w:val="none"/>
          <w:u w:val="single"/>
        </w:rPr>
      </w:pPr>
      <w:r>
        <w:rPr>
          <w:rFonts w:ascii="宋体" w:hAnsi="宋体"/>
          <w:color w:val="auto"/>
          <w:highlight w:val="none"/>
        </w:rPr>
        <w:t>地址：</w:t>
      </w:r>
    </w:p>
    <w:p w14:paraId="19296FBE">
      <w:pPr>
        <w:ind w:right="0" w:firstLine="200"/>
        <w:rPr>
          <w:rFonts w:ascii="宋体" w:hAnsi="宋体"/>
          <w:color w:val="auto"/>
          <w:highlight w:val="none"/>
          <w:u w:val="single"/>
        </w:rPr>
      </w:pPr>
      <w:r>
        <w:rPr>
          <w:rFonts w:ascii="宋体" w:hAnsi="宋体"/>
          <w:color w:val="auto"/>
          <w:highlight w:val="none"/>
        </w:rPr>
        <w:t>姓名：性别：年龄：职务：</w:t>
      </w:r>
    </w:p>
    <w:p w14:paraId="406064E2">
      <w:pPr>
        <w:ind w:right="0" w:firstLine="200"/>
        <w:rPr>
          <w:rFonts w:ascii="宋体" w:hAnsi="宋体"/>
          <w:color w:val="auto"/>
          <w:highlight w:val="none"/>
        </w:rPr>
      </w:pPr>
      <w:r>
        <w:rPr>
          <w:rFonts w:ascii="宋体" w:hAnsi="宋体"/>
          <w:color w:val="auto"/>
          <w:highlight w:val="none"/>
        </w:rPr>
        <w:t>系的法定代表人。</w:t>
      </w:r>
    </w:p>
    <w:p w14:paraId="0AA9E131">
      <w:pPr>
        <w:ind w:right="0" w:firstLine="200"/>
        <w:rPr>
          <w:rFonts w:ascii="宋体" w:hAnsi="宋体"/>
          <w:color w:val="auto"/>
          <w:highlight w:val="none"/>
        </w:rPr>
      </w:pPr>
      <w:r>
        <w:rPr>
          <w:rFonts w:ascii="宋体" w:hAnsi="宋体"/>
          <w:color w:val="auto"/>
          <w:highlight w:val="none"/>
        </w:rPr>
        <w:t>特此证明。</w:t>
      </w:r>
    </w:p>
    <w:p w14:paraId="7975F06F">
      <w:pPr>
        <w:ind w:right="0" w:firstLine="200"/>
        <w:rPr>
          <w:rFonts w:ascii="宋体" w:hAnsi="宋体"/>
          <w:color w:val="auto"/>
          <w:highlight w:val="none"/>
        </w:rPr>
      </w:pPr>
    </w:p>
    <w:p w14:paraId="556E42F1">
      <w:pPr>
        <w:ind w:right="0" w:firstLine="200"/>
        <w:rPr>
          <w:rFonts w:ascii="宋体" w:hAnsi="宋体"/>
          <w:color w:val="auto"/>
          <w:highlight w:val="none"/>
          <w:u w:val="single"/>
        </w:rPr>
      </w:pPr>
      <w:r>
        <w:rPr>
          <w:rFonts w:ascii="宋体" w:hAnsi="宋体"/>
          <w:color w:val="auto"/>
          <w:highlight w:val="none"/>
        </w:rPr>
        <w:t>比选申请人：（盖章）</w:t>
      </w:r>
    </w:p>
    <w:p w14:paraId="3E8FC4CD">
      <w:pPr>
        <w:ind w:right="0" w:firstLine="200"/>
        <w:rPr>
          <w:rFonts w:ascii="宋体" w:hAnsi="宋体"/>
          <w:color w:val="auto"/>
          <w:highlight w:val="none"/>
        </w:rPr>
      </w:pPr>
      <w:r>
        <w:rPr>
          <w:rFonts w:ascii="宋体" w:hAnsi="宋体"/>
          <w:color w:val="auto"/>
          <w:highlight w:val="none"/>
        </w:rPr>
        <w:t>日期：年月日</w:t>
      </w:r>
    </w:p>
    <w:p w14:paraId="3177BAF0">
      <w:pPr>
        <w:rPr>
          <w:rFonts w:ascii="宋体" w:hAnsi="宋体"/>
          <w:b/>
          <w:color w:val="auto"/>
          <w:highlight w:val="none"/>
        </w:rPr>
      </w:pPr>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法人身份证复印件</w:t>
      </w:r>
    </w:p>
    <w:p w14:paraId="2E8F526D">
      <w:pPr>
        <w:ind w:left="0" w:firstLine="0"/>
        <w:rPr>
          <w:rFonts w:hint="eastAsia" w:ascii="宋体" w:hAnsi="宋体"/>
          <w:b/>
          <w:color w:val="auto"/>
          <w:sz w:val="24"/>
          <w:szCs w:val="24"/>
          <w:highlight w:val="none"/>
        </w:rPr>
      </w:pPr>
      <w:r>
        <w:rPr>
          <w:rFonts w:hint="eastAsia" w:ascii="宋体" w:hAnsi="宋体"/>
          <w:b/>
          <w:color w:val="auto"/>
          <w:sz w:val="24"/>
          <w:szCs w:val="24"/>
          <w:highlight w:val="none"/>
        </w:rPr>
        <w:br w:type="page"/>
      </w:r>
    </w:p>
    <w:p w14:paraId="423ED55F">
      <w:pPr>
        <w:pageBreakBefore/>
        <w:snapToGrid w:val="0"/>
        <w:ind w:right="0" w:firstLine="0"/>
        <w:jc w:val="left"/>
        <w:outlineLvl w:val="0"/>
        <w:rPr>
          <w:rFonts w:ascii="宋体" w:hAnsi="宋体"/>
          <w:b/>
          <w:color w:val="auto"/>
          <w:highlight w:val="none"/>
        </w:rPr>
      </w:pPr>
      <w:bookmarkStart w:id="1352" w:name="_Toc6033"/>
      <w:bookmarkStart w:id="1353" w:name="_Toc24848"/>
      <w:bookmarkStart w:id="1354" w:name="_Toc17745"/>
      <w:bookmarkStart w:id="1355" w:name="_Toc26907"/>
      <w:bookmarkStart w:id="1356" w:name="_Toc3504"/>
      <w:bookmarkStart w:id="1357" w:name="_Toc1932"/>
      <w:bookmarkStart w:id="1358" w:name="_Toc492478806"/>
      <w:bookmarkStart w:id="1359" w:name="_Toc16467"/>
      <w:bookmarkStart w:id="1360" w:name="_Toc11425"/>
      <w:bookmarkStart w:id="1361" w:name="_Toc29246"/>
      <w:bookmarkStart w:id="1362" w:name="_Toc3426"/>
      <w:bookmarkStart w:id="1363" w:name="_Toc414290524"/>
      <w:bookmarkStart w:id="1364" w:name="_Toc31448"/>
      <w:bookmarkStart w:id="1365" w:name="_Toc7712"/>
      <w:bookmarkStart w:id="1366" w:name="_Toc21307"/>
      <w:bookmarkStart w:id="1367" w:name="_Toc375564353"/>
      <w:bookmarkStart w:id="1368" w:name="_Toc19721"/>
      <w:bookmarkStart w:id="1369" w:name="_Toc26097"/>
      <w:bookmarkStart w:id="1370" w:name="_Toc32062"/>
      <w:bookmarkStart w:id="1371" w:name="_Toc25750677"/>
      <w:bookmarkStart w:id="1372" w:name="_Toc4894"/>
      <w:bookmarkStart w:id="1373" w:name="_Toc5002"/>
      <w:bookmarkStart w:id="1374" w:name="_Toc114134665"/>
      <w:bookmarkStart w:id="1375" w:name="_Toc15609"/>
      <w:bookmarkStart w:id="1376" w:name="_Toc15394"/>
      <w:r>
        <w:rPr>
          <w:rFonts w:hint="eastAsia" w:ascii="宋体" w:hAnsi="宋体"/>
          <w:b/>
          <w:color w:val="auto"/>
          <w:highlight w:val="none"/>
        </w:rPr>
        <w:t xml:space="preserve">A3 </w:t>
      </w:r>
      <w:r>
        <w:rPr>
          <w:rFonts w:ascii="宋体" w:hAnsi="宋体"/>
          <w:b/>
          <w:color w:val="auto"/>
          <w:highlight w:val="none"/>
        </w:rPr>
        <w:t>承诺书格式</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6AF21419">
      <w:pPr>
        <w:keepNext w:val="0"/>
        <w:keepLines w:val="0"/>
        <w:pageBreakBefore w:val="0"/>
        <w:widowControl/>
        <w:kinsoku/>
        <w:wordWrap/>
        <w:overflowPunct/>
        <w:topLinePunct w:val="0"/>
        <w:autoSpaceDE/>
        <w:autoSpaceDN/>
        <w:bidi w:val="0"/>
        <w:adjustRightInd/>
        <w:snapToGrid/>
        <w:spacing w:before="240" w:after="240" w:line="360" w:lineRule="exact"/>
        <w:ind w:right="0" w:firstLine="0"/>
        <w:jc w:val="center"/>
        <w:textAlignment w:val="auto"/>
        <w:rPr>
          <w:rFonts w:ascii="宋体" w:hAnsi="宋体"/>
          <w:b/>
          <w:color w:val="auto"/>
          <w:sz w:val="32"/>
          <w:szCs w:val="32"/>
          <w:highlight w:val="none"/>
        </w:rPr>
      </w:pPr>
      <w:r>
        <w:rPr>
          <w:rFonts w:ascii="宋体" w:hAnsi="宋体"/>
          <w:b/>
          <w:color w:val="auto"/>
          <w:sz w:val="32"/>
          <w:szCs w:val="32"/>
          <w:highlight w:val="none"/>
        </w:rPr>
        <w:t>承诺书</w:t>
      </w:r>
    </w:p>
    <w:p w14:paraId="4982C332">
      <w:pPr>
        <w:tabs>
          <w:tab w:val="left" w:pos="8364"/>
        </w:tabs>
        <w:snapToGrid w:val="0"/>
        <w:ind w:left="500" w:right="0" w:hanging="499"/>
        <w:rPr>
          <w:rFonts w:ascii="宋体" w:hAnsi="宋体"/>
          <w:color w:val="auto"/>
          <w:highlight w:val="none"/>
          <w:u w:val="single"/>
        </w:rPr>
      </w:pPr>
      <w:r>
        <w:rPr>
          <w:rFonts w:ascii="宋体" w:hAnsi="宋体"/>
          <w:color w:val="auto"/>
          <w:highlight w:val="none"/>
        </w:rPr>
        <w:t>致：</w:t>
      </w:r>
      <w:r>
        <w:rPr>
          <w:rFonts w:hint="eastAsia" w:ascii="宋体" w:hAnsi="宋体"/>
          <w:color w:val="auto"/>
          <w:highlight w:val="none"/>
          <w:lang w:eastAsia="zh-CN"/>
        </w:rPr>
        <w:t>南宁兴邕城市更新有限责任公司</w:t>
      </w:r>
    </w:p>
    <w:p w14:paraId="24C53387">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420" w:firstLineChars="200"/>
        <w:jc w:val="left"/>
        <w:textAlignment w:val="auto"/>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南宁兴邕城市更新有限责任公司</w:t>
      </w:r>
      <w:r>
        <w:rPr>
          <w:rFonts w:hint="eastAsia" w:ascii="宋体" w:hAnsi="宋体"/>
          <w:color w:val="auto"/>
          <w:highlight w:val="none"/>
        </w:rPr>
        <w:t>的比选文件</w:t>
      </w:r>
      <w:r>
        <w:rPr>
          <w:rFonts w:ascii="宋体" w:hAnsi="宋体"/>
          <w:color w:val="auto"/>
          <w:highlight w:val="none"/>
        </w:rPr>
        <w:t>后，我方经慎重考虑，郑重承诺参加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1B403B98">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420" w:firstLineChars="200"/>
        <w:jc w:val="left"/>
        <w:textAlignment w:val="auto"/>
        <w:rPr>
          <w:rFonts w:ascii="宋体" w:hAnsi="宋体"/>
          <w:color w:val="auto"/>
          <w:highlight w:val="none"/>
        </w:rPr>
      </w:pPr>
      <w:r>
        <w:rPr>
          <w:rFonts w:ascii="宋体" w:hAnsi="宋体"/>
          <w:color w:val="auto"/>
          <w:highlight w:val="none"/>
        </w:rPr>
        <w:t>2</w:t>
      </w:r>
      <w:r>
        <w:rPr>
          <w:rFonts w:hint="eastAsia" w:ascii="宋体" w:hAnsi="宋体"/>
          <w:color w:val="auto"/>
          <w:highlight w:val="none"/>
        </w:rPr>
        <w:t>.</w:t>
      </w:r>
      <w:r>
        <w:rPr>
          <w:rFonts w:ascii="宋体" w:hAnsi="宋体"/>
          <w:color w:val="auto"/>
          <w:highlight w:val="none"/>
        </w:rPr>
        <w:t>我方按照贵方</w:t>
      </w:r>
      <w:r>
        <w:rPr>
          <w:rFonts w:hint="eastAsia" w:ascii="宋体" w:hAnsi="宋体"/>
          <w:color w:val="auto"/>
          <w:highlight w:val="none"/>
        </w:rPr>
        <w:t>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0E35928B">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420" w:firstLineChars="200"/>
        <w:jc w:val="left"/>
        <w:textAlignment w:val="auto"/>
        <w:rPr>
          <w:rFonts w:ascii="宋体" w:hAnsi="宋体"/>
          <w:color w:val="auto"/>
          <w:highlight w:val="none"/>
        </w:rPr>
      </w:pPr>
      <w:r>
        <w:rPr>
          <w:rFonts w:hint="eastAsia" w:ascii="宋体" w:hAnsi="宋体"/>
          <w:color w:val="auto"/>
          <w:highlight w:val="none"/>
        </w:rPr>
        <w:t>3.我方</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过程中，贵方可调查、审核我方提交的与本</w:t>
      </w:r>
      <w:r>
        <w:rPr>
          <w:rFonts w:hint="eastAsia" w:ascii="宋体" w:hAnsi="宋体"/>
          <w:color w:val="auto"/>
          <w:highlight w:val="none"/>
        </w:rPr>
        <w:t>比选申请文件</w:t>
      </w:r>
      <w:r>
        <w:rPr>
          <w:rFonts w:ascii="宋体" w:hAnsi="宋体"/>
          <w:color w:val="auto"/>
          <w:highlight w:val="none"/>
        </w:rPr>
        <w:t>相关的声明、文件和资料，我方准备随时解答贵方提出的疑问。为此，我们授权任何相关的个人和公司向贵方提供要求的和必要的真实情况和资料以证实我们所填报的各项内容。</w:t>
      </w:r>
    </w:p>
    <w:p w14:paraId="17931AC4">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420" w:firstLineChars="200"/>
        <w:jc w:val="left"/>
        <w:textAlignment w:val="auto"/>
        <w:rPr>
          <w:rFonts w:ascii="宋体" w:hAnsi="宋体"/>
          <w:b/>
          <w:color w:val="auto"/>
          <w:highlight w:val="none"/>
        </w:rPr>
      </w:pPr>
      <w:r>
        <w:rPr>
          <w:rFonts w:hint="eastAsia" w:ascii="宋体" w:hAnsi="宋体"/>
          <w:color w:val="auto"/>
          <w:highlight w:val="none"/>
        </w:rPr>
        <w:t>4.我方</w:t>
      </w:r>
      <w:r>
        <w:rPr>
          <w:rFonts w:ascii="宋体" w:hAnsi="宋体"/>
          <w:color w:val="auto"/>
          <w:highlight w:val="none"/>
        </w:rPr>
        <w:t>郑重承诺：</w:t>
      </w:r>
      <w:r>
        <w:rPr>
          <w:rFonts w:ascii="宋体" w:hAnsi="宋体"/>
          <w:b/>
          <w:color w:val="auto"/>
          <w:highlight w:val="none"/>
        </w:rPr>
        <w:t>我方保证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14:paraId="1E49CED9">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422" w:firstLineChars="200"/>
        <w:jc w:val="left"/>
        <w:textAlignment w:val="auto"/>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与比选人签订合同，则视为我公司违约，我司愿意按合同暂定总金额的20%向比选人支付违约金</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5759BD6C">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420" w:firstLineChars="200"/>
        <w:textAlignment w:val="auto"/>
        <w:rPr>
          <w:rFonts w:ascii="宋体" w:hAnsi="宋体"/>
          <w:color w:val="auto"/>
          <w:highlight w:val="none"/>
        </w:rPr>
      </w:pPr>
      <w:r>
        <w:rPr>
          <w:rFonts w:hint="eastAsia" w:ascii="宋体" w:hAnsi="宋体"/>
          <w:color w:val="auto"/>
          <w:highlight w:val="none"/>
        </w:rPr>
        <w:t>6.</w:t>
      </w:r>
      <w:r>
        <w:rPr>
          <w:rFonts w:ascii="宋体" w:hAnsi="宋体"/>
          <w:color w:val="auto"/>
          <w:highlight w:val="none"/>
        </w:rPr>
        <w:t>我方了解：无论</w:t>
      </w:r>
      <w:r>
        <w:rPr>
          <w:rFonts w:hint="eastAsia" w:ascii="宋体" w:hAnsi="宋体"/>
          <w:color w:val="auto"/>
          <w:highlight w:val="none"/>
        </w:rPr>
        <w:t>是否中选</w:t>
      </w:r>
      <w:r>
        <w:rPr>
          <w:rFonts w:ascii="宋体" w:hAnsi="宋体"/>
          <w:color w:val="auto"/>
          <w:highlight w:val="none"/>
        </w:rPr>
        <w:t>，我方将自行承担与</w:t>
      </w:r>
      <w:r>
        <w:rPr>
          <w:rFonts w:hint="eastAsia" w:ascii="宋体" w:hAnsi="宋体"/>
          <w:color w:val="auto"/>
          <w:highlight w:val="none"/>
        </w:rPr>
        <w:t>招比选申请</w:t>
      </w:r>
      <w:r>
        <w:rPr>
          <w:rFonts w:ascii="宋体" w:hAnsi="宋体"/>
          <w:color w:val="auto"/>
          <w:highlight w:val="none"/>
        </w:rPr>
        <w:t>活动所需的一切费用。</w:t>
      </w:r>
    </w:p>
    <w:p w14:paraId="59A75FB6">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420" w:firstLineChars="200"/>
        <w:textAlignment w:val="auto"/>
        <w:rPr>
          <w:rFonts w:ascii="宋体" w:hAnsi="宋体"/>
          <w:color w:val="auto"/>
          <w:highlight w:val="none"/>
        </w:rPr>
      </w:pPr>
      <w:r>
        <w:rPr>
          <w:rFonts w:hint="eastAsia" w:ascii="宋体" w:hAnsi="宋体"/>
          <w:color w:val="auto"/>
          <w:highlight w:val="none"/>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63818BCB">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420" w:firstLineChars="200"/>
        <w:jc w:val="left"/>
        <w:textAlignment w:val="auto"/>
        <w:rPr>
          <w:rFonts w:ascii="宋体" w:hAnsi="宋体"/>
          <w:color w:val="auto"/>
          <w:highlight w:val="none"/>
        </w:rPr>
      </w:pPr>
      <w:r>
        <w:rPr>
          <w:rFonts w:ascii="宋体" w:hAnsi="宋体"/>
          <w:color w:val="auto"/>
          <w:highlight w:val="none"/>
        </w:rPr>
        <w:t>我</w:t>
      </w:r>
      <w:r>
        <w:rPr>
          <w:rFonts w:hint="eastAsia" w:ascii="宋体" w:hAnsi="宋体"/>
          <w:color w:val="auto"/>
          <w:highlight w:val="none"/>
        </w:rPr>
        <w:t>方</w:t>
      </w:r>
      <w:r>
        <w:rPr>
          <w:rFonts w:ascii="宋体" w:hAnsi="宋体"/>
          <w:color w:val="auto"/>
          <w:highlight w:val="none"/>
        </w:rPr>
        <w:t>声明，我们所填报的资料是完全真实和准确的，并愿为此承担任何相关的法律责任。</w:t>
      </w:r>
    </w:p>
    <w:p w14:paraId="5954A0C3">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200"/>
        <w:textAlignment w:val="auto"/>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02DDF8EC">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200"/>
        <w:textAlignment w:val="auto"/>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B894670">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200"/>
        <w:textAlignment w:val="auto"/>
        <w:rPr>
          <w:rFonts w:ascii="宋体" w:hAnsi="宋体"/>
          <w:color w:val="auto"/>
          <w:highlight w:val="none"/>
          <w:u w:val="single"/>
        </w:rPr>
      </w:pPr>
      <w:r>
        <w:rPr>
          <w:rFonts w:ascii="宋体" w:hAnsi="宋体"/>
          <w:color w:val="auto"/>
          <w:highlight w:val="none"/>
        </w:rPr>
        <w:t>邮政编码：</w:t>
      </w:r>
    </w:p>
    <w:p w14:paraId="5401C3F7">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200"/>
        <w:textAlignment w:val="auto"/>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6D3BA4B">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200"/>
        <w:textAlignment w:val="auto"/>
        <w:rPr>
          <w:rFonts w:ascii="宋体" w:hAnsi="宋体"/>
          <w:color w:val="auto"/>
          <w:highlight w:val="none"/>
          <w:u w:val="single"/>
        </w:rPr>
      </w:pPr>
      <w:r>
        <w:rPr>
          <w:rFonts w:ascii="宋体" w:hAnsi="宋体"/>
          <w:color w:val="auto"/>
          <w:highlight w:val="none"/>
        </w:rPr>
        <w:t>电话：</w:t>
      </w:r>
      <w:r>
        <w:rPr>
          <w:rFonts w:hint="eastAsia" w:ascii="宋体" w:hAnsi="宋体"/>
          <w:color w:val="auto"/>
          <w:highlight w:val="none"/>
        </w:rPr>
        <w:t xml:space="preserve">   </w:t>
      </w:r>
      <w:r>
        <w:rPr>
          <w:rFonts w:ascii="宋体" w:hAnsi="宋体"/>
          <w:color w:val="auto"/>
          <w:highlight w:val="none"/>
          <w:u w:val="single"/>
        </w:rPr>
        <w:t>　　</w:t>
      </w:r>
    </w:p>
    <w:p w14:paraId="5CF3FF0D">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200"/>
        <w:textAlignment w:val="auto"/>
        <w:rPr>
          <w:rFonts w:ascii="宋体" w:hAnsi="宋体"/>
          <w:color w:val="auto"/>
          <w:highlight w:val="none"/>
          <w:u w:val="single"/>
        </w:rPr>
      </w:pPr>
      <w:r>
        <w:rPr>
          <w:rFonts w:ascii="宋体" w:hAnsi="宋体"/>
          <w:color w:val="auto"/>
          <w:highlight w:val="none"/>
        </w:rPr>
        <w:t>传真：</w:t>
      </w:r>
    </w:p>
    <w:p w14:paraId="26893637">
      <w:pPr>
        <w:keepNext w:val="0"/>
        <w:keepLines w:val="0"/>
        <w:pageBreakBefore w:val="0"/>
        <w:widowControl/>
        <w:kinsoku/>
        <w:wordWrap/>
        <w:overflowPunct/>
        <w:topLinePunct w:val="0"/>
        <w:autoSpaceDE/>
        <w:autoSpaceDN/>
        <w:bidi w:val="0"/>
        <w:adjustRightInd/>
        <w:snapToGrid/>
        <w:spacing w:before="0" w:after="0" w:afterAutospacing="0" w:line="360" w:lineRule="exact"/>
        <w:ind w:left="0" w:right="0" w:firstLine="200"/>
        <w:textAlignment w:val="auto"/>
        <w:rPr>
          <w:rFonts w:ascii="宋体" w:hAnsi="宋体"/>
          <w:color w:val="auto"/>
          <w:highlight w:val="none"/>
        </w:rPr>
      </w:pPr>
      <w:r>
        <w:rPr>
          <w:rFonts w:ascii="宋体" w:hAnsi="宋体"/>
          <w:color w:val="auto"/>
          <w:highlight w:val="none"/>
        </w:rPr>
        <w:t>日期：年月日</w:t>
      </w:r>
    </w:p>
    <w:p w14:paraId="75FC8876">
      <w:pPr>
        <w:pStyle w:val="19"/>
        <w:rPr>
          <w:color w:val="auto"/>
          <w:highlight w:val="none"/>
        </w:rPr>
      </w:pPr>
    </w:p>
    <w:p w14:paraId="4E5E82A9">
      <w:pPr>
        <w:pageBreakBefore/>
        <w:snapToGrid w:val="0"/>
        <w:ind w:right="0" w:firstLine="0"/>
        <w:jc w:val="left"/>
        <w:outlineLvl w:val="0"/>
        <w:rPr>
          <w:rFonts w:ascii="宋体" w:hAnsi="宋体"/>
          <w:b/>
          <w:color w:val="auto"/>
          <w:highlight w:val="none"/>
        </w:rPr>
      </w:pPr>
      <w:bookmarkStart w:id="1377" w:name="_Toc11390"/>
      <w:bookmarkStart w:id="1378" w:name="_Toc1976"/>
      <w:bookmarkStart w:id="1379" w:name="_Toc114134666"/>
      <w:bookmarkStart w:id="1380" w:name="_Toc25750678"/>
      <w:r>
        <w:rPr>
          <w:rFonts w:ascii="宋体" w:hAnsi="宋体"/>
          <w:b/>
          <w:color w:val="auto"/>
          <w:highlight w:val="none"/>
        </w:rPr>
        <w:t>A</w:t>
      </w:r>
      <w:r>
        <w:rPr>
          <w:rFonts w:hint="eastAsia" w:ascii="宋体" w:hAnsi="宋体"/>
          <w:b/>
          <w:color w:val="auto"/>
          <w:highlight w:val="none"/>
        </w:rPr>
        <w:t>4  类似项目</w:t>
      </w:r>
      <w:r>
        <w:rPr>
          <w:rFonts w:ascii="宋体" w:hAnsi="宋体"/>
          <w:b/>
          <w:color w:val="auto"/>
          <w:highlight w:val="none"/>
        </w:rPr>
        <w:t>业绩表格式</w:t>
      </w:r>
      <w:bookmarkEnd w:id="1377"/>
      <w:bookmarkEnd w:id="1378"/>
      <w:bookmarkEnd w:id="1379"/>
      <w:bookmarkEnd w:id="1380"/>
    </w:p>
    <w:p w14:paraId="36BE4B92">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8"/>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114F716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48805209">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0E6E3665">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1930FC9F">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vAlign w:val="center"/>
          </w:tcPr>
          <w:p w14:paraId="57B748E5">
            <w:pPr>
              <w:ind w:left="0" w:firstLine="0"/>
              <w:jc w:val="center"/>
              <w:rPr>
                <w:rFonts w:hint="eastAsia" w:ascii="宋体" w:hAnsi="宋体" w:eastAsia="宋体"/>
                <w:color w:val="auto"/>
                <w:highlight w:val="none"/>
                <w:lang w:eastAsia="zh-CN"/>
              </w:rPr>
            </w:pPr>
            <w:r>
              <w:rPr>
                <w:rFonts w:hint="eastAsia" w:ascii="宋体" w:hAnsi="宋体"/>
                <w:color w:val="auto"/>
                <w:highlight w:val="none"/>
              </w:rPr>
              <w:t>合同</w:t>
            </w:r>
          </w:p>
          <w:p w14:paraId="7381845B">
            <w:pPr>
              <w:ind w:left="0" w:firstLine="0"/>
              <w:jc w:val="center"/>
              <w:rPr>
                <w:rFonts w:ascii="宋体" w:hAnsi="宋体"/>
                <w:color w:val="auto"/>
                <w:highlight w:val="none"/>
              </w:rPr>
            </w:pPr>
            <w:r>
              <w:rPr>
                <w:rFonts w:hint="eastAsia" w:ascii="宋体" w:hAnsi="宋体"/>
                <w:color w:val="auto"/>
                <w:highlight w:val="none"/>
              </w:rPr>
              <w:t>金额</w:t>
            </w:r>
          </w:p>
        </w:tc>
        <w:tc>
          <w:tcPr>
            <w:tcW w:w="993" w:type="dxa"/>
            <w:tcBorders>
              <w:top w:val="double" w:color="auto" w:sz="4" w:space="0"/>
            </w:tcBorders>
            <w:vAlign w:val="center"/>
          </w:tcPr>
          <w:p w14:paraId="29CA2C37">
            <w:pPr>
              <w:ind w:left="0" w:firstLine="0"/>
              <w:jc w:val="center"/>
              <w:rPr>
                <w:rFonts w:hint="eastAsia" w:ascii="宋体" w:hAnsi="宋体" w:eastAsia="宋体"/>
                <w:color w:val="auto"/>
                <w:highlight w:val="none"/>
                <w:lang w:eastAsia="zh-CN"/>
              </w:rPr>
            </w:pPr>
            <w:r>
              <w:rPr>
                <w:rFonts w:hint="eastAsia" w:ascii="宋体" w:hAnsi="宋体"/>
                <w:color w:val="auto"/>
                <w:highlight w:val="none"/>
              </w:rPr>
              <w:t>签订</w:t>
            </w:r>
          </w:p>
          <w:p w14:paraId="255D4460">
            <w:pPr>
              <w:ind w:left="0" w:firstLine="0"/>
              <w:jc w:val="center"/>
              <w:rPr>
                <w:rFonts w:ascii="宋体" w:hAnsi="宋体"/>
                <w:color w:val="auto"/>
                <w:highlight w:val="none"/>
              </w:rPr>
            </w:pPr>
            <w:r>
              <w:rPr>
                <w:rFonts w:hint="eastAsia" w:ascii="宋体" w:hAnsi="宋体"/>
                <w:color w:val="auto"/>
                <w:highlight w:val="none"/>
              </w:rPr>
              <w:t>时间</w:t>
            </w:r>
          </w:p>
        </w:tc>
        <w:tc>
          <w:tcPr>
            <w:tcW w:w="1388" w:type="dxa"/>
            <w:tcBorders>
              <w:top w:val="double" w:color="auto" w:sz="4" w:space="0"/>
            </w:tcBorders>
            <w:vAlign w:val="center"/>
          </w:tcPr>
          <w:p w14:paraId="1AC5D3D9">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4B6CF028">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30E941AE">
            <w:pPr>
              <w:ind w:left="0" w:firstLine="0"/>
              <w:rPr>
                <w:rFonts w:ascii="宋体" w:hAnsi="宋体"/>
                <w:color w:val="auto"/>
                <w:highlight w:val="none"/>
              </w:rPr>
            </w:pPr>
            <w:r>
              <w:rPr>
                <w:rFonts w:hint="eastAsia" w:ascii="宋体" w:hAnsi="宋体"/>
                <w:color w:val="auto"/>
                <w:highlight w:val="none"/>
              </w:rPr>
              <w:t>联系电话</w:t>
            </w:r>
          </w:p>
        </w:tc>
      </w:tr>
      <w:tr w14:paraId="14F1E86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7855ECA0">
            <w:pPr>
              <w:ind w:left="0" w:firstLine="0"/>
              <w:rPr>
                <w:rFonts w:ascii="宋体" w:hAnsi="宋体"/>
                <w:color w:val="auto"/>
                <w:highlight w:val="none"/>
              </w:rPr>
            </w:pPr>
          </w:p>
        </w:tc>
        <w:tc>
          <w:tcPr>
            <w:tcW w:w="1092" w:type="dxa"/>
          </w:tcPr>
          <w:p w14:paraId="4DEBE9C5">
            <w:pPr>
              <w:ind w:left="0" w:firstLine="0"/>
              <w:rPr>
                <w:rFonts w:ascii="宋体" w:hAnsi="宋体"/>
                <w:color w:val="auto"/>
                <w:highlight w:val="none"/>
              </w:rPr>
            </w:pPr>
          </w:p>
        </w:tc>
        <w:tc>
          <w:tcPr>
            <w:tcW w:w="1789" w:type="dxa"/>
          </w:tcPr>
          <w:p w14:paraId="09BB6D96">
            <w:pPr>
              <w:ind w:left="0" w:firstLine="0"/>
              <w:rPr>
                <w:rFonts w:ascii="宋体" w:hAnsi="宋体"/>
                <w:color w:val="auto"/>
                <w:highlight w:val="none"/>
              </w:rPr>
            </w:pPr>
          </w:p>
        </w:tc>
        <w:tc>
          <w:tcPr>
            <w:tcW w:w="992" w:type="dxa"/>
          </w:tcPr>
          <w:p w14:paraId="08C9E1D0">
            <w:pPr>
              <w:ind w:left="0" w:firstLine="0"/>
              <w:rPr>
                <w:rFonts w:ascii="宋体" w:hAnsi="宋体"/>
                <w:color w:val="auto"/>
                <w:highlight w:val="none"/>
              </w:rPr>
            </w:pPr>
          </w:p>
        </w:tc>
        <w:tc>
          <w:tcPr>
            <w:tcW w:w="993" w:type="dxa"/>
          </w:tcPr>
          <w:p w14:paraId="4207CD6F">
            <w:pPr>
              <w:ind w:left="0" w:firstLine="0"/>
              <w:rPr>
                <w:rFonts w:ascii="宋体" w:hAnsi="宋体"/>
                <w:color w:val="auto"/>
                <w:highlight w:val="none"/>
              </w:rPr>
            </w:pPr>
          </w:p>
        </w:tc>
        <w:tc>
          <w:tcPr>
            <w:tcW w:w="1388" w:type="dxa"/>
          </w:tcPr>
          <w:p w14:paraId="4B1D5F17">
            <w:pPr>
              <w:ind w:left="0" w:firstLine="0"/>
              <w:rPr>
                <w:rFonts w:ascii="宋体" w:hAnsi="宋体"/>
                <w:color w:val="auto"/>
                <w:highlight w:val="none"/>
              </w:rPr>
            </w:pPr>
          </w:p>
        </w:tc>
        <w:tc>
          <w:tcPr>
            <w:tcW w:w="1044" w:type="dxa"/>
          </w:tcPr>
          <w:p w14:paraId="1AE952E7">
            <w:pPr>
              <w:ind w:left="0" w:firstLine="0"/>
              <w:rPr>
                <w:rFonts w:ascii="宋体" w:hAnsi="宋体"/>
                <w:color w:val="auto"/>
                <w:highlight w:val="none"/>
              </w:rPr>
            </w:pPr>
          </w:p>
        </w:tc>
        <w:tc>
          <w:tcPr>
            <w:tcW w:w="1043" w:type="dxa"/>
          </w:tcPr>
          <w:p w14:paraId="684A9105">
            <w:pPr>
              <w:ind w:left="0" w:firstLine="0"/>
              <w:rPr>
                <w:rFonts w:ascii="宋体" w:hAnsi="宋体"/>
                <w:color w:val="auto"/>
                <w:highlight w:val="none"/>
              </w:rPr>
            </w:pPr>
          </w:p>
        </w:tc>
      </w:tr>
      <w:tr w14:paraId="1BD72A2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1477163">
            <w:pPr>
              <w:ind w:left="0" w:firstLine="0"/>
              <w:rPr>
                <w:rFonts w:ascii="宋体" w:hAnsi="宋体"/>
                <w:color w:val="auto"/>
                <w:highlight w:val="none"/>
              </w:rPr>
            </w:pPr>
          </w:p>
        </w:tc>
        <w:tc>
          <w:tcPr>
            <w:tcW w:w="1092" w:type="dxa"/>
            <w:vAlign w:val="center"/>
          </w:tcPr>
          <w:p w14:paraId="00D88EA1">
            <w:pPr>
              <w:ind w:left="0" w:firstLine="0"/>
              <w:rPr>
                <w:rFonts w:ascii="宋体" w:hAnsi="宋体"/>
                <w:color w:val="auto"/>
                <w:highlight w:val="none"/>
              </w:rPr>
            </w:pPr>
          </w:p>
        </w:tc>
        <w:tc>
          <w:tcPr>
            <w:tcW w:w="1789" w:type="dxa"/>
            <w:vAlign w:val="center"/>
          </w:tcPr>
          <w:p w14:paraId="039F59D4">
            <w:pPr>
              <w:ind w:left="0" w:firstLine="0"/>
              <w:rPr>
                <w:rFonts w:ascii="宋体" w:hAnsi="宋体"/>
                <w:color w:val="auto"/>
                <w:highlight w:val="none"/>
              </w:rPr>
            </w:pPr>
          </w:p>
        </w:tc>
        <w:tc>
          <w:tcPr>
            <w:tcW w:w="992" w:type="dxa"/>
            <w:vAlign w:val="center"/>
          </w:tcPr>
          <w:p w14:paraId="46156E4C">
            <w:pPr>
              <w:ind w:left="0" w:firstLine="0"/>
              <w:rPr>
                <w:rFonts w:ascii="宋体" w:hAnsi="宋体"/>
                <w:color w:val="auto"/>
                <w:highlight w:val="none"/>
              </w:rPr>
            </w:pPr>
          </w:p>
        </w:tc>
        <w:tc>
          <w:tcPr>
            <w:tcW w:w="993" w:type="dxa"/>
            <w:vAlign w:val="center"/>
          </w:tcPr>
          <w:p w14:paraId="3550CE23">
            <w:pPr>
              <w:ind w:left="0" w:firstLine="0"/>
              <w:rPr>
                <w:rFonts w:ascii="宋体" w:hAnsi="宋体"/>
                <w:color w:val="auto"/>
                <w:highlight w:val="none"/>
              </w:rPr>
            </w:pPr>
          </w:p>
        </w:tc>
        <w:tc>
          <w:tcPr>
            <w:tcW w:w="1388" w:type="dxa"/>
          </w:tcPr>
          <w:p w14:paraId="5313178E">
            <w:pPr>
              <w:ind w:left="0" w:firstLine="0"/>
              <w:rPr>
                <w:rFonts w:ascii="宋体" w:hAnsi="宋体"/>
                <w:color w:val="auto"/>
                <w:highlight w:val="none"/>
              </w:rPr>
            </w:pPr>
          </w:p>
        </w:tc>
        <w:tc>
          <w:tcPr>
            <w:tcW w:w="1044" w:type="dxa"/>
            <w:vAlign w:val="center"/>
          </w:tcPr>
          <w:p w14:paraId="3416B4B6">
            <w:pPr>
              <w:ind w:left="0" w:firstLine="0"/>
              <w:rPr>
                <w:rFonts w:ascii="宋体" w:hAnsi="宋体"/>
                <w:color w:val="auto"/>
                <w:highlight w:val="none"/>
              </w:rPr>
            </w:pPr>
          </w:p>
        </w:tc>
        <w:tc>
          <w:tcPr>
            <w:tcW w:w="1043" w:type="dxa"/>
            <w:vAlign w:val="center"/>
          </w:tcPr>
          <w:p w14:paraId="6B36AF73">
            <w:pPr>
              <w:ind w:left="0" w:firstLine="0"/>
              <w:rPr>
                <w:rFonts w:ascii="宋体" w:hAnsi="宋体"/>
                <w:color w:val="auto"/>
                <w:highlight w:val="none"/>
              </w:rPr>
            </w:pPr>
          </w:p>
        </w:tc>
      </w:tr>
      <w:tr w14:paraId="4970A89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85B2301">
            <w:pPr>
              <w:ind w:left="0" w:firstLine="0"/>
              <w:rPr>
                <w:rFonts w:ascii="宋体" w:hAnsi="宋体"/>
                <w:color w:val="auto"/>
                <w:highlight w:val="none"/>
              </w:rPr>
            </w:pPr>
          </w:p>
        </w:tc>
        <w:tc>
          <w:tcPr>
            <w:tcW w:w="1092" w:type="dxa"/>
            <w:vAlign w:val="center"/>
          </w:tcPr>
          <w:p w14:paraId="3703CB22">
            <w:pPr>
              <w:ind w:left="0" w:firstLine="0"/>
              <w:rPr>
                <w:rFonts w:ascii="宋体" w:hAnsi="宋体"/>
                <w:color w:val="auto"/>
                <w:highlight w:val="none"/>
              </w:rPr>
            </w:pPr>
          </w:p>
        </w:tc>
        <w:tc>
          <w:tcPr>
            <w:tcW w:w="1789" w:type="dxa"/>
            <w:vAlign w:val="center"/>
          </w:tcPr>
          <w:p w14:paraId="1532C9ED">
            <w:pPr>
              <w:ind w:left="0" w:firstLine="0"/>
              <w:rPr>
                <w:rFonts w:ascii="宋体" w:hAnsi="宋体"/>
                <w:color w:val="auto"/>
                <w:highlight w:val="none"/>
              </w:rPr>
            </w:pPr>
          </w:p>
        </w:tc>
        <w:tc>
          <w:tcPr>
            <w:tcW w:w="992" w:type="dxa"/>
            <w:vAlign w:val="center"/>
          </w:tcPr>
          <w:p w14:paraId="28C3E363">
            <w:pPr>
              <w:ind w:left="0" w:firstLine="0"/>
              <w:rPr>
                <w:rFonts w:ascii="宋体" w:hAnsi="宋体"/>
                <w:color w:val="auto"/>
                <w:highlight w:val="none"/>
              </w:rPr>
            </w:pPr>
          </w:p>
        </w:tc>
        <w:tc>
          <w:tcPr>
            <w:tcW w:w="993" w:type="dxa"/>
            <w:vAlign w:val="center"/>
          </w:tcPr>
          <w:p w14:paraId="5730CA4B">
            <w:pPr>
              <w:ind w:left="0" w:firstLine="0"/>
              <w:rPr>
                <w:rFonts w:ascii="宋体" w:hAnsi="宋体"/>
                <w:color w:val="auto"/>
                <w:highlight w:val="none"/>
              </w:rPr>
            </w:pPr>
          </w:p>
        </w:tc>
        <w:tc>
          <w:tcPr>
            <w:tcW w:w="1388" w:type="dxa"/>
          </w:tcPr>
          <w:p w14:paraId="718AAC71">
            <w:pPr>
              <w:ind w:left="0" w:firstLine="0"/>
              <w:rPr>
                <w:rFonts w:ascii="宋体" w:hAnsi="宋体"/>
                <w:color w:val="auto"/>
                <w:highlight w:val="none"/>
              </w:rPr>
            </w:pPr>
          </w:p>
        </w:tc>
        <w:tc>
          <w:tcPr>
            <w:tcW w:w="1044" w:type="dxa"/>
            <w:vAlign w:val="center"/>
          </w:tcPr>
          <w:p w14:paraId="1D91F7F8">
            <w:pPr>
              <w:ind w:left="0" w:firstLine="0"/>
              <w:rPr>
                <w:rFonts w:ascii="宋体" w:hAnsi="宋体"/>
                <w:color w:val="auto"/>
                <w:highlight w:val="none"/>
              </w:rPr>
            </w:pPr>
          </w:p>
        </w:tc>
        <w:tc>
          <w:tcPr>
            <w:tcW w:w="1043" w:type="dxa"/>
            <w:vAlign w:val="center"/>
          </w:tcPr>
          <w:p w14:paraId="018FA736">
            <w:pPr>
              <w:ind w:left="0" w:firstLine="0"/>
              <w:rPr>
                <w:rFonts w:ascii="宋体" w:hAnsi="宋体"/>
                <w:color w:val="auto"/>
                <w:highlight w:val="none"/>
              </w:rPr>
            </w:pPr>
          </w:p>
        </w:tc>
      </w:tr>
      <w:tr w14:paraId="70469F8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B1AD8C4">
            <w:pPr>
              <w:ind w:left="0" w:firstLine="0"/>
              <w:rPr>
                <w:rFonts w:ascii="宋体" w:hAnsi="宋体"/>
                <w:color w:val="auto"/>
                <w:highlight w:val="none"/>
              </w:rPr>
            </w:pPr>
          </w:p>
        </w:tc>
        <w:tc>
          <w:tcPr>
            <w:tcW w:w="1092" w:type="dxa"/>
            <w:vAlign w:val="center"/>
          </w:tcPr>
          <w:p w14:paraId="07AA4D65">
            <w:pPr>
              <w:ind w:left="0" w:firstLine="0"/>
              <w:rPr>
                <w:rFonts w:ascii="宋体" w:hAnsi="宋体"/>
                <w:color w:val="auto"/>
                <w:highlight w:val="none"/>
              </w:rPr>
            </w:pPr>
          </w:p>
        </w:tc>
        <w:tc>
          <w:tcPr>
            <w:tcW w:w="1789" w:type="dxa"/>
            <w:vAlign w:val="center"/>
          </w:tcPr>
          <w:p w14:paraId="6EF62C72">
            <w:pPr>
              <w:ind w:left="0" w:firstLine="0"/>
              <w:rPr>
                <w:rFonts w:ascii="宋体" w:hAnsi="宋体"/>
                <w:color w:val="auto"/>
                <w:highlight w:val="none"/>
              </w:rPr>
            </w:pPr>
          </w:p>
        </w:tc>
        <w:tc>
          <w:tcPr>
            <w:tcW w:w="992" w:type="dxa"/>
            <w:vAlign w:val="center"/>
          </w:tcPr>
          <w:p w14:paraId="45F2139B">
            <w:pPr>
              <w:ind w:left="0" w:firstLine="0"/>
              <w:rPr>
                <w:rFonts w:ascii="宋体" w:hAnsi="宋体"/>
                <w:color w:val="auto"/>
                <w:highlight w:val="none"/>
              </w:rPr>
            </w:pPr>
          </w:p>
        </w:tc>
        <w:tc>
          <w:tcPr>
            <w:tcW w:w="993" w:type="dxa"/>
            <w:vAlign w:val="center"/>
          </w:tcPr>
          <w:p w14:paraId="0D94A733">
            <w:pPr>
              <w:ind w:left="0" w:firstLine="0"/>
              <w:rPr>
                <w:rFonts w:ascii="宋体" w:hAnsi="宋体"/>
                <w:color w:val="auto"/>
                <w:highlight w:val="none"/>
              </w:rPr>
            </w:pPr>
          </w:p>
        </w:tc>
        <w:tc>
          <w:tcPr>
            <w:tcW w:w="1388" w:type="dxa"/>
          </w:tcPr>
          <w:p w14:paraId="1C205991">
            <w:pPr>
              <w:ind w:left="0" w:firstLine="0"/>
              <w:rPr>
                <w:rFonts w:ascii="宋体" w:hAnsi="宋体"/>
                <w:color w:val="auto"/>
                <w:highlight w:val="none"/>
              </w:rPr>
            </w:pPr>
          </w:p>
        </w:tc>
        <w:tc>
          <w:tcPr>
            <w:tcW w:w="1044" w:type="dxa"/>
            <w:vAlign w:val="center"/>
          </w:tcPr>
          <w:p w14:paraId="6555B272">
            <w:pPr>
              <w:ind w:left="0" w:firstLine="0"/>
              <w:rPr>
                <w:rFonts w:ascii="宋体" w:hAnsi="宋体"/>
                <w:color w:val="auto"/>
                <w:highlight w:val="none"/>
              </w:rPr>
            </w:pPr>
          </w:p>
        </w:tc>
        <w:tc>
          <w:tcPr>
            <w:tcW w:w="1043" w:type="dxa"/>
            <w:vAlign w:val="center"/>
          </w:tcPr>
          <w:p w14:paraId="0523945A">
            <w:pPr>
              <w:ind w:left="0" w:firstLine="0"/>
              <w:rPr>
                <w:rFonts w:ascii="宋体" w:hAnsi="宋体"/>
                <w:color w:val="auto"/>
                <w:highlight w:val="none"/>
              </w:rPr>
            </w:pPr>
          </w:p>
        </w:tc>
      </w:tr>
      <w:tr w14:paraId="60F4DE6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C848FA1">
            <w:pPr>
              <w:ind w:left="0" w:firstLine="0"/>
              <w:rPr>
                <w:rFonts w:ascii="宋体" w:hAnsi="宋体"/>
                <w:color w:val="auto"/>
                <w:highlight w:val="none"/>
              </w:rPr>
            </w:pPr>
          </w:p>
        </w:tc>
        <w:tc>
          <w:tcPr>
            <w:tcW w:w="1092" w:type="dxa"/>
            <w:vAlign w:val="center"/>
          </w:tcPr>
          <w:p w14:paraId="31301A5E">
            <w:pPr>
              <w:ind w:left="0" w:firstLine="0"/>
              <w:rPr>
                <w:rFonts w:ascii="宋体" w:hAnsi="宋体"/>
                <w:color w:val="auto"/>
                <w:highlight w:val="none"/>
              </w:rPr>
            </w:pPr>
          </w:p>
        </w:tc>
        <w:tc>
          <w:tcPr>
            <w:tcW w:w="1789" w:type="dxa"/>
            <w:vAlign w:val="center"/>
          </w:tcPr>
          <w:p w14:paraId="0E934F90">
            <w:pPr>
              <w:ind w:left="0" w:firstLine="0"/>
              <w:rPr>
                <w:rFonts w:ascii="宋体" w:hAnsi="宋体"/>
                <w:color w:val="auto"/>
                <w:highlight w:val="none"/>
              </w:rPr>
            </w:pPr>
          </w:p>
        </w:tc>
        <w:tc>
          <w:tcPr>
            <w:tcW w:w="992" w:type="dxa"/>
            <w:vAlign w:val="center"/>
          </w:tcPr>
          <w:p w14:paraId="02BF742C">
            <w:pPr>
              <w:ind w:left="0" w:firstLine="0"/>
              <w:rPr>
                <w:rFonts w:ascii="宋体" w:hAnsi="宋体"/>
                <w:color w:val="auto"/>
                <w:highlight w:val="none"/>
              </w:rPr>
            </w:pPr>
          </w:p>
        </w:tc>
        <w:tc>
          <w:tcPr>
            <w:tcW w:w="993" w:type="dxa"/>
            <w:vAlign w:val="center"/>
          </w:tcPr>
          <w:p w14:paraId="4F7B7E25">
            <w:pPr>
              <w:ind w:left="0" w:firstLine="0"/>
              <w:rPr>
                <w:rFonts w:ascii="宋体" w:hAnsi="宋体"/>
                <w:color w:val="auto"/>
                <w:highlight w:val="none"/>
              </w:rPr>
            </w:pPr>
          </w:p>
        </w:tc>
        <w:tc>
          <w:tcPr>
            <w:tcW w:w="1388" w:type="dxa"/>
          </w:tcPr>
          <w:p w14:paraId="68CBBC40">
            <w:pPr>
              <w:ind w:left="0" w:firstLine="0"/>
              <w:rPr>
                <w:rFonts w:ascii="宋体" w:hAnsi="宋体"/>
                <w:color w:val="auto"/>
                <w:highlight w:val="none"/>
              </w:rPr>
            </w:pPr>
          </w:p>
        </w:tc>
        <w:tc>
          <w:tcPr>
            <w:tcW w:w="1044" w:type="dxa"/>
            <w:vAlign w:val="center"/>
          </w:tcPr>
          <w:p w14:paraId="52041DB1">
            <w:pPr>
              <w:ind w:left="0" w:firstLine="0"/>
              <w:rPr>
                <w:rFonts w:ascii="宋体" w:hAnsi="宋体"/>
                <w:color w:val="auto"/>
                <w:highlight w:val="none"/>
              </w:rPr>
            </w:pPr>
          </w:p>
        </w:tc>
        <w:tc>
          <w:tcPr>
            <w:tcW w:w="1043" w:type="dxa"/>
            <w:vAlign w:val="center"/>
          </w:tcPr>
          <w:p w14:paraId="6282C59F">
            <w:pPr>
              <w:ind w:left="0" w:firstLine="0"/>
              <w:rPr>
                <w:rFonts w:ascii="宋体" w:hAnsi="宋体"/>
                <w:color w:val="auto"/>
                <w:highlight w:val="none"/>
              </w:rPr>
            </w:pPr>
          </w:p>
        </w:tc>
      </w:tr>
      <w:tr w14:paraId="229DFB9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8AFFCF2">
            <w:pPr>
              <w:ind w:left="0" w:firstLine="0"/>
              <w:rPr>
                <w:rFonts w:ascii="宋体" w:hAnsi="宋体"/>
                <w:color w:val="auto"/>
                <w:highlight w:val="none"/>
              </w:rPr>
            </w:pPr>
          </w:p>
        </w:tc>
        <w:tc>
          <w:tcPr>
            <w:tcW w:w="1092" w:type="dxa"/>
            <w:vAlign w:val="center"/>
          </w:tcPr>
          <w:p w14:paraId="355B5B4A">
            <w:pPr>
              <w:ind w:left="0" w:firstLine="0"/>
              <w:rPr>
                <w:rFonts w:ascii="宋体" w:hAnsi="宋体"/>
                <w:color w:val="auto"/>
                <w:highlight w:val="none"/>
              </w:rPr>
            </w:pPr>
          </w:p>
        </w:tc>
        <w:tc>
          <w:tcPr>
            <w:tcW w:w="1789" w:type="dxa"/>
            <w:vAlign w:val="center"/>
          </w:tcPr>
          <w:p w14:paraId="2648479B">
            <w:pPr>
              <w:ind w:left="0" w:firstLine="0"/>
              <w:rPr>
                <w:rFonts w:ascii="宋体" w:hAnsi="宋体"/>
                <w:color w:val="auto"/>
                <w:highlight w:val="none"/>
              </w:rPr>
            </w:pPr>
          </w:p>
        </w:tc>
        <w:tc>
          <w:tcPr>
            <w:tcW w:w="992" w:type="dxa"/>
            <w:vAlign w:val="center"/>
          </w:tcPr>
          <w:p w14:paraId="5BD4B3EA">
            <w:pPr>
              <w:ind w:left="0" w:firstLine="0"/>
              <w:rPr>
                <w:rFonts w:ascii="宋体" w:hAnsi="宋体"/>
                <w:color w:val="auto"/>
                <w:highlight w:val="none"/>
              </w:rPr>
            </w:pPr>
          </w:p>
        </w:tc>
        <w:tc>
          <w:tcPr>
            <w:tcW w:w="993" w:type="dxa"/>
            <w:vAlign w:val="center"/>
          </w:tcPr>
          <w:p w14:paraId="3EE47BE5">
            <w:pPr>
              <w:ind w:left="0" w:firstLine="0"/>
              <w:rPr>
                <w:rFonts w:ascii="宋体" w:hAnsi="宋体"/>
                <w:color w:val="auto"/>
                <w:highlight w:val="none"/>
              </w:rPr>
            </w:pPr>
          </w:p>
        </w:tc>
        <w:tc>
          <w:tcPr>
            <w:tcW w:w="1388" w:type="dxa"/>
          </w:tcPr>
          <w:p w14:paraId="64D808BA">
            <w:pPr>
              <w:ind w:left="0" w:firstLine="0"/>
              <w:rPr>
                <w:rFonts w:ascii="宋体" w:hAnsi="宋体"/>
                <w:color w:val="auto"/>
                <w:highlight w:val="none"/>
              </w:rPr>
            </w:pPr>
          </w:p>
        </w:tc>
        <w:tc>
          <w:tcPr>
            <w:tcW w:w="1044" w:type="dxa"/>
            <w:vAlign w:val="center"/>
          </w:tcPr>
          <w:p w14:paraId="0B31C18A">
            <w:pPr>
              <w:ind w:left="0" w:firstLine="0"/>
              <w:rPr>
                <w:rFonts w:ascii="宋体" w:hAnsi="宋体"/>
                <w:color w:val="auto"/>
                <w:highlight w:val="none"/>
              </w:rPr>
            </w:pPr>
          </w:p>
        </w:tc>
        <w:tc>
          <w:tcPr>
            <w:tcW w:w="1043" w:type="dxa"/>
            <w:vAlign w:val="center"/>
          </w:tcPr>
          <w:p w14:paraId="29444C33">
            <w:pPr>
              <w:ind w:left="0" w:firstLine="0"/>
              <w:rPr>
                <w:rFonts w:ascii="宋体" w:hAnsi="宋体"/>
                <w:color w:val="auto"/>
                <w:highlight w:val="none"/>
              </w:rPr>
            </w:pPr>
          </w:p>
        </w:tc>
      </w:tr>
      <w:tr w14:paraId="1E8ECA9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DF06AD5">
            <w:pPr>
              <w:ind w:left="0" w:firstLine="0"/>
              <w:rPr>
                <w:rFonts w:ascii="宋体" w:hAnsi="宋体"/>
                <w:color w:val="auto"/>
                <w:highlight w:val="none"/>
              </w:rPr>
            </w:pPr>
          </w:p>
        </w:tc>
        <w:tc>
          <w:tcPr>
            <w:tcW w:w="1092" w:type="dxa"/>
            <w:vAlign w:val="center"/>
          </w:tcPr>
          <w:p w14:paraId="122A38C3">
            <w:pPr>
              <w:ind w:left="0" w:firstLine="0"/>
              <w:rPr>
                <w:rFonts w:ascii="宋体" w:hAnsi="宋体"/>
                <w:color w:val="auto"/>
                <w:highlight w:val="none"/>
              </w:rPr>
            </w:pPr>
          </w:p>
        </w:tc>
        <w:tc>
          <w:tcPr>
            <w:tcW w:w="1789" w:type="dxa"/>
            <w:vAlign w:val="center"/>
          </w:tcPr>
          <w:p w14:paraId="5947A9D5">
            <w:pPr>
              <w:ind w:left="0" w:firstLine="0"/>
              <w:rPr>
                <w:rFonts w:ascii="宋体" w:hAnsi="宋体"/>
                <w:color w:val="auto"/>
                <w:highlight w:val="none"/>
              </w:rPr>
            </w:pPr>
          </w:p>
        </w:tc>
        <w:tc>
          <w:tcPr>
            <w:tcW w:w="992" w:type="dxa"/>
            <w:vAlign w:val="center"/>
          </w:tcPr>
          <w:p w14:paraId="5D494CAE">
            <w:pPr>
              <w:ind w:left="0" w:firstLine="0"/>
              <w:rPr>
                <w:rFonts w:ascii="宋体" w:hAnsi="宋体"/>
                <w:color w:val="auto"/>
                <w:highlight w:val="none"/>
              </w:rPr>
            </w:pPr>
          </w:p>
        </w:tc>
        <w:tc>
          <w:tcPr>
            <w:tcW w:w="993" w:type="dxa"/>
            <w:vAlign w:val="center"/>
          </w:tcPr>
          <w:p w14:paraId="181DE24F">
            <w:pPr>
              <w:ind w:left="0" w:firstLine="0"/>
              <w:rPr>
                <w:rFonts w:ascii="宋体" w:hAnsi="宋体"/>
                <w:color w:val="auto"/>
                <w:highlight w:val="none"/>
              </w:rPr>
            </w:pPr>
          </w:p>
        </w:tc>
        <w:tc>
          <w:tcPr>
            <w:tcW w:w="1388" w:type="dxa"/>
          </w:tcPr>
          <w:p w14:paraId="77940F11">
            <w:pPr>
              <w:ind w:left="0" w:firstLine="0"/>
              <w:rPr>
                <w:rFonts w:ascii="宋体" w:hAnsi="宋体"/>
                <w:color w:val="auto"/>
                <w:highlight w:val="none"/>
              </w:rPr>
            </w:pPr>
          </w:p>
        </w:tc>
        <w:tc>
          <w:tcPr>
            <w:tcW w:w="1044" w:type="dxa"/>
            <w:vAlign w:val="center"/>
          </w:tcPr>
          <w:p w14:paraId="37B90FED">
            <w:pPr>
              <w:ind w:left="0" w:firstLine="0"/>
              <w:rPr>
                <w:rFonts w:ascii="宋体" w:hAnsi="宋体"/>
                <w:color w:val="auto"/>
                <w:highlight w:val="none"/>
              </w:rPr>
            </w:pPr>
          </w:p>
        </w:tc>
        <w:tc>
          <w:tcPr>
            <w:tcW w:w="1043" w:type="dxa"/>
            <w:vAlign w:val="center"/>
          </w:tcPr>
          <w:p w14:paraId="385408FC">
            <w:pPr>
              <w:ind w:left="0" w:firstLine="0"/>
              <w:rPr>
                <w:rFonts w:ascii="宋体" w:hAnsi="宋体"/>
                <w:color w:val="auto"/>
                <w:highlight w:val="none"/>
              </w:rPr>
            </w:pPr>
          </w:p>
        </w:tc>
      </w:tr>
      <w:tr w14:paraId="73B0534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BAA4943">
            <w:pPr>
              <w:ind w:left="0" w:firstLine="0"/>
              <w:rPr>
                <w:rFonts w:ascii="宋体" w:hAnsi="宋体"/>
                <w:color w:val="auto"/>
                <w:highlight w:val="none"/>
              </w:rPr>
            </w:pPr>
          </w:p>
        </w:tc>
        <w:tc>
          <w:tcPr>
            <w:tcW w:w="1092" w:type="dxa"/>
            <w:vAlign w:val="center"/>
          </w:tcPr>
          <w:p w14:paraId="7B9B7EDF">
            <w:pPr>
              <w:ind w:left="0" w:firstLine="0"/>
              <w:rPr>
                <w:rFonts w:ascii="宋体" w:hAnsi="宋体"/>
                <w:color w:val="auto"/>
                <w:highlight w:val="none"/>
              </w:rPr>
            </w:pPr>
          </w:p>
        </w:tc>
        <w:tc>
          <w:tcPr>
            <w:tcW w:w="1789" w:type="dxa"/>
            <w:vAlign w:val="center"/>
          </w:tcPr>
          <w:p w14:paraId="60920306">
            <w:pPr>
              <w:ind w:left="0" w:firstLine="0"/>
              <w:rPr>
                <w:rFonts w:ascii="宋体" w:hAnsi="宋体"/>
                <w:color w:val="auto"/>
                <w:highlight w:val="none"/>
              </w:rPr>
            </w:pPr>
          </w:p>
        </w:tc>
        <w:tc>
          <w:tcPr>
            <w:tcW w:w="992" w:type="dxa"/>
            <w:vAlign w:val="center"/>
          </w:tcPr>
          <w:p w14:paraId="68C68114">
            <w:pPr>
              <w:ind w:left="0" w:firstLine="0"/>
              <w:rPr>
                <w:rFonts w:ascii="宋体" w:hAnsi="宋体"/>
                <w:color w:val="auto"/>
                <w:highlight w:val="none"/>
              </w:rPr>
            </w:pPr>
          </w:p>
        </w:tc>
        <w:tc>
          <w:tcPr>
            <w:tcW w:w="993" w:type="dxa"/>
            <w:vAlign w:val="center"/>
          </w:tcPr>
          <w:p w14:paraId="26D56865">
            <w:pPr>
              <w:ind w:left="0" w:firstLine="0"/>
              <w:rPr>
                <w:rFonts w:ascii="宋体" w:hAnsi="宋体"/>
                <w:color w:val="auto"/>
                <w:highlight w:val="none"/>
              </w:rPr>
            </w:pPr>
          </w:p>
        </w:tc>
        <w:tc>
          <w:tcPr>
            <w:tcW w:w="1388" w:type="dxa"/>
          </w:tcPr>
          <w:p w14:paraId="6299BE9E">
            <w:pPr>
              <w:ind w:left="0" w:firstLine="0"/>
              <w:rPr>
                <w:rFonts w:ascii="宋体" w:hAnsi="宋体"/>
                <w:color w:val="auto"/>
                <w:highlight w:val="none"/>
              </w:rPr>
            </w:pPr>
          </w:p>
        </w:tc>
        <w:tc>
          <w:tcPr>
            <w:tcW w:w="1044" w:type="dxa"/>
            <w:vAlign w:val="center"/>
          </w:tcPr>
          <w:p w14:paraId="46AAD9D6">
            <w:pPr>
              <w:ind w:left="0" w:firstLine="0"/>
              <w:rPr>
                <w:rFonts w:ascii="宋体" w:hAnsi="宋体"/>
                <w:color w:val="auto"/>
                <w:highlight w:val="none"/>
              </w:rPr>
            </w:pPr>
          </w:p>
        </w:tc>
        <w:tc>
          <w:tcPr>
            <w:tcW w:w="1043" w:type="dxa"/>
            <w:vAlign w:val="center"/>
          </w:tcPr>
          <w:p w14:paraId="02DA9179">
            <w:pPr>
              <w:ind w:left="0" w:firstLine="0"/>
              <w:rPr>
                <w:rFonts w:ascii="宋体" w:hAnsi="宋体"/>
                <w:color w:val="auto"/>
                <w:highlight w:val="none"/>
              </w:rPr>
            </w:pPr>
          </w:p>
        </w:tc>
      </w:tr>
      <w:tr w14:paraId="1914417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19F8F7B3">
            <w:pPr>
              <w:ind w:left="0" w:firstLine="0"/>
              <w:rPr>
                <w:rFonts w:ascii="宋体" w:hAnsi="宋体"/>
                <w:color w:val="auto"/>
                <w:highlight w:val="none"/>
              </w:rPr>
            </w:pPr>
          </w:p>
        </w:tc>
        <w:tc>
          <w:tcPr>
            <w:tcW w:w="1092" w:type="dxa"/>
            <w:vAlign w:val="center"/>
          </w:tcPr>
          <w:p w14:paraId="45BC7C60">
            <w:pPr>
              <w:ind w:left="0" w:firstLine="0"/>
              <w:rPr>
                <w:rFonts w:ascii="宋体" w:hAnsi="宋体"/>
                <w:color w:val="auto"/>
                <w:highlight w:val="none"/>
              </w:rPr>
            </w:pPr>
          </w:p>
        </w:tc>
        <w:tc>
          <w:tcPr>
            <w:tcW w:w="1789" w:type="dxa"/>
            <w:vAlign w:val="center"/>
          </w:tcPr>
          <w:p w14:paraId="13CA9C25">
            <w:pPr>
              <w:ind w:left="0" w:firstLine="0"/>
              <w:rPr>
                <w:rFonts w:ascii="宋体" w:hAnsi="宋体"/>
                <w:color w:val="auto"/>
                <w:highlight w:val="none"/>
              </w:rPr>
            </w:pPr>
          </w:p>
        </w:tc>
        <w:tc>
          <w:tcPr>
            <w:tcW w:w="992" w:type="dxa"/>
            <w:vAlign w:val="center"/>
          </w:tcPr>
          <w:p w14:paraId="1ECFD14B">
            <w:pPr>
              <w:ind w:left="0" w:firstLine="0"/>
              <w:rPr>
                <w:rFonts w:ascii="宋体" w:hAnsi="宋体"/>
                <w:color w:val="auto"/>
                <w:highlight w:val="none"/>
              </w:rPr>
            </w:pPr>
          </w:p>
        </w:tc>
        <w:tc>
          <w:tcPr>
            <w:tcW w:w="993" w:type="dxa"/>
            <w:vAlign w:val="center"/>
          </w:tcPr>
          <w:p w14:paraId="37B425A2">
            <w:pPr>
              <w:ind w:left="0" w:firstLine="0"/>
              <w:rPr>
                <w:rFonts w:ascii="宋体" w:hAnsi="宋体"/>
                <w:color w:val="auto"/>
                <w:highlight w:val="none"/>
              </w:rPr>
            </w:pPr>
          </w:p>
        </w:tc>
        <w:tc>
          <w:tcPr>
            <w:tcW w:w="1388" w:type="dxa"/>
          </w:tcPr>
          <w:p w14:paraId="35A4AD74">
            <w:pPr>
              <w:ind w:left="0" w:firstLine="0"/>
              <w:rPr>
                <w:rFonts w:ascii="宋体" w:hAnsi="宋体"/>
                <w:color w:val="auto"/>
                <w:highlight w:val="none"/>
              </w:rPr>
            </w:pPr>
          </w:p>
        </w:tc>
        <w:tc>
          <w:tcPr>
            <w:tcW w:w="1044" w:type="dxa"/>
            <w:vAlign w:val="center"/>
          </w:tcPr>
          <w:p w14:paraId="09D4C325">
            <w:pPr>
              <w:ind w:left="0" w:firstLine="0"/>
              <w:rPr>
                <w:rFonts w:ascii="宋体" w:hAnsi="宋体"/>
                <w:color w:val="auto"/>
                <w:highlight w:val="none"/>
              </w:rPr>
            </w:pPr>
          </w:p>
        </w:tc>
        <w:tc>
          <w:tcPr>
            <w:tcW w:w="1043" w:type="dxa"/>
            <w:vAlign w:val="center"/>
          </w:tcPr>
          <w:p w14:paraId="3EF4AB1E">
            <w:pPr>
              <w:ind w:left="0" w:firstLine="0"/>
              <w:rPr>
                <w:rFonts w:ascii="宋体" w:hAnsi="宋体"/>
                <w:color w:val="auto"/>
                <w:highlight w:val="none"/>
              </w:rPr>
            </w:pPr>
          </w:p>
        </w:tc>
      </w:tr>
    </w:tbl>
    <w:p w14:paraId="3888C27A">
      <w:pPr>
        <w:spacing w:before="0" w:after="0" w:afterAutospacing="0"/>
        <w:ind w:left="0" w:leftChars="0" w:right="0" w:firstLine="0" w:firstLineChars="0"/>
        <w:jc w:val="left"/>
        <w:rPr>
          <w:rFonts w:ascii="宋体" w:hAnsi="宋体"/>
          <w:color w:val="auto"/>
          <w:highlight w:val="none"/>
        </w:rPr>
      </w:pPr>
    </w:p>
    <w:p w14:paraId="71539EAB">
      <w:pPr>
        <w:spacing w:before="0" w:after="0" w:afterAutospacing="0"/>
        <w:ind w:left="0" w:leftChars="0" w:right="0" w:firstLine="0" w:firstLineChars="0"/>
        <w:rPr>
          <w:rFonts w:hint="eastAsia" w:ascii="宋体" w:hAnsi="宋体" w:eastAsia="宋体"/>
          <w:color w:val="auto"/>
          <w:highlight w:val="none"/>
          <w:lang w:eastAsia="zh-CN"/>
        </w:rPr>
      </w:pPr>
      <w:r>
        <w:rPr>
          <w:rFonts w:ascii="宋体" w:hAnsi="宋体"/>
          <w:color w:val="auto"/>
          <w:highlight w:val="none"/>
        </w:rPr>
        <w:t>注：1.</w:t>
      </w:r>
      <w:r>
        <w:rPr>
          <w:rFonts w:hint="eastAsia" w:ascii="宋体" w:hAnsi="宋体"/>
          <w:color w:val="auto"/>
          <w:highlight w:val="none"/>
        </w:rPr>
        <w:t>类似项目业绩：</w:t>
      </w:r>
      <w:r>
        <w:rPr>
          <w:rFonts w:hint="eastAsia"/>
          <w:color w:val="auto"/>
          <w:sz w:val="21"/>
          <w:szCs w:val="21"/>
          <w:highlight w:val="none"/>
          <w:lang w:eastAsia="zh-CN"/>
        </w:rPr>
        <w:t>比选申请人自</w:t>
      </w:r>
      <w:r>
        <w:rPr>
          <w:rFonts w:hint="eastAsia" w:ascii="宋体" w:hAnsi="宋体"/>
          <w:color w:val="auto"/>
          <w:highlight w:val="none"/>
        </w:rPr>
        <w:t>202</w:t>
      </w:r>
      <w:r>
        <w:rPr>
          <w:rFonts w:hint="eastAsia" w:ascii="宋体" w:hAnsi="宋体"/>
          <w:color w:val="auto"/>
          <w:highlight w:val="none"/>
          <w:lang w:val="en-US" w:eastAsia="zh-CN"/>
        </w:rPr>
        <w:t>1</w:t>
      </w:r>
      <w:r>
        <w:rPr>
          <w:rFonts w:hint="eastAsia" w:ascii="宋体" w:hAnsi="宋体"/>
          <w:color w:val="auto"/>
          <w:highlight w:val="none"/>
        </w:rPr>
        <w:t>年1月1日至今承接过</w:t>
      </w:r>
      <w:r>
        <w:rPr>
          <w:rFonts w:hint="eastAsia" w:ascii="宋体" w:hAnsi="宋体"/>
          <w:color w:val="auto"/>
          <w:highlight w:val="none"/>
          <w:lang w:eastAsia="zh-CN"/>
        </w:rPr>
        <w:t>1个单项合同金额20万</w:t>
      </w:r>
      <w:r>
        <w:rPr>
          <w:rFonts w:hint="eastAsia" w:ascii="宋体" w:hAnsi="宋体"/>
          <w:color w:val="auto"/>
          <w:highlight w:val="none"/>
        </w:rPr>
        <w:t>以上（含</w:t>
      </w:r>
      <w:r>
        <w:rPr>
          <w:rFonts w:hint="eastAsia" w:ascii="宋体" w:hAnsi="宋体"/>
          <w:color w:val="auto"/>
          <w:highlight w:val="none"/>
          <w:lang w:val="en-US" w:eastAsia="zh-CN"/>
        </w:rPr>
        <w:t>20</w:t>
      </w:r>
      <w:r>
        <w:rPr>
          <w:rFonts w:hint="eastAsia" w:ascii="宋体" w:hAnsi="宋体"/>
          <w:color w:val="auto"/>
          <w:highlight w:val="none"/>
        </w:rPr>
        <w:t>万）</w:t>
      </w:r>
      <w:r>
        <w:rPr>
          <w:rFonts w:hint="eastAsia" w:ascii="宋体" w:hAnsi="宋体"/>
          <w:color w:val="auto"/>
          <w:highlight w:val="none"/>
          <w:lang w:val="en-US" w:eastAsia="zh-CN"/>
        </w:rPr>
        <w:t>勘察</w:t>
      </w:r>
      <w:r>
        <w:rPr>
          <w:rFonts w:hint="eastAsia" w:ascii="宋体" w:hAnsi="宋体"/>
          <w:color w:val="auto"/>
          <w:highlight w:val="none"/>
        </w:rPr>
        <w:t>服务项目</w:t>
      </w:r>
      <w:r>
        <w:rPr>
          <w:rFonts w:hint="eastAsia" w:ascii="宋体" w:hAnsi="宋体"/>
          <w:color w:val="auto"/>
          <w:highlight w:val="none"/>
          <w:lang w:eastAsia="zh-CN"/>
        </w:rPr>
        <w:t>。</w:t>
      </w:r>
    </w:p>
    <w:p w14:paraId="39DE22A6">
      <w:pPr>
        <w:spacing w:before="0" w:after="0" w:afterAutospacing="0"/>
        <w:ind w:left="707" w:leftChars="100" w:right="0" w:hanging="497" w:hangingChars="237"/>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23FE7E71">
      <w:pPr>
        <w:spacing w:before="0" w:after="0" w:afterAutospacing="0"/>
        <w:ind w:left="0" w:right="0" w:firstLine="210" w:firstLineChars="100"/>
        <w:jc w:val="left"/>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比选申请人须提供相应的业绩证明材料：提供下述材料之一即可：①合同文件；②中标通知书。所提供的材料须能明确反映类似项目特征，复印件加盖比选申请人公章。</w:t>
      </w:r>
    </w:p>
    <w:p w14:paraId="42599B59">
      <w:pPr>
        <w:snapToGrid w:val="0"/>
        <w:spacing w:after="50" w:line="280" w:lineRule="exact"/>
        <w:ind w:left="955" w:right="-817" w:firstLine="2520" w:firstLineChars="1200"/>
        <w:rPr>
          <w:rFonts w:ascii="宋体" w:hAnsi="宋体"/>
          <w:color w:val="auto"/>
          <w:highlight w:val="none"/>
        </w:rPr>
      </w:pPr>
    </w:p>
    <w:p w14:paraId="1D001839">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464DCE03">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28EA0300">
      <w:pPr>
        <w:ind w:left="710" w:leftChars="338" w:right="-57" w:firstLine="3234" w:firstLineChars="1540"/>
        <w:jc w:val="left"/>
        <w:rPr>
          <w:rFonts w:hint="eastAsia" w:ascii="宋体" w:hAnsi="宋体"/>
          <w:b/>
          <w:color w:val="auto"/>
          <w:highlight w:val="none"/>
        </w:rPr>
      </w:pPr>
      <w:r>
        <w:rPr>
          <w:rFonts w:hint="eastAsia" w:ascii="宋体" w:hAnsi="宋体"/>
          <w:color w:val="auto"/>
          <w:highlight w:val="none"/>
        </w:rPr>
        <w:t>日  期：年</w:t>
      </w:r>
      <w:r>
        <w:rPr>
          <w:rFonts w:hint="eastAsia" w:ascii="宋体" w:hAnsi="宋体"/>
          <w:color w:val="auto"/>
          <w:highlight w:val="none"/>
          <w:lang w:val="en-US" w:eastAsia="zh-CN"/>
        </w:rPr>
        <w:t xml:space="preserve"> </w:t>
      </w:r>
      <w:r>
        <w:rPr>
          <w:rFonts w:hint="eastAsia" w:ascii="宋体" w:hAnsi="宋体"/>
          <w:color w:val="auto"/>
          <w:highlight w:val="none"/>
        </w:rPr>
        <w:t>月</w:t>
      </w:r>
      <w:r>
        <w:rPr>
          <w:rFonts w:hint="eastAsia" w:ascii="宋体" w:hAnsi="宋体"/>
          <w:color w:val="auto"/>
          <w:highlight w:val="none"/>
          <w:lang w:val="en-US" w:eastAsia="zh-CN"/>
        </w:rPr>
        <w:t xml:space="preserve"> </w:t>
      </w:r>
      <w:r>
        <w:rPr>
          <w:rFonts w:hint="eastAsia" w:ascii="宋体" w:hAnsi="宋体"/>
          <w:color w:val="auto"/>
          <w:highlight w:val="none"/>
        </w:rPr>
        <w:t>日</w:t>
      </w:r>
    </w:p>
    <w:p w14:paraId="0DCF341E">
      <w:pPr>
        <w:pStyle w:val="2"/>
        <w:pageBreakBefore/>
        <w:spacing w:after="100"/>
        <w:ind w:left="0" w:right="-57" w:firstLine="0"/>
        <w:jc w:val="center"/>
        <w:rPr>
          <w:rFonts w:ascii="宋体" w:hAnsi="宋体"/>
          <w:color w:val="auto"/>
          <w:sz w:val="24"/>
          <w:szCs w:val="24"/>
          <w:highlight w:val="none"/>
        </w:rPr>
      </w:pPr>
      <w:r>
        <w:rPr>
          <w:rFonts w:ascii="宋体" w:hAnsi="宋体"/>
          <w:color w:val="auto"/>
          <w:sz w:val="24"/>
          <w:szCs w:val="24"/>
          <w:highlight w:val="none"/>
        </w:rPr>
        <w:t xml:space="preserve">B </w:t>
      </w:r>
      <w:r>
        <w:rPr>
          <w:rFonts w:hint="eastAsia" w:ascii="宋体" w:hAnsi="宋体"/>
          <w:color w:val="auto"/>
          <w:sz w:val="24"/>
          <w:szCs w:val="24"/>
          <w:highlight w:val="none"/>
        </w:rPr>
        <w:t>价格文件</w:t>
      </w:r>
    </w:p>
    <w:p w14:paraId="0711B7EB">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0069D941">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）比选申请报价表（格式见B1）；</w:t>
      </w:r>
    </w:p>
    <w:p w14:paraId="745DC8F5">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5B351F37">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4AE29FC9">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7E322614">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72A0CC67">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072B9AFE">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2145E13B">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41C29BAB">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4F011A36">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2174286A">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255168CB">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696E0213">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55199229">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773F0375">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55E86FB5">
      <w:pPr>
        <w:overflowPunct w:val="0"/>
        <w:autoSpaceDE w:val="0"/>
        <w:autoSpaceDN w:val="0"/>
        <w:adjustRightInd w:val="0"/>
        <w:snapToGrid w:val="0"/>
        <w:spacing w:line="480" w:lineRule="atLeast"/>
        <w:ind w:left="3780" w:leftChars="1800" w:firstLine="1200" w:firstLineChars="500"/>
        <w:rPr>
          <w:rFonts w:ascii="宋体" w:hAnsi="宋体"/>
          <w:color w:val="auto"/>
          <w:sz w:val="24"/>
          <w:szCs w:val="24"/>
          <w:highlight w:val="none"/>
        </w:rPr>
      </w:pPr>
    </w:p>
    <w:p w14:paraId="234EA2B1">
      <w:pPr>
        <w:overflowPunct w:val="0"/>
        <w:autoSpaceDE w:val="0"/>
        <w:autoSpaceDN w:val="0"/>
        <w:adjustRightInd w:val="0"/>
        <w:snapToGrid w:val="0"/>
        <w:spacing w:line="480" w:lineRule="atLeast"/>
        <w:ind w:left="3780" w:leftChars="1800" w:firstLine="1200" w:firstLineChars="500"/>
        <w:rPr>
          <w:color w:val="auto"/>
          <w:highlight w:val="none"/>
        </w:rPr>
      </w:pPr>
      <w:r>
        <w:rPr>
          <w:rFonts w:hint="eastAsia" w:ascii="宋体" w:hAnsi="宋体"/>
          <w:color w:val="auto"/>
          <w:sz w:val="24"/>
          <w:szCs w:val="24"/>
          <w:highlight w:val="none"/>
        </w:rPr>
        <w:t xml:space="preserve"> </w:t>
      </w:r>
    </w:p>
    <w:p w14:paraId="0AF891D1">
      <w:pPr>
        <w:snapToGrid w:val="0"/>
        <w:spacing w:after="50"/>
        <w:ind w:right="-57" w:firstLine="0"/>
        <w:jc w:val="left"/>
        <w:rPr>
          <w:rFonts w:hint="eastAsia" w:ascii="宋体" w:hAnsi="宋体"/>
          <w:b/>
          <w:color w:val="auto"/>
          <w:sz w:val="24"/>
          <w:szCs w:val="24"/>
          <w:highlight w:val="none"/>
        </w:rPr>
      </w:pPr>
      <w:bookmarkStart w:id="1381" w:name="_Toc25419"/>
      <w:bookmarkStart w:id="1382" w:name="_Toc25750680"/>
      <w:bookmarkStart w:id="1383" w:name="_Toc1158"/>
      <w:bookmarkStart w:id="1384" w:name="_Toc12984812"/>
      <w:bookmarkStart w:id="1385" w:name="_Toc9560"/>
      <w:bookmarkStart w:id="1386" w:name="_Toc29688"/>
      <w:bookmarkStart w:id="1387" w:name="_Toc18340"/>
      <w:bookmarkStart w:id="1388" w:name="_Toc12951"/>
      <w:bookmarkStart w:id="1389" w:name="_Toc492478808"/>
      <w:bookmarkStart w:id="1390" w:name="_Toc7004"/>
      <w:bookmarkStart w:id="1391" w:name="_Toc24326"/>
      <w:bookmarkStart w:id="1392" w:name="_Toc9861"/>
      <w:bookmarkStart w:id="1393" w:name="_Toc29231"/>
      <w:bookmarkStart w:id="1394" w:name="_Toc18516"/>
      <w:bookmarkStart w:id="1395" w:name="_Toc414290526"/>
      <w:bookmarkStart w:id="1396" w:name="_Toc6992"/>
      <w:bookmarkStart w:id="1397" w:name="_Toc12983552"/>
      <w:bookmarkStart w:id="1398" w:name="_Toc13980"/>
      <w:bookmarkStart w:id="1399" w:name="_Toc114134668"/>
      <w:bookmarkStart w:id="1400" w:name="_Toc27610"/>
      <w:bookmarkStart w:id="1401" w:name="_Toc375564355"/>
      <w:bookmarkStart w:id="1402" w:name="_Toc10991"/>
      <w:bookmarkStart w:id="1403" w:name="_Toc16489"/>
      <w:bookmarkStart w:id="1404" w:name="_Toc24487"/>
      <w:bookmarkStart w:id="1405" w:name="_Toc23615"/>
      <w:r>
        <w:rPr>
          <w:rFonts w:hint="eastAsia" w:ascii="宋体" w:hAnsi="宋体"/>
          <w:b/>
          <w:color w:val="auto"/>
          <w:sz w:val="24"/>
          <w:szCs w:val="24"/>
          <w:highlight w:val="none"/>
        </w:rPr>
        <w:t>B1比选申请报价表</w:t>
      </w:r>
    </w:p>
    <w:p w14:paraId="0AF156F9">
      <w:pPr>
        <w:snapToGrid w:val="0"/>
        <w:spacing w:after="50"/>
        <w:ind w:right="-57" w:firstLine="0"/>
        <w:jc w:val="center"/>
        <w:rPr>
          <w:rFonts w:hint="eastAsia" w:ascii="宋体" w:hAnsi="宋体" w:eastAsia="宋体"/>
          <w:b/>
          <w:color w:val="auto"/>
          <w:sz w:val="24"/>
          <w:szCs w:val="24"/>
          <w:highlight w:val="none"/>
          <w:lang w:val="en-US" w:eastAsia="zh-CN"/>
        </w:rPr>
      </w:pPr>
      <w:r>
        <w:rPr>
          <w:rFonts w:hint="eastAsia" w:ascii="宋体" w:hAnsi="宋体"/>
          <w:b/>
          <w:color w:val="auto"/>
          <w:sz w:val="24"/>
          <w:szCs w:val="24"/>
          <w:highlight w:val="none"/>
        </w:rPr>
        <w:t>B1</w:t>
      </w:r>
      <w:r>
        <w:rPr>
          <w:rFonts w:hint="eastAsia" w:ascii="宋体" w:hAnsi="宋体"/>
          <w:b/>
          <w:color w:val="auto"/>
          <w:sz w:val="24"/>
          <w:szCs w:val="24"/>
          <w:highlight w:val="none"/>
          <w:lang w:val="en-US" w:eastAsia="zh-CN"/>
        </w:rPr>
        <w:t>-1</w:t>
      </w:r>
      <w:r>
        <w:rPr>
          <w:rFonts w:hint="eastAsia" w:ascii="宋体" w:hAnsi="宋体"/>
          <w:b/>
          <w:color w:val="auto"/>
          <w:sz w:val="24"/>
          <w:szCs w:val="24"/>
          <w:highlight w:val="none"/>
        </w:rPr>
        <w:t>比选申请报价</w:t>
      </w:r>
      <w:r>
        <w:rPr>
          <w:rFonts w:hint="eastAsia" w:ascii="宋体" w:hAnsi="宋体"/>
          <w:b/>
          <w:color w:val="auto"/>
          <w:sz w:val="24"/>
          <w:szCs w:val="24"/>
          <w:highlight w:val="none"/>
          <w:lang w:val="en-US" w:eastAsia="zh-CN"/>
        </w:rPr>
        <w:t>汇总表</w:t>
      </w:r>
    </w:p>
    <w:tbl>
      <w:tblPr>
        <w:tblStyle w:val="39"/>
        <w:tblpPr w:leftFromText="180" w:rightFromText="180" w:vertAnchor="text" w:horzAnchor="page" w:tblpX="1429" w:tblpY="126"/>
        <w:tblOverlap w:val="never"/>
        <w:tblW w:w="493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2315"/>
        <w:gridCol w:w="5034"/>
        <w:gridCol w:w="1073"/>
      </w:tblGrid>
      <w:tr w14:paraId="4350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vAlign w:val="center"/>
          </w:tcPr>
          <w:p w14:paraId="5634A17D">
            <w:pPr>
              <w:pStyle w:val="19"/>
              <w:ind w:left="0" w:firstLine="0"/>
              <w:jc w:val="center"/>
              <w:rPr>
                <w:rFonts w:hAnsi="宋体"/>
                <w:b/>
                <w:bCs/>
                <w:color w:val="auto"/>
                <w:kern w:val="2"/>
                <w:sz w:val="21"/>
                <w:szCs w:val="21"/>
                <w:highlight w:val="none"/>
              </w:rPr>
            </w:pPr>
            <w:bookmarkStart w:id="1406" w:name="OLE_LINK30"/>
            <w:r>
              <w:rPr>
                <w:rStyle w:val="40"/>
                <w:rFonts w:hint="eastAsia" w:ascii="宋体" w:hAnsi="宋体" w:cs="宋体"/>
                <w:b w:val="0"/>
                <w:bCs w:val="0"/>
                <w:i w:val="0"/>
                <w:iCs w:val="0"/>
                <w:smallCaps w:val="0"/>
                <w:color w:val="auto"/>
                <w:kern w:val="0"/>
                <w:sz w:val="21"/>
                <w:szCs w:val="24"/>
                <w:highlight w:val="none"/>
                <w:u w:val="none"/>
                <w:lang w:val="zh-CN"/>
              </w:rPr>
              <w:t>南宁市白沙半岛片区城中村改造项目安置住房小区（地块</w:t>
            </w:r>
            <w:r>
              <w:rPr>
                <w:rStyle w:val="40"/>
                <w:rFonts w:hint="eastAsia" w:ascii="宋体" w:hAnsi="宋体" w:cs="宋体"/>
                <w:b w:val="0"/>
                <w:bCs w:val="0"/>
                <w:i w:val="0"/>
                <w:iCs w:val="0"/>
                <w:smallCaps w:val="0"/>
                <w:color w:val="auto"/>
                <w:kern w:val="0"/>
                <w:sz w:val="21"/>
                <w:szCs w:val="24"/>
                <w:highlight w:val="none"/>
                <w:u w:val="none"/>
                <w:lang w:val="en-US" w:eastAsia="zh-CN"/>
              </w:rPr>
              <w:t>1</w:t>
            </w:r>
            <w:r>
              <w:rPr>
                <w:rStyle w:val="40"/>
                <w:rFonts w:hint="eastAsia" w:ascii="宋体" w:hAnsi="宋体" w:cs="宋体"/>
                <w:b w:val="0"/>
                <w:bCs w:val="0"/>
                <w:i w:val="0"/>
                <w:iCs w:val="0"/>
                <w:smallCaps w:val="0"/>
                <w:color w:val="auto"/>
                <w:kern w:val="0"/>
                <w:sz w:val="21"/>
                <w:szCs w:val="24"/>
                <w:highlight w:val="none"/>
                <w:u w:val="none"/>
                <w:lang w:val="zh-CN"/>
              </w:rPr>
              <w:t>）地质勘察</w:t>
            </w:r>
            <w:bookmarkEnd w:id="1406"/>
          </w:p>
        </w:tc>
      </w:tr>
      <w:tr w14:paraId="573B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08" w:type="pct"/>
          </w:tcPr>
          <w:p w14:paraId="6F9E0BEC">
            <w:pPr>
              <w:pStyle w:val="19"/>
              <w:ind w:left="0" w:firstLine="0"/>
              <w:rPr>
                <w:rFonts w:hAnsi="宋体"/>
                <w:b/>
                <w:color w:val="auto"/>
                <w:kern w:val="2"/>
                <w:sz w:val="21"/>
                <w:szCs w:val="21"/>
                <w:highlight w:val="none"/>
              </w:rPr>
            </w:pPr>
            <w:r>
              <w:rPr>
                <w:rFonts w:hint="eastAsia" w:hAnsi="宋体"/>
                <w:b/>
                <w:color w:val="auto"/>
                <w:kern w:val="2"/>
                <w:sz w:val="21"/>
                <w:szCs w:val="21"/>
                <w:highlight w:val="none"/>
              </w:rPr>
              <w:t>序号</w:t>
            </w:r>
          </w:p>
        </w:tc>
        <w:tc>
          <w:tcPr>
            <w:tcW w:w="1262" w:type="pct"/>
          </w:tcPr>
          <w:p w14:paraId="6FA34D0D">
            <w:pPr>
              <w:pStyle w:val="19"/>
              <w:ind w:left="0" w:firstLine="0"/>
              <w:jc w:val="center"/>
              <w:rPr>
                <w:rFonts w:hAnsi="宋体"/>
                <w:b/>
                <w:color w:val="auto"/>
                <w:kern w:val="2"/>
                <w:sz w:val="21"/>
                <w:szCs w:val="21"/>
                <w:highlight w:val="none"/>
              </w:rPr>
            </w:pPr>
          </w:p>
        </w:tc>
        <w:tc>
          <w:tcPr>
            <w:tcW w:w="2745" w:type="pct"/>
          </w:tcPr>
          <w:p w14:paraId="67C6E78C">
            <w:pPr>
              <w:pStyle w:val="19"/>
              <w:ind w:left="0" w:firstLine="0"/>
              <w:jc w:val="center"/>
              <w:rPr>
                <w:color w:val="auto"/>
                <w:sz w:val="21"/>
                <w:szCs w:val="21"/>
                <w:highlight w:val="none"/>
              </w:rPr>
            </w:pPr>
            <w:r>
              <w:rPr>
                <w:rFonts w:hint="eastAsia" w:hAnsi="宋体"/>
                <w:b/>
                <w:color w:val="auto"/>
                <w:kern w:val="2"/>
                <w:sz w:val="21"/>
                <w:szCs w:val="21"/>
                <w:highlight w:val="none"/>
              </w:rPr>
              <w:t xml:space="preserve">不含税总金额（元） </w:t>
            </w:r>
          </w:p>
        </w:tc>
        <w:tc>
          <w:tcPr>
            <w:tcW w:w="582" w:type="pct"/>
          </w:tcPr>
          <w:p w14:paraId="0DA3F439">
            <w:pPr>
              <w:pStyle w:val="19"/>
              <w:ind w:left="0" w:firstLine="0"/>
              <w:rPr>
                <w:rFonts w:hAnsi="宋体"/>
                <w:b/>
                <w:color w:val="auto"/>
                <w:kern w:val="2"/>
                <w:sz w:val="21"/>
                <w:szCs w:val="21"/>
                <w:highlight w:val="none"/>
              </w:rPr>
            </w:pPr>
            <w:r>
              <w:rPr>
                <w:rFonts w:hint="eastAsia" w:hAnsi="宋体"/>
                <w:b/>
                <w:color w:val="auto"/>
                <w:kern w:val="2"/>
                <w:sz w:val="21"/>
                <w:szCs w:val="21"/>
                <w:highlight w:val="none"/>
              </w:rPr>
              <w:t>备注</w:t>
            </w:r>
          </w:p>
        </w:tc>
      </w:tr>
      <w:tr w14:paraId="5257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63E13FF3">
            <w:pPr>
              <w:pStyle w:val="19"/>
              <w:ind w:left="0" w:firstLine="0"/>
              <w:rPr>
                <w:color w:val="auto"/>
                <w:sz w:val="21"/>
                <w:szCs w:val="21"/>
                <w:highlight w:val="none"/>
              </w:rPr>
            </w:pPr>
            <w:r>
              <w:rPr>
                <w:rFonts w:hint="eastAsia"/>
                <w:color w:val="auto"/>
                <w:sz w:val="21"/>
                <w:szCs w:val="21"/>
                <w:highlight w:val="none"/>
              </w:rPr>
              <w:t>1</w:t>
            </w:r>
          </w:p>
        </w:tc>
        <w:tc>
          <w:tcPr>
            <w:tcW w:w="1262" w:type="pct"/>
          </w:tcPr>
          <w:p w14:paraId="19348D09">
            <w:pPr>
              <w:pStyle w:val="19"/>
              <w:ind w:left="0" w:firstLine="0"/>
              <w:rPr>
                <w:bCs/>
                <w:color w:val="auto"/>
                <w:sz w:val="21"/>
                <w:szCs w:val="21"/>
                <w:highlight w:val="none"/>
              </w:rPr>
            </w:pPr>
            <w:r>
              <w:rPr>
                <w:rFonts w:hint="eastAsia" w:hAnsi="宋体"/>
                <w:b/>
                <w:color w:val="auto"/>
                <w:kern w:val="2"/>
                <w:sz w:val="21"/>
                <w:szCs w:val="21"/>
                <w:highlight w:val="none"/>
              </w:rPr>
              <w:t>不含税报价合计/元</w:t>
            </w:r>
          </w:p>
        </w:tc>
        <w:tc>
          <w:tcPr>
            <w:tcW w:w="2745" w:type="pct"/>
          </w:tcPr>
          <w:p w14:paraId="778C460A">
            <w:pPr>
              <w:pStyle w:val="19"/>
              <w:ind w:left="0" w:firstLine="0"/>
              <w:rPr>
                <w:color w:val="auto"/>
                <w:sz w:val="21"/>
                <w:szCs w:val="21"/>
                <w:highlight w:val="none"/>
              </w:rPr>
            </w:pPr>
            <w:r>
              <w:rPr>
                <w:rFonts w:hint="eastAsia"/>
                <w:color w:val="auto"/>
                <w:sz w:val="21"/>
                <w:szCs w:val="21"/>
                <w:highlight w:val="none"/>
              </w:rPr>
              <w:t xml:space="preserve">小写： </w:t>
            </w:r>
            <w:r>
              <w:rPr>
                <w:color w:val="auto"/>
                <w:sz w:val="21"/>
                <w:szCs w:val="21"/>
                <w:highlight w:val="none"/>
              </w:rPr>
              <w:t xml:space="preserve">             </w:t>
            </w:r>
            <w:r>
              <w:rPr>
                <w:rFonts w:hint="eastAsia"/>
                <w:color w:val="auto"/>
                <w:sz w:val="21"/>
                <w:szCs w:val="21"/>
                <w:highlight w:val="none"/>
              </w:rPr>
              <w:t>大写：</w:t>
            </w:r>
            <w:r>
              <w:rPr>
                <w:color w:val="auto"/>
                <w:sz w:val="21"/>
                <w:szCs w:val="21"/>
                <w:highlight w:val="none"/>
              </w:rPr>
              <w:t xml:space="preserve">         </w:t>
            </w:r>
          </w:p>
        </w:tc>
        <w:tc>
          <w:tcPr>
            <w:tcW w:w="582" w:type="pct"/>
          </w:tcPr>
          <w:p w14:paraId="580192E7">
            <w:pPr>
              <w:pStyle w:val="19"/>
              <w:ind w:left="0" w:firstLine="0"/>
              <w:rPr>
                <w:color w:val="auto"/>
                <w:sz w:val="21"/>
                <w:szCs w:val="21"/>
                <w:highlight w:val="none"/>
              </w:rPr>
            </w:pPr>
          </w:p>
        </w:tc>
      </w:tr>
      <w:tr w14:paraId="34A7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 w:type="pct"/>
          </w:tcPr>
          <w:p w14:paraId="1C894BA3">
            <w:pPr>
              <w:pStyle w:val="19"/>
              <w:ind w:left="0" w:firstLine="0"/>
              <w:rPr>
                <w:color w:val="auto"/>
                <w:sz w:val="21"/>
                <w:szCs w:val="21"/>
                <w:highlight w:val="none"/>
              </w:rPr>
            </w:pPr>
            <w:r>
              <w:rPr>
                <w:rFonts w:hint="eastAsia"/>
                <w:color w:val="auto"/>
                <w:sz w:val="21"/>
                <w:szCs w:val="21"/>
                <w:highlight w:val="none"/>
              </w:rPr>
              <w:t>2</w:t>
            </w:r>
          </w:p>
        </w:tc>
        <w:tc>
          <w:tcPr>
            <w:tcW w:w="1262" w:type="pct"/>
          </w:tcPr>
          <w:p w14:paraId="7872AD4C">
            <w:pPr>
              <w:pStyle w:val="19"/>
              <w:ind w:left="0" w:firstLine="0"/>
              <w:rPr>
                <w:color w:val="auto"/>
                <w:sz w:val="21"/>
                <w:szCs w:val="21"/>
                <w:highlight w:val="none"/>
              </w:rPr>
            </w:pPr>
            <w:r>
              <w:rPr>
                <w:rFonts w:hint="eastAsia" w:hAnsi="宋体"/>
                <w:b/>
                <w:color w:val="auto"/>
                <w:kern w:val="2"/>
                <w:sz w:val="21"/>
                <w:szCs w:val="21"/>
                <w:highlight w:val="none"/>
              </w:rPr>
              <w:t>税率</w:t>
            </w:r>
          </w:p>
        </w:tc>
        <w:tc>
          <w:tcPr>
            <w:tcW w:w="2745" w:type="pct"/>
          </w:tcPr>
          <w:p w14:paraId="3558FD07">
            <w:pPr>
              <w:pStyle w:val="19"/>
              <w:ind w:left="0" w:firstLine="0"/>
              <w:rPr>
                <w:color w:val="auto"/>
                <w:sz w:val="21"/>
                <w:szCs w:val="21"/>
                <w:highlight w:val="none"/>
              </w:rPr>
            </w:pPr>
            <w:r>
              <w:rPr>
                <w:rFonts w:hint="eastAsia"/>
                <w:color w:val="auto"/>
                <w:sz w:val="21"/>
                <w:szCs w:val="21"/>
                <w:highlight w:val="none"/>
              </w:rPr>
              <w:t xml:space="preserve"> </w:t>
            </w:r>
            <w:r>
              <w:rPr>
                <w:color w:val="auto"/>
                <w:sz w:val="21"/>
                <w:szCs w:val="21"/>
                <w:highlight w:val="none"/>
              </w:rPr>
              <w:t xml:space="preserve">                  </w:t>
            </w:r>
            <w:r>
              <w:rPr>
                <w:color w:val="auto"/>
                <w:sz w:val="21"/>
                <w:szCs w:val="21"/>
                <w:highlight w:val="none"/>
                <w:u w:val="single"/>
              </w:rPr>
              <w:t xml:space="preserve">       </w:t>
            </w:r>
            <w:r>
              <w:rPr>
                <w:rFonts w:hint="eastAsia"/>
                <w:color w:val="auto"/>
                <w:sz w:val="21"/>
                <w:szCs w:val="21"/>
                <w:highlight w:val="none"/>
                <w:u w:val="single"/>
              </w:rPr>
              <w:t>%</w:t>
            </w:r>
          </w:p>
        </w:tc>
        <w:tc>
          <w:tcPr>
            <w:tcW w:w="582" w:type="pct"/>
          </w:tcPr>
          <w:p w14:paraId="6E00AD38">
            <w:pPr>
              <w:pStyle w:val="19"/>
              <w:ind w:left="0" w:firstLine="0"/>
              <w:rPr>
                <w:color w:val="auto"/>
                <w:sz w:val="21"/>
                <w:szCs w:val="21"/>
                <w:highlight w:val="none"/>
              </w:rPr>
            </w:pPr>
          </w:p>
        </w:tc>
      </w:tr>
      <w:tr w14:paraId="30914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47286F80">
            <w:pPr>
              <w:pStyle w:val="19"/>
              <w:ind w:left="0" w:firstLine="0"/>
              <w:rPr>
                <w:color w:val="auto"/>
                <w:sz w:val="21"/>
                <w:szCs w:val="21"/>
                <w:highlight w:val="none"/>
              </w:rPr>
            </w:pPr>
            <w:r>
              <w:rPr>
                <w:rFonts w:hint="eastAsia"/>
                <w:color w:val="auto"/>
                <w:sz w:val="21"/>
                <w:szCs w:val="21"/>
                <w:highlight w:val="none"/>
              </w:rPr>
              <w:t>3</w:t>
            </w:r>
          </w:p>
        </w:tc>
        <w:tc>
          <w:tcPr>
            <w:tcW w:w="1262" w:type="pct"/>
          </w:tcPr>
          <w:p w14:paraId="4B0CC0CB">
            <w:pPr>
              <w:pStyle w:val="19"/>
              <w:ind w:left="0" w:firstLine="0"/>
              <w:rPr>
                <w:rFonts w:hAnsi="宋体"/>
                <w:b/>
                <w:color w:val="auto"/>
                <w:kern w:val="2"/>
                <w:sz w:val="21"/>
                <w:szCs w:val="21"/>
                <w:highlight w:val="none"/>
              </w:rPr>
            </w:pPr>
            <w:r>
              <w:rPr>
                <w:rFonts w:hint="eastAsia" w:hAnsi="宋体"/>
                <w:b/>
                <w:color w:val="auto"/>
                <w:kern w:val="2"/>
                <w:sz w:val="21"/>
                <w:szCs w:val="21"/>
                <w:highlight w:val="none"/>
              </w:rPr>
              <w:t>税金</w:t>
            </w:r>
          </w:p>
        </w:tc>
        <w:tc>
          <w:tcPr>
            <w:tcW w:w="2745" w:type="pct"/>
          </w:tcPr>
          <w:p w14:paraId="4D5B3B88">
            <w:pPr>
              <w:pStyle w:val="19"/>
              <w:ind w:left="0" w:firstLine="0"/>
              <w:rPr>
                <w:color w:val="auto"/>
                <w:sz w:val="21"/>
                <w:szCs w:val="21"/>
                <w:highlight w:val="none"/>
                <w:u w:val="single"/>
              </w:rPr>
            </w:pPr>
          </w:p>
        </w:tc>
        <w:tc>
          <w:tcPr>
            <w:tcW w:w="582" w:type="pct"/>
          </w:tcPr>
          <w:p w14:paraId="0024888D">
            <w:pPr>
              <w:pStyle w:val="19"/>
              <w:ind w:left="0" w:firstLine="0"/>
              <w:rPr>
                <w:color w:val="auto"/>
                <w:sz w:val="21"/>
                <w:szCs w:val="21"/>
                <w:highlight w:val="none"/>
              </w:rPr>
            </w:pPr>
          </w:p>
        </w:tc>
      </w:tr>
      <w:tr w14:paraId="5ACD6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18323D7C">
            <w:pPr>
              <w:pStyle w:val="19"/>
              <w:ind w:left="0" w:firstLine="0"/>
              <w:rPr>
                <w:color w:val="auto"/>
                <w:sz w:val="21"/>
                <w:szCs w:val="21"/>
                <w:highlight w:val="none"/>
              </w:rPr>
            </w:pPr>
            <w:r>
              <w:rPr>
                <w:rFonts w:hint="eastAsia"/>
                <w:color w:val="auto"/>
                <w:sz w:val="21"/>
                <w:szCs w:val="21"/>
                <w:highlight w:val="none"/>
              </w:rPr>
              <w:t>4</w:t>
            </w:r>
          </w:p>
        </w:tc>
        <w:tc>
          <w:tcPr>
            <w:tcW w:w="1262" w:type="pct"/>
          </w:tcPr>
          <w:p w14:paraId="6274B435">
            <w:pPr>
              <w:pStyle w:val="19"/>
              <w:ind w:left="0" w:firstLine="0"/>
              <w:rPr>
                <w:rFonts w:hAnsi="宋体"/>
                <w:b/>
                <w:color w:val="auto"/>
                <w:kern w:val="2"/>
                <w:sz w:val="21"/>
                <w:szCs w:val="21"/>
                <w:highlight w:val="none"/>
              </w:rPr>
            </w:pPr>
            <w:r>
              <w:rPr>
                <w:rFonts w:hint="eastAsia" w:hAnsi="宋体"/>
                <w:b/>
                <w:color w:val="auto"/>
                <w:kern w:val="2"/>
                <w:sz w:val="21"/>
                <w:szCs w:val="21"/>
                <w:highlight w:val="none"/>
              </w:rPr>
              <w:t>含税报价合计</w:t>
            </w:r>
          </w:p>
        </w:tc>
        <w:tc>
          <w:tcPr>
            <w:tcW w:w="2745" w:type="pct"/>
          </w:tcPr>
          <w:p w14:paraId="2F213F78">
            <w:pPr>
              <w:pStyle w:val="19"/>
              <w:ind w:left="0" w:firstLine="0"/>
              <w:rPr>
                <w:color w:val="auto"/>
                <w:sz w:val="21"/>
                <w:szCs w:val="21"/>
                <w:highlight w:val="none"/>
              </w:rPr>
            </w:pPr>
            <w:r>
              <w:rPr>
                <w:rFonts w:hint="eastAsia"/>
                <w:color w:val="auto"/>
                <w:sz w:val="21"/>
                <w:szCs w:val="21"/>
                <w:highlight w:val="none"/>
              </w:rPr>
              <w:t xml:space="preserve">小写： </w:t>
            </w:r>
            <w:r>
              <w:rPr>
                <w:color w:val="auto"/>
                <w:sz w:val="21"/>
                <w:szCs w:val="21"/>
                <w:highlight w:val="none"/>
              </w:rPr>
              <w:t xml:space="preserve">              </w:t>
            </w:r>
            <w:r>
              <w:rPr>
                <w:rFonts w:hint="eastAsia"/>
                <w:color w:val="auto"/>
                <w:sz w:val="21"/>
                <w:szCs w:val="21"/>
                <w:highlight w:val="none"/>
              </w:rPr>
              <w:t>大写：</w:t>
            </w:r>
            <w:r>
              <w:rPr>
                <w:color w:val="auto"/>
                <w:sz w:val="21"/>
                <w:szCs w:val="21"/>
                <w:highlight w:val="none"/>
              </w:rPr>
              <w:t xml:space="preserve">     </w:t>
            </w:r>
          </w:p>
        </w:tc>
        <w:tc>
          <w:tcPr>
            <w:tcW w:w="582" w:type="pct"/>
          </w:tcPr>
          <w:p w14:paraId="5F3626F2">
            <w:pPr>
              <w:pStyle w:val="19"/>
              <w:ind w:left="0" w:firstLine="0"/>
              <w:rPr>
                <w:color w:val="auto"/>
                <w:sz w:val="21"/>
                <w:szCs w:val="21"/>
                <w:highlight w:val="none"/>
              </w:rPr>
            </w:pPr>
          </w:p>
        </w:tc>
      </w:tr>
    </w:tbl>
    <w:p w14:paraId="6BC851B1">
      <w:pPr>
        <w:pStyle w:val="5"/>
        <w:ind w:left="0" w:leftChars="0" w:firstLine="0" w:firstLineChars="0"/>
        <w:rPr>
          <w:rFonts w:ascii="宋体" w:hAnsi="宋体"/>
          <w:b/>
          <w:color w:val="auto"/>
          <w:szCs w:val="24"/>
          <w:highlight w:val="none"/>
        </w:rPr>
      </w:pPr>
    </w:p>
    <w:p w14:paraId="104857D2">
      <w:pPr>
        <w:numPr>
          <w:ilvl w:val="255"/>
          <w:numId w:val="0"/>
        </w:numPr>
        <w:spacing w:before="0" w:after="0" w:afterAutospacing="0" w:line="240" w:lineRule="auto"/>
        <w:ind w:right="0"/>
        <w:rPr>
          <w:rFonts w:ascii="宋体" w:hAnsi="宋体"/>
          <w:color w:val="auto"/>
          <w:highlight w:val="none"/>
        </w:rPr>
      </w:pPr>
    </w:p>
    <w:p w14:paraId="72A87118">
      <w:pPr>
        <w:pStyle w:val="5"/>
        <w:rPr>
          <w:color w:val="auto"/>
          <w:highlight w:val="none"/>
        </w:rPr>
      </w:pPr>
    </w:p>
    <w:p w14:paraId="1EEC9094">
      <w:pPr>
        <w:ind w:left="0" w:firstLine="0"/>
        <w:rPr>
          <w:rFonts w:ascii="宋体" w:hAnsi="宋体"/>
          <w:b/>
          <w:color w:val="auto"/>
          <w:highlight w:val="none"/>
        </w:rPr>
      </w:pPr>
      <w:r>
        <w:rPr>
          <w:rFonts w:hint="eastAsia" w:ascii="宋体" w:hAnsi="宋体" w:cs="仿宋"/>
          <w:color w:val="auto"/>
          <w:highlight w:val="none"/>
          <w:lang w:val="zh-CN"/>
        </w:rPr>
        <w:t>注：本表请按如下要求进行标注：</w:t>
      </w:r>
    </w:p>
    <w:p w14:paraId="0953EBDD">
      <w:pPr>
        <w:ind w:left="0" w:firstLine="0"/>
        <w:rPr>
          <w:rFonts w:ascii="宋体" w:hAnsi="宋体" w:cs="宋体"/>
          <w:color w:val="auto"/>
          <w:kern w:val="44"/>
          <w:highlight w:val="none"/>
        </w:rPr>
      </w:pPr>
      <w:r>
        <w:rPr>
          <w:rFonts w:ascii="宋体" w:hAnsi="宋体"/>
          <w:b/>
          <w:color w:val="auto"/>
          <w:highlight w:val="none"/>
        </w:rPr>
        <w:t>注</w:t>
      </w:r>
      <w:r>
        <w:rPr>
          <w:rFonts w:hint="eastAsia" w:ascii="宋体" w:hAnsi="宋体"/>
          <w:b/>
          <w:color w:val="auto"/>
          <w:highlight w:val="none"/>
        </w:rPr>
        <w:t>：</w:t>
      </w:r>
      <w:r>
        <w:rPr>
          <w:rFonts w:hint="eastAsia"/>
          <w:color w:val="auto"/>
          <w:highlight w:val="none"/>
        </w:rPr>
        <w:t>比选申请</w:t>
      </w:r>
      <w:r>
        <w:rPr>
          <w:color w:val="auto"/>
          <w:highlight w:val="none"/>
        </w:rPr>
        <w:t>人的报价已包括了</w:t>
      </w:r>
      <w:r>
        <w:rPr>
          <w:rFonts w:hint="eastAsia" w:ascii="宋体" w:hAnsi="宋体"/>
          <w:color w:val="auto"/>
          <w:highlight w:val="none"/>
        </w:rPr>
        <w:t>为实施和完成本项工作</w:t>
      </w:r>
      <w:r>
        <w:rPr>
          <w:rFonts w:hint="eastAsia" w:ascii="宋体" w:hAnsi="宋体" w:cs="宋体"/>
          <w:color w:val="auto"/>
          <w:kern w:val="44"/>
          <w:highlight w:val="none"/>
        </w:rPr>
        <w:t>（包含但不限于</w:t>
      </w:r>
      <w:r>
        <w:rPr>
          <w:rFonts w:hint="eastAsia" w:ascii="宋体" w:hAnsi="宋体"/>
          <w:color w:val="auto"/>
          <w:highlight w:val="none"/>
        </w:rPr>
        <w:t>编制、修改、成果输出等</w:t>
      </w:r>
      <w:r>
        <w:rPr>
          <w:rFonts w:hint="eastAsia" w:ascii="宋体" w:hAnsi="宋体" w:cs="宋体"/>
          <w:color w:val="auto"/>
          <w:kern w:val="44"/>
          <w:highlight w:val="none"/>
        </w:rPr>
        <w:t>）</w:t>
      </w:r>
      <w:r>
        <w:rPr>
          <w:rFonts w:hint="eastAsia" w:ascii="宋体" w:hAnsi="宋体"/>
          <w:color w:val="auto"/>
          <w:highlight w:val="none"/>
        </w:rPr>
        <w:t>的所有费用，</w:t>
      </w:r>
      <w:r>
        <w:rPr>
          <w:rFonts w:hint="eastAsia" w:ascii="宋体" w:hAnsi="宋体" w:cs="宋体"/>
          <w:color w:val="auto"/>
          <w:kern w:val="44"/>
          <w:highlight w:val="none"/>
        </w:rPr>
        <w:t>包括但不限于合同期内本项工作所需的人工费、材料费、办公用品费、差旅费、通讯费、管理费、措施费、利润、风险等一切费用。</w:t>
      </w:r>
    </w:p>
    <w:p w14:paraId="292E8D25">
      <w:pPr>
        <w:ind w:firstLine="3465" w:firstLineChars="1650"/>
        <w:rPr>
          <w:rFonts w:ascii="宋体"/>
          <w:color w:val="auto"/>
          <w:highlight w:val="none"/>
        </w:rPr>
      </w:pPr>
      <w:r>
        <w:rPr>
          <w:rFonts w:hint="eastAsia" w:ascii="宋体"/>
          <w:color w:val="auto"/>
          <w:highlight w:val="none"/>
        </w:rPr>
        <w:t>比选申请人：</w:t>
      </w:r>
      <w:r>
        <w:rPr>
          <w:rFonts w:hint="eastAsia" w:ascii="宋体"/>
          <w:color w:val="auto"/>
          <w:highlight w:val="none"/>
          <w:u w:val="single"/>
        </w:rPr>
        <w:t xml:space="preserve">            （公章） </w:t>
      </w:r>
    </w:p>
    <w:p w14:paraId="0E8470D7">
      <w:pPr>
        <w:pStyle w:val="13"/>
        <w:ind w:left="2877" w:hanging="357"/>
        <w:rPr>
          <w:rFonts w:ascii="宋体"/>
          <w:color w:val="auto"/>
          <w:szCs w:val="21"/>
          <w:highlight w:val="none"/>
        </w:rPr>
      </w:pPr>
      <w:r>
        <w:rPr>
          <w:rFonts w:hint="eastAsia" w:ascii="宋体"/>
          <w:color w:val="auto"/>
          <w:szCs w:val="21"/>
          <w:highlight w:val="none"/>
        </w:rPr>
        <w:t xml:space="preserve">          法定代表人或其委托代理人：</w:t>
      </w:r>
      <w:r>
        <w:rPr>
          <w:rFonts w:hint="eastAsia" w:ascii="宋体"/>
          <w:color w:val="auto"/>
          <w:szCs w:val="21"/>
          <w:highlight w:val="none"/>
          <w:u w:val="single"/>
        </w:rPr>
        <w:t xml:space="preserve">     （签字或盖章）</w:t>
      </w:r>
    </w:p>
    <w:p w14:paraId="3D4D8228">
      <w:pPr>
        <w:rPr>
          <w:rFonts w:ascii="宋体" w:hAnsi="宋体"/>
          <w:color w:val="auto"/>
          <w:highlight w:val="none"/>
        </w:rPr>
      </w:pPr>
      <w:r>
        <w:rPr>
          <w:rFonts w:hint="eastAsia" w:ascii="宋体"/>
          <w:color w:val="auto"/>
          <w:highlight w:val="none"/>
        </w:rPr>
        <w:t xml:space="preserve">                                           日  期：</w:t>
      </w:r>
    </w:p>
    <w:p w14:paraId="249431F1">
      <w:pPr>
        <w:rPr>
          <w:rFonts w:ascii="宋体" w:hAnsi="宋体"/>
          <w:color w:val="auto"/>
          <w:highlight w:val="none"/>
        </w:rPr>
        <w:sectPr>
          <w:footerReference r:id="rId11" w:type="default"/>
          <w:pgSz w:w="11905" w:h="16838"/>
          <w:pgMar w:top="1418" w:right="1418" w:bottom="1304" w:left="1418" w:header="454" w:footer="567" w:gutter="0"/>
          <w:cols w:space="720" w:num="1"/>
          <w:docGrid w:linePitch="312" w:charSpace="0"/>
        </w:sectPr>
      </w:pPr>
    </w:p>
    <w:p w14:paraId="144BE60E">
      <w:pPr>
        <w:pStyle w:val="5"/>
        <w:ind w:left="0" w:leftChars="0" w:firstLine="0" w:firstLineChars="0"/>
        <w:rPr>
          <w:rFonts w:ascii="宋体" w:hAnsi="宋体"/>
          <w:color w:val="auto"/>
          <w:highlight w:val="none"/>
        </w:rPr>
      </w:pPr>
    </w:p>
    <w:p w14:paraId="4844DCA4">
      <w:pPr>
        <w:snapToGrid w:val="0"/>
        <w:spacing w:after="50"/>
        <w:ind w:right="-57" w:firstLine="0"/>
        <w:jc w:val="center"/>
        <w:rPr>
          <w:rFonts w:hint="default" w:ascii="宋体" w:hAnsi="宋体" w:eastAsia="宋体"/>
          <w:b/>
          <w:color w:val="auto"/>
          <w:sz w:val="24"/>
          <w:szCs w:val="24"/>
          <w:highlight w:val="none"/>
          <w:lang w:val="en-US" w:eastAsia="zh-CN"/>
        </w:rPr>
      </w:pPr>
      <w:r>
        <w:rPr>
          <w:rFonts w:hint="eastAsia" w:ascii="宋体" w:hAnsi="宋体"/>
          <w:b/>
          <w:color w:val="auto"/>
          <w:sz w:val="24"/>
          <w:szCs w:val="24"/>
          <w:highlight w:val="none"/>
        </w:rPr>
        <w:t>B1</w:t>
      </w:r>
      <w:r>
        <w:rPr>
          <w:rFonts w:hint="eastAsia" w:ascii="宋体" w:hAnsi="宋体"/>
          <w:b/>
          <w:color w:val="auto"/>
          <w:sz w:val="24"/>
          <w:szCs w:val="24"/>
          <w:highlight w:val="none"/>
          <w:lang w:val="en-US" w:eastAsia="zh-CN"/>
        </w:rPr>
        <w:t>-2</w:t>
      </w:r>
      <w:bookmarkStart w:id="1407" w:name="OLE_LINK33"/>
      <w:r>
        <w:rPr>
          <w:rStyle w:val="40"/>
          <w:rFonts w:hint="eastAsia" w:ascii="宋体" w:hAnsi="宋体" w:cs="宋体"/>
          <w:b w:val="0"/>
          <w:bCs w:val="0"/>
          <w:i w:val="0"/>
          <w:iCs w:val="0"/>
          <w:smallCaps w:val="0"/>
          <w:color w:val="auto"/>
          <w:kern w:val="0"/>
          <w:sz w:val="21"/>
          <w:szCs w:val="24"/>
          <w:highlight w:val="none"/>
          <w:u w:val="none"/>
          <w:lang w:val="zh-CN"/>
        </w:rPr>
        <w:t>南宁市白沙半岛片区城中村改造项目安置住房小区（地块</w:t>
      </w:r>
      <w:r>
        <w:rPr>
          <w:rStyle w:val="40"/>
          <w:rFonts w:hint="eastAsia" w:ascii="宋体" w:hAnsi="宋体" w:cs="宋体"/>
          <w:b w:val="0"/>
          <w:bCs w:val="0"/>
          <w:i w:val="0"/>
          <w:iCs w:val="0"/>
          <w:smallCaps w:val="0"/>
          <w:color w:val="auto"/>
          <w:kern w:val="0"/>
          <w:sz w:val="21"/>
          <w:szCs w:val="24"/>
          <w:highlight w:val="none"/>
          <w:u w:val="none"/>
          <w:lang w:val="en-US" w:eastAsia="zh-CN"/>
        </w:rPr>
        <w:t>1</w:t>
      </w:r>
      <w:r>
        <w:rPr>
          <w:rStyle w:val="40"/>
          <w:rFonts w:hint="eastAsia" w:ascii="宋体" w:hAnsi="宋体" w:cs="宋体"/>
          <w:b w:val="0"/>
          <w:bCs w:val="0"/>
          <w:i w:val="0"/>
          <w:iCs w:val="0"/>
          <w:smallCaps w:val="0"/>
          <w:color w:val="auto"/>
          <w:kern w:val="0"/>
          <w:sz w:val="21"/>
          <w:szCs w:val="24"/>
          <w:highlight w:val="none"/>
          <w:u w:val="none"/>
          <w:lang w:val="zh-CN"/>
        </w:rPr>
        <w:t>）地质勘察</w:t>
      </w:r>
      <w:bookmarkEnd w:id="1407"/>
      <w:r>
        <w:rPr>
          <w:rStyle w:val="40"/>
          <w:rFonts w:hint="eastAsia" w:ascii="宋体" w:hAnsi="宋体" w:cs="宋体"/>
          <w:b w:val="0"/>
          <w:bCs w:val="0"/>
          <w:i w:val="0"/>
          <w:iCs w:val="0"/>
          <w:smallCaps w:val="0"/>
          <w:color w:val="auto"/>
          <w:kern w:val="0"/>
          <w:sz w:val="21"/>
          <w:szCs w:val="24"/>
          <w:highlight w:val="none"/>
          <w:u w:val="none"/>
          <w:lang w:val="en-US" w:eastAsia="zh-CN"/>
        </w:rPr>
        <w:t>报价单</w:t>
      </w:r>
    </w:p>
    <w:tbl>
      <w:tblPr>
        <w:tblStyle w:val="38"/>
        <w:tblW w:w="1391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39"/>
        <w:gridCol w:w="3279"/>
        <w:gridCol w:w="1908"/>
        <w:gridCol w:w="1577"/>
        <w:gridCol w:w="2054"/>
        <w:gridCol w:w="1785"/>
        <w:gridCol w:w="2169"/>
      </w:tblGrid>
      <w:tr w14:paraId="715DB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139" w:type="dxa"/>
            <w:tcBorders>
              <w:top w:val="single" w:color="000000" w:sz="8" w:space="0"/>
              <w:left w:val="single" w:color="000000" w:sz="8" w:space="0"/>
              <w:bottom w:val="single" w:color="000000" w:sz="4" w:space="0"/>
              <w:right w:val="single" w:color="000000" w:sz="4" w:space="0"/>
            </w:tcBorders>
            <w:shd w:val="clear" w:color="auto" w:fill="FFFFFF"/>
            <w:vAlign w:val="center"/>
          </w:tcPr>
          <w:p w14:paraId="566B7CF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bookmarkStart w:id="1408" w:name="OLE_LINK34" w:colFirst="2" w:colLast="2"/>
            <w:r>
              <w:rPr>
                <w:rFonts w:hint="eastAsia" w:ascii="宋体" w:hAnsi="宋体" w:eastAsia="宋体" w:cs="宋体"/>
                <w:b/>
                <w:bCs/>
                <w:i w:val="0"/>
                <w:iCs w:val="0"/>
                <w:color w:val="000000"/>
                <w:kern w:val="0"/>
                <w:sz w:val="24"/>
                <w:szCs w:val="24"/>
                <w:highlight w:val="none"/>
                <w:u w:val="none"/>
                <w:lang w:val="en-US" w:eastAsia="zh-CN" w:bidi="ar"/>
              </w:rPr>
              <w:t>序号</w:t>
            </w:r>
          </w:p>
        </w:tc>
        <w:tc>
          <w:tcPr>
            <w:tcW w:w="3279"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58A04D9D">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项目</w:t>
            </w:r>
          </w:p>
        </w:tc>
        <w:tc>
          <w:tcPr>
            <w:tcW w:w="1908"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002DB9FE">
            <w:pPr>
              <w:keepNext w:val="0"/>
              <w:keepLines w:val="0"/>
              <w:pageBreakBefore w:val="0"/>
              <w:widowControl/>
              <w:suppressLineNumbers w:val="0"/>
              <w:kinsoku/>
              <w:wordWrap/>
              <w:overflowPunct/>
              <w:topLinePunct w:val="0"/>
              <w:autoSpaceDE/>
              <w:autoSpaceDN/>
              <w:bidi w:val="0"/>
              <w:adjustRightInd/>
              <w:snapToGrid/>
              <w:spacing w:before="0"/>
              <w:ind w:left="0" w:right="0" w:firstLine="0"/>
              <w:jc w:val="center"/>
              <w:textAlignment w:val="center"/>
              <w:rPr>
                <w:rFonts w:hint="eastAsia" w:ascii="宋体" w:hAnsi="宋体" w:eastAsia="宋体" w:cs="宋体"/>
                <w:b/>
                <w:bCs/>
                <w:i w:val="0"/>
                <w:iCs w:val="0"/>
                <w:color w:val="000000"/>
                <w:sz w:val="24"/>
                <w:szCs w:val="24"/>
                <w:highlight w:val="none"/>
                <w:u w:val="none"/>
              </w:rPr>
            </w:pPr>
            <w:bookmarkStart w:id="1409" w:name="OLE_LINK49"/>
            <w:r>
              <w:rPr>
                <w:rFonts w:hint="eastAsia" w:ascii="宋体" w:hAnsi="宋体" w:cs="宋体"/>
                <w:b/>
                <w:bCs/>
                <w:i w:val="0"/>
                <w:iCs w:val="0"/>
                <w:color w:val="000000"/>
                <w:sz w:val="24"/>
                <w:szCs w:val="24"/>
                <w:highlight w:val="none"/>
                <w:u w:val="none"/>
                <w:lang w:val="en-US" w:eastAsia="zh-CN"/>
              </w:rPr>
              <w:t>勘察费收费基价</w:t>
            </w:r>
            <w:bookmarkEnd w:id="1409"/>
            <w:r>
              <w:rPr>
                <w:rFonts w:hint="eastAsia" w:ascii="宋体" w:hAnsi="宋体" w:cs="宋体"/>
                <w:b/>
                <w:bCs/>
                <w:i w:val="0"/>
                <w:iCs w:val="0"/>
                <w:color w:val="000000"/>
                <w:sz w:val="24"/>
                <w:szCs w:val="24"/>
                <w:highlight w:val="none"/>
                <w:u w:val="none"/>
                <w:lang w:val="en-US" w:eastAsia="zh-CN"/>
              </w:rPr>
              <w:t>（元）</w:t>
            </w:r>
          </w:p>
        </w:tc>
        <w:tc>
          <w:tcPr>
            <w:tcW w:w="1577"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6653060F">
            <w:pPr>
              <w:keepNext w:val="0"/>
              <w:keepLines w:val="0"/>
              <w:pageBreakBefore w:val="0"/>
              <w:widowControl/>
              <w:suppressLineNumbers w:val="0"/>
              <w:kinsoku/>
              <w:wordWrap/>
              <w:overflowPunct/>
              <w:topLinePunct w:val="0"/>
              <w:autoSpaceDE/>
              <w:autoSpaceDN/>
              <w:bidi w:val="0"/>
              <w:adjustRightInd/>
              <w:snapToGrid/>
              <w:ind w:left="0" w:right="-28" w:firstLine="0"/>
              <w:jc w:val="left"/>
              <w:textAlignment w:val="center"/>
              <w:rPr>
                <w:rFonts w:hint="default" w:ascii="宋体" w:hAnsi="宋体" w:eastAsia="宋体" w:cs="宋体"/>
                <w:b/>
                <w:bCs/>
                <w:i w:val="0"/>
                <w:iCs w:val="0"/>
                <w:color w:val="000000"/>
                <w:sz w:val="24"/>
                <w:szCs w:val="24"/>
                <w:highlight w:val="none"/>
                <w:u w:val="none"/>
                <w:lang w:val="en-US" w:eastAsia="zh-CN"/>
              </w:rPr>
            </w:pPr>
            <w:bookmarkStart w:id="1410" w:name="OLE_LINK32"/>
            <w:r>
              <w:rPr>
                <w:rFonts w:hint="eastAsia" w:ascii="宋体" w:hAnsi="宋体" w:cs="宋体"/>
                <w:b/>
                <w:bCs/>
                <w:i w:val="0"/>
                <w:iCs w:val="0"/>
                <w:color w:val="000000"/>
                <w:sz w:val="24"/>
                <w:szCs w:val="24"/>
                <w:highlight w:val="none"/>
                <w:u w:val="none"/>
                <w:lang w:val="en-US" w:eastAsia="zh-CN"/>
              </w:rPr>
              <w:t>下浮系</w:t>
            </w:r>
            <w:bookmarkStart w:id="1411" w:name="OLE_LINK36"/>
            <w:r>
              <w:rPr>
                <w:rFonts w:hint="eastAsia" w:ascii="宋体" w:hAnsi="宋体" w:cs="宋体"/>
                <w:b/>
                <w:bCs/>
                <w:i w:val="0"/>
                <w:iCs w:val="0"/>
                <w:color w:val="000000"/>
                <w:sz w:val="24"/>
                <w:szCs w:val="24"/>
                <w:highlight w:val="none"/>
                <w:u w:val="none"/>
                <w:lang w:val="en-US" w:eastAsia="zh-CN"/>
              </w:rPr>
              <w:t>数</w:t>
            </w:r>
            <w:bookmarkEnd w:id="1410"/>
            <w:bookmarkEnd w:id="1411"/>
            <w:r>
              <w:rPr>
                <w:rFonts w:hint="eastAsia" w:ascii="宋体" w:hAnsi="宋体" w:cs="宋体"/>
                <w:b/>
                <w:bCs/>
                <w:i w:val="0"/>
                <w:iCs w:val="0"/>
                <w:color w:val="000000"/>
                <w:sz w:val="24"/>
                <w:szCs w:val="24"/>
                <w:highlight w:val="none"/>
                <w:u w:val="none"/>
                <w:lang w:val="en-US" w:eastAsia="zh-CN"/>
              </w:rPr>
              <w:t>报价（%）</w:t>
            </w:r>
          </w:p>
        </w:tc>
        <w:tc>
          <w:tcPr>
            <w:tcW w:w="2054"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74A6D0F7">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eastAsia"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合同暂定含税总价（元）</w:t>
            </w:r>
          </w:p>
        </w:tc>
        <w:tc>
          <w:tcPr>
            <w:tcW w:w="1785"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3BBF30FA">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增值税税率</w:t>
            </w:r>
          </w:p>
        </w:tc>
        <w:tc>
          <w:tcPr>
            <w:tcW w:w="2169" w:type="dxa"/>
            <w:tcBorders>
              <w:top w:val="single" w:color="000000" w:sz="8" w:space="0"/>
              <w:left w:val="single" w:color="000000" w:sz="4" w:space="0"/>
              <w:bottom w:val="single" w:color="000000" w:sz="4" w:space="0"/>
              <w:right w:val="single" w:color="000000" w:sz="8" w:space="0"/>
            </w:tcBorders>
            <w:shd w:val="clear" w:color="auto" w:fill="FFFFFF"/>
            <w:vAlign w:val="center"/>
          </w:tcPr>
          <w:p w14:paraId="312F28E4">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增值</w:t>
            </w:r>
            <w:r>
              <w:rPr>
                <w:rFonts w:hint="eastAsia" w:ascii="宋体" w:hAnsi="宋体" w:eastAsia="宋体" w:cs="宋体"/>
                <w:b/>
                <w:bCs/>
                <w:i w:val="0"/>
                <w:iCs w:val="0"/>
                <w:color w:val="000000"/>
                <w:kern w:val="0"/>
                <w:sz w:val="24"/>
                <w:szCs w:val="24"/>
                <w:highlight w:val="none"/>
                <w:u w:val="none"/>
                <w:lang w:val="en-US" w:eastAsia="zh-CN" w:bidi="ar"/>
              </w:rPr>
              <w:t>税金（元）</w:t>
            </w:r>
          </w:p>
        </w:tc>
      </w:tr>
      <w:tr w14:paraId="2E34F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13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8A5BC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3AD7D">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default" w:ascii="宋体" w:hAnsi="宋体" w:eastAsia="宋体" w:cs="宋体"/>
                <w:i w:val="0"/>
                <w:iCs w:val="0"/>
                <w:color w:val="000000"/>
                <w:sz w:val="24"/>
                <w:szCs w:val="24"/>
                <w:highlight w:val="none"/>
                <w:u w:val="none"/>
                <w:lang w:val="en-US" w:eastAsia="zh-CN"/>
              </w:rPr>
            </w:pPr>
            <w:r>
              <w:rPr>
                <w:rStyle w:val="40"/>
                <w:rFonts w:hint="eastAsia" w:ascii="宋体" w:hAnsi="宋体" w:cs="宋体"/>
                <w:b w:val="0"/>
                <w:bCs w:val="0"/>
                <w:i w:val="0"/>
                <w:iCs w:val="0"/>
                <w:smallCaps w:val="0"/>
                <w:color w:val="auto"/>
                <w:kern w:val="0"/>
                <w:sz w:val="21"/>
                <w:szCs w:val="24"/>
                <w:highlight w:val="none"/>
                <w:u w:val="none"/>
                <w:lang w:val="zh-CN"/>
              </w:rPr>
              <w:t>南宁市白沙半岛片区城中村改造项目安置住房小区（地块</w:t>
            </w:r>
            <w:r>
              <w:rPr>
                <w:rStyle w:val="40"/>
                <w:rFonts w:hint="eastAsia" w:ascii="宋体" w:hAnsi="宋体" w:cs="宋体"/>
                <w:b w:val="0"/>
                <w:bCs w:val="0"/>
                <w:i w:val="0"/>
                <w:iCs w:val="0"/>
                <w:smallCaps w:val="0"/>
                <w:color w:val="auto"/>
                <w:kern w:val="0"/>
                <w:sz w:val="21"/>
                <w:szCs w:val="24"/>
                <w:highlight w:val="none"/>
                <w:u w:val="none"/>
                <w:lang w:val="en-US" w:eastAsia="zh-CN"/>
              </w:rPr>
              <w:t>1</w:t>
            </w:r>
            <w:r>
              <w:rPr>
                <w:rStyle w:val="40"/>
                <w:rFonts w:hint="eastAsia" w:ascii="宋体" w:hAnsi="宋体" w:cs="宋体"/>
                <w:b w:val="0"/>
                <w:bCs w:val="0"/>
                <w:i w:val="0"/>
                <w:iCs w:val="0"/>
                <w:smallCaps w:val="0"/>
                <w:color w:val="auto"/>
                <w:kern w:val="0"/>
                <w:sz w:val="21"/>
                <w:szCs w:val="24"/>
                <w:highlight w:val="none"/>
                <w:u w:val="none"/>
                <w:lang w:val="zh-CN"/>
              </w:rPr>
              <w:t>）地质勘察</w:t>
            </w:r>
          </w:p>
        </w:tc>
        <w:tc>
          <w:tcPr>
            <w:tcW w:w="1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508ED">
            <w:pPr>
              <w:jc w:val="center"/>
              <w:rPr>
                <w:rFonts w:hint="default" w:ascii="宋体" w:hAnsi="宋体" w:eastAsia="宋体" w:cs="宋体"/>
                <w:i w:val="0"/>
                <w:iCs w:val="0"/>
                <w:color w:val="000000"/>
                <w:sz w:val="24"/>
                <w:szCs w:val="24"/>
                <w:highlight w:val="none"/>
                <w:u w:val="none"/>
                <w:lang w:val="en-US" w:eastAsia="zh-CN"/>
              </w:rPr>
            </w:pPr>
            <w:bookmarkStart w:id="1412" w:name="OLE_LINK38"/>
            <w:r>
              <w:rPr>
                <w:rFonts w:hint="eastAsia" w:ascii="宋体" w:hAnsi="宋体" w:cs="宋体"/>
                <w:i w:val="0"/>
                <w:iCs w:val="0"/>
                <w:color w:val="000000"/>
                <w:sz w:val="24"/>
                <w:szCs w:val="24"/>
                <w:highlight w:val="none"/>
                <w:u w:val="none"/>
                <w:lang w:val="en-US" w:eastAsia="zh-CN"/>
              </w:rPr>
              <w:t>724883.80</w:t>
            </w:r>
            <w:bookmarkEnd w:id="1412"/>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3761A">
            <w:pPr>
              <w:jc w:val="center"/>
              <w:rPr>
                <w:rFonts w:hint="eastAsia" w:ascii="宋体" w:hAnsi="宋体" w:eastAsia="宋体" w:cs="宋体"/>
                <w:i w:val="0"/>
                <w:iCs w:val="0"/>
                <w:color w:val="000000"/>
                <w:sz w:val="24"/>
                <w:szCs w:val="24"/>
                <w:highlight w:val="none"/>
                <w:u w:val="none"/>
              </w:rPr>
            </w:pP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370E0">
            <w:pPr>
              <w:jc w:val="center"/>
              <w:rPr>
                <w:rFonts w:hint="eastAsia" w:ascii="宋体" w:hAnsi="宋体" w:eastAsia="宋体" w:cs="宋体"/>
                <w:i w:val="0"/>
                <w:iCs w:val="0"/>
                <w:color w:val="000000"/>
                <w:sz w:val="24"/>
                <w:szCs w:val="24"/>
                <w:highlight w:val="none"/>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A0AB8">
            <w:pPr>
              <w:jc w:val="center"/>
              <w:rPr>
                <w:rFonts w:hint="eastAsia" w:ascii="宋体" w:hAnsi="宋体" w:eastAsia="宋体" w:cs="宋体"/>
                <w:i w:val="0"/>
                <w:iCs w:val="0"/>
                <w:color w:val="000000"/>
                <w:sz w:val="24"/>
                <w:szCs w:val="24"/>
                <w:highlight w:val="none"/>
                <w:u w:val="none"/>
              </w:rPr>
            </w:pPr>
          </w:p>
        </w:tc>
        <w:tc>
          <w:tcPr>
            <w:tcW w:w="2169"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FFF485B">
            <w:pPr>
              <w:jc w:val="center"/>
              <w:rPr>
                <w:rFonts w:hint="eastAsia" w:ascii="宋体" w:hAnsi="宋体" w:eastAsia="宋体" w:cs="宋体"/>
                <w:i w:val="0"/>
                <w:iCs w:val="0"/>
                <w:color w:val="000000"/>
                <w:sz w:val="24"/>
                <w:szCs w:val="24"/>
                <w:highlight w:val="none"/>
                <w:u w:val="none"/>
              </w:rPr>
            </w:pPr>
          </w:p>
        </w:tc>
      </w:tr>
      <w:bookmarkEnd w:id="1408"/>
    </w:tbl>
    <w:p w14:paraId="2C3225F1">
      <w:pPr>
        <w:spacing w:before="0" w:after="0" w:afterAutospacing="0"/>
        <w:ind w:left="0" w:leftChars="0" w:right="0" w:firstLine="0" w:firstLineChars="0"/>
        <w:rPr>
          <w:rFonts w:hAnsi="宋体"/>
          <w:color w:val="000000" w:themeColor="text1"/>
          <w:highlight w:val="none"/>
          <w14:textFill>
            <w14:solidFill>
              <w14:schemeClr w14:val="tx1"/>
            </w14:solidFill>
          </w14:textFill>
        </w:rPr>
      </w:pPr>
    </w:p>
    <w:p w14:paraId="1F90E436">
      <w:pPr>
        <w:numPr>
          <w:ilvl w:val="255"/>
          <w:numId w:val="0"/>
        </w:numPr>
        <w:spacing w:before="0" w:after="0" w:afterAutospacing="0" w:line="240" w:lineRule="auto"/>
        <w:ind w:right="0" w:firstLine="424" w:firstLineChars="20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注</w:t>
      </w:r>
      <w:r>
        <w:rPr>
          <w:rFonts w:ascii="宋体" w:hAnsi="宋体"/>
          <w:color w:val="000000" w:themeColor="text1"/>
          <w:highlight w:val="none"/>
          <w14:textFill>
            <w14:solidFill>
              <w14:schemeClr w14:val="tx1"/>
            </w14:solidFill>
          </w14:textFill>
        </w:rPr>
        <w:t>:</w:t>
      </w:r>
    </w:p>
    <w:p w14:paraId="3EB839FE">
      <w:pPr>
        <w:numPr>
          <w:ilvl w:val="0"/>
          <w:numId w:val="9"/>
        </w:numPr>
        <w:spacing w:before="0" w:after="0" w:afterAutospacing="0" w:line="340" w:lineRule="exact"/>
        <w:ind w:left="0" w:leftChars="0" w:right="0" w:firstLine="210" w:firstLineChars="100"/>
        <w:rPr>
          <w:rFonts w:hint="eastAsia" w:ascii="宋体" w:hAnsi="宋体"/>
          <w:bCs/>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本合同价款为暂定价，最终的勘察费按实际勘察岩土类型和完成的工作量结算</w:t>
      </w:r>
      <w:r>
        <w:rPr>
          <w:rFonts w:hint="eastAsia" w:ascii="宋体" w:hAnsi="宋体"/>
          <w:bCs/>
          <w:color w:val="000000" w:themeColor="text1"/>
          <w:highlight w:val="none"/>
          <w:lang w:eastAsia="zh-CN"/>
          <w14:textFill>
            <w14:solidFill>
              <w14:schemeClr w14:val="tx1"/>
            </w14:solidFill>
          </w14:textFill>
        </w:rPr>
        <w:t>，但对超设计规范及标准的超钻部分，不予计量，</w:t>
      </w:r>
      <w:r>
        <w:rPr>
          <w:rFonts w:hint="eastAsia" w:ascii="宋体" w:hAnsi="宋体"/>
          <w:bCs/>
          <w:color w:val="000000" w:themeColor="text1"/>
          <w:highlight w:val="none"/>
          <w14:textFill>
            <w14:solidFill>
              <w14:schemeClr w14:val="tx1"/>
            </w14:solidFill>
          </w14:textFill>
        </w:rPr>
        <w:t>[计算公式：勘察费=</w:t>
      </w:r>
      <w:bookmarkStart w:id="1413" w:name="OLE_LINK35"/>
      <w:r>
        <w:rPr>
          <w:rFonts w:hint="eastAsia" w:ascii="宋体" w:hAnsi="宋体"/>
          <w:bCs/>
          <w:color w:val="000000" w:themeColor="text1"/>
          <w:highlight w:val="none"/>
          <w14:textFill>
            <w14:solidFill>
              <w14:schemeClr w14:val="tx1"/>
            </w14:solidFill>
          </w14:textFill>
        </w:rPr>
        <w:t>勘察费收费基价</w:t>
      </w:r>
      <w:bookmarkEnd w:id="1413"/>
      <w:r>
        <w:rPr>
          <w:rFonts w:hint="eastAsia" w:ascii="宋体" w:hAnsi="宋体"/>
          <w:bCs/>
          <w:color w:val="000000" w:themeColor="text1"/>
          <w:highlight w:val="none"/>
          <w14:textFill>
            <w14:solidFill>
              <w14:schemeClr w14:val="tx1"/>
            </w14:solidFill>
          </w14:textFill>
        </w:rPr>
        <w:t>×（1-</w:t>
      </w:r>
      <w:r>
        <w:rPr>
          <w:rFonts w:hint="eastAsia" w:ascii="宋体" w:hAnsi="宋体"/>
          <w:bCs/>
          <w:color w:val="000000" w:themeColor="text1"/>
          <w:highlight w:val="none"/>
          <w:lang w:val="en-US" w:eastAsia="zh-CN"/>
          <w14:textFill>
            <w14:solidFill>
              <w14:schemeClr w14:val="tx1"/>
            </w14:solidFill>
          </w14:textFill>
        </w:rPr>
        <w:t>下浮系数</w:t>
      </w:r>
      <w:r>
        <w:rPr>
          <w:rFonts w:hint="eastAsia" w:ascii="宋体" w:hAnsi="宋体"/>
          <w:bCs/>
          <w:color w:val="000000" w:themeColor="text1"/>
          <w:highlight w:val="none"/>
          <w14:textFill>
            <w14:solidFill>
              <w14:schemeClr w14:val="tx1"/>
            </w14:solidFill>
          </w14:textFill>
        </w:rPr>
        <w:t>）]。</w:t>
      </w:r>
      <w:r>
        <w:rPr>
          <w:rFonts w:hint="eastAsia" w:ascii="宋体" w:hAnsi="宋体"/>
          <w:bCs/>
          <w:color w:val="000000" w:themeColor="text1"/>
          <w:highlight w:val="none"/>
          <w:lang w:val="en-US" w:eastAsia="zh-CN"/>
          <w14:textFill>
            <w14:solidFill>
              <w14:schemeClr w14:val="tx1"/>
            </w14:solidFill>
          </w14:textFill>
        </w:rPr>
        <w:t>本控制价编制依据为计价格〔2002〕10号文，本项目有效报价范</w:t>
      </w:r>
      <w:bookmarkStart w:id="1414" w:name="OLE_LINK37"/>
      <w:r>
        <w:rPr>
          <w:rFonts w:hint="eastAsia" w:ascii="宋体" w:hAnsi="宋体"/>
          <w:bCs/>
          <w:color w:val="000000" w:themeColor="text1"/>
          <w:highlight w:val="none"/>
          <w:lang w:val="en-US" w:eastAsia="zh-CN"/>
          <w14:textFill>
            <w14:solidFill>
              <w14:schemeClr w14:val="tx1"/>
            </w14:solidFill>
          </w14:textFill>
        </w:rPr>
        <w:t>围</w:t>
      </w:r>
      <w:bookmarkEnd w:id="1414"/>
      <w:r>
        <w:rPr>
          <w:rFonts w:hint="eastAsia" w:ascii="宋体" w:hAnsi="宋体"/>
          <w:bCs/>
          <w:color w:val="000000" w:themeColor="text1"/>
          <w:highlight w:val="none"/>
          <w:lang w:val="en-US" w:eastAsia="zh-CN"/>
          <w14:textFill>
            <w14:solidFill>
              <w14:schemeClr w14:val="tx1"/>
            </w14:solidFill>
          </w14:textFill>
        </w:rPr>
        <w:t>为30%≤下浮系数≤100%；</w:t>
      </w:r>
    </w:p>
    <w:p w14:paraId="53B3F21F">
      <w:pPr>
        <w:numPr>
          <w:ilvl w:val="0"/>
          <w:numId w:val="9"/>
        </w:numPr>
        <w:spacing w:before="0" w:after="0" w:afterAutospacing="0" w:line="340" w:lineRule="exact"/>
        <w:ind w:left="0" w:leftChars="0" w:right="0" w:firstLine="210" w:firstLineChars="100"/>
        <w:rPr>
          <w:rFonts w:ascii="宋体" w:hAnsi="宋体"/>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比选申请人在填报比选报价时，应充分考虑合同实施过程中因人力成本的增加、材料的价格上涨、国家宏观调控、经济环境变化等因素所产生费用的增加。比选文件中要求列入的费用（含配置、功能）。</w:t>
      </w:r>
    </w:p>
    <w:p w14:paraId="7355A467">
      <w:pPr>
        <w:spacing w:before="0" w:after="0" w:afterAutospacing="0"/>
        <w:ind w:left="0" w:right="0" w:firstLine="420" w:firstLineChars="200"/>
        <w:rPr>
          <w:rFonts w:hAnsi="宋体"/>
          <w:color w:val="000000" w:themeColor="text1"/>
          <w:highlight w:val="none"/>
          <w14:textFill>
            <w14:solidFill>
              <w14:schemeClr w14:val="tx1"/>
            </w14:solidFill>
          </w14:textFill>
        </w:rPr>
      </w:pPr>
    </w:p>
    <w:p w14:paraId="49B71402">
      <w:pPr>
        <w:snapToGrid w:val="0"/>
        <w:spacing w:before="0" w:after="0" w:afterAutospacing="0" w:line="400" w:lineRule="exact"/>
        <w:ind w:left="0" w:right="0" w:firstLine="426"/>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14:paraId="651E1C12">
      <w:pPr>
        <w:snapToGrid w:val="0"/>
        <w:spacing w:before="0" w:after="0" w:afterAutospacing="0" w:line="400" w:lineRule="exact"/>
        <w:ind w:left="0" w:right="0" w:firstLine="426"/>
        <w:rPr>
          <w:rFonts w:ascii="宋体" w:hAnsi="宋体"/>
          <w:color w:val="auto"/>
          <w:highlight w:val="none"/>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14:paraId="18B0595A">
      <w:pPr>
        <w:pStyle w:val="5"/>
        <w:rPr>
          <w:rFonts w:ascii="宋体" w:hAnsi="宋体"/>
          <w:color w:val="auto"/>
          <w:highlight w:val="none"/>
        </w:rPr>
        <w:sectPr>
          <w:pgSz w:w="16838" w:h="11905" w:orient="landscape"/>
          <w:pgMar w:top="1418" w:right="1418" w:bottom="1418" w:left="1304" w:header="454" w:footer="567" w:gutter="0"/>
          <w:cols w:space="720" w:num="1"/>
          <w:docGrid w:linePitch="312" w:charSpace="0"/>
        </w:sectPr>
      </w:pPr>
    </w:p>
    <w:p w14:paraId="70F69282">
      <w:pPr>
        <w:pStyle w:val="8"/>
      </w:pPr>
    </w:p>
    <w:p w14:paraId="26C5B414">
      <w:pPr>
        <w:ind w:left="0" w:leftChars="0" w:firstLine="0" w:firstLineChars="0"/>
        <w:rPr>
          <w:rFonts w:ascii="宋体" w:hAnsi="宋体"/>
          <w:color w:val="auto"/>
          <w:highlight w:val="none"/>
        </w:rPr>
      </w:pPr>
    </w:p>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14:paraId="72B180AA">
      <w:pPr>
        <w:pStyle w:val="3"/>
        <w:tabs>
          <w:tab w:val="left" w:pos="567"/>
          <w:tab w:val="left" w:pos="720"/>
        </w:tabs>
        <w:snapToGrid w:val="0"/>
        <w:spacing w:after="0" w:line="360" w:lineRule="auto"/>
        <w:ind w:right="0"/>
        <w:jc w:val="left"/>
        <w:rPr>
          <w:rFonts w:ascii="宋体" w:hAnsi="宋体" w:eastAsia="宋体" w:cs="Arial"/>
          <w:color w:val="auto"/>
          <w:highlight w:val="none"/>
        </w:rPr>
      </w:pPr>
      <w:bookmarkStart w:id="1415" w:name="_Toc61680485"/>
      <w:bookmarkStart w:id="1416" w:name="_Toc58124833"/>
      <w:bookmarkStart w:id="1417" w:name="_Toc68859063"/>
      <w:bookmarkStart w:id="1418" w:name="_Toc110413986"/>
      <w:bookmarkStart w:id="1419" w:name="_Toc14503"/>
      <w:bookmarkStart w:id="1420" w:name="_Toc114134669"/>
      <w:bookmarkStart w:id="1421" w:name="_Toc21109"/>
      <w:bookmarkStart w:id="1422" w:name="_Toc15419"/>
      <w:bookmarkStart w:id="1423" w:name="_Toc12984813"/>
      <w:bookmarkStart w:id="1424" w:name="_Toc29702"/>
      <w:bookmarkStart w:id="1425" w:name="_Toc14859"/>
      <w:bookmarkStart w:id="1426" w:name="_Toc11065"/>
      <w:bookmarkStart w:id="1427" w:name="_Toc6270"/>
      <w:bookmarkStart w:id="1428" w:name="_Toc25869"/>
      <w:bookmarkStart w:id="1429" w:name="_Toc20864"/>
      <w:bookmarkStart w:id="1430" w:name="_Toc4976"/>
      <w:bookmarkStart w:id="1431" w:name="_Toc492478809"/>
      <w:bookmarkStart w:id="1432" w:name="_Toc17112"/>
      <w:bookmarkStart w:id="1433" w:name="_Toc6833"/>
      <w:bookmarkStart w:id="1434" w:name="_Toc241920153"/>
      <w:bookmarkStart w:id="1435" w:name="_Toc2257"/>
      <w:bookmarkStart w:id="1436" w:name="_Toc32224"/>
      <w:bookmarkStart w:id="1437" w:name="_Toc20737"/>
      <w:bookmarkStart w:id="1438" w:name="_Toc25750681"/>
      <w:bookmarkStart w:id="1439" w:name="_Toc375564356"/>
      <w:bookmarkStart w:id="1440" w:name="_Toc10260"/>
      <w:bookmarkStart w:id="1441" w:name="_Toc2585"/>
      <w:bookmarkStart w:id="1442" w:name="_Toc12983553"/>
      <w:bookmarkStart w:id="1443" w:name="_Toc8713"/>
      <w:bookmarkStart w:id="1444" w:name="_Toc414290527"/>
      <w:r>
        <w:rPr>
          <w:rFonts w:ascii="宋体" w:hAnsi="宋体" w:eastAsia="宋体"/>
          <w:color w:val="auto"/>
          <w:sz w:val="21"/>
          <w:szCs w:val="21"/>
          <w:highlight w:val="none"/>
        </w:rPr>
        <w:t>B2比选申请</w:t>
      </w:r>
      <w:bookmarkEnd w:id="1415"/>
      <w:bookmarkEnd w:id="1416"/>
      <w:bookmarkEnd w:id="1417"/>
      <w:bookmarkEnd w:id="1418"/>
      <w:r>
        <w:rPr>
          <w:rFonts w:ascii="宋体" w:hAnsi="宋体" w:eastAsia="宋体"/>
          <w:color w:val="auto"/>
          <w:sz w:val="21"/>
          <w:szCs w:val="21"/>
          <w:highlight w:val="none"/>
        </w:rPr>
        <w:t>函格式</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11F4ADEB">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14:paraId="22E2BA3F">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南宁兴邕城市更新有限责任公司</w:t>
      </w:r>
    </w:p>
    <w:p w14:paraId="713845CD">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根据贵方为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rPr>
        <w:t>份（U盘）。</w:t>
      </w:r>
    </w:p>
    <w:p w14:paraId="27552382">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1604F92C">
      <w:pPr>
        <w:spacing w:before="0" w:after="0" w:afterAutospacing="0"/>
        <w:ind w:left="0" w:right="0" w:firstLine="420" w:firstLineChars="200"/>
        <w:rPr>
          <w:rFonts w:ascii="宋体" w:hAnsi="宋体"/>
          <w:color w:val="auto"/>
          <w:highlight w:val="none"/>
        </w:rPr>
      </w:pPr>
      <w:bookmarkStart w:id="1445"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445"/>
    </w:p>
    <w:p w14:paraId="01E983B8">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3A66FDC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4CB67E1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32224532">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1B3AAF7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.同意按照贵方的要求提供与本比选申请有关的一切数据或资料，完全理解贵方不一定要接受最低价的比选申请或收到的任何比选申请。</w:t>
      </w:r>
    </w:p>
    <w:p w14:paraId="520A2281">
      <w:pPr>
        <w:spacing w:before="0" w:after="0" w:afterAutospacing="0"/>
        <w:ind w:left="0" w:right="0" w:firstLine="420" w:firstLineChars="200"/>
        <w:rPr>
          <w:rFonts w:hint="eastAsia" w:ascii="宋体" w:hAnsi="宋体"/>
          <w:b/>
          <w:color w:val="auto"/>
          <w:highlight w:val="none"/>
        </w:rPr>
      </w:pPr>
      <w:r>
        <w:rPr>
          <w:rFonts w:hint="eastAsia" w:ascii="宋体" w:hAnsi="宋体"/>
          <w:color w:val="auto"/>
          <w:highlight w:val="none"/>
        </w:rPr>
        <w:t>7</w:t>
      </w:r>
      <w:r>
        <w:rPr>
          <w:rFonts w:ascii="宋体" w:hAnsi="宋体"/>
          <w:color w:val="auto"/>
          <w:highlight w:val="none"/>
        </w:rPr>
        <w:t xml:space="preserve">. </w:t>
      </w:r>
      <w:r>
        <w:rPr>
          <w:rFonts w:hint="eastAsia" w:ascii="宋体" w:hAnsi="宋体"/>
          <w:b/>
          <w:color w:val="auto"/>
          <w:highlight w:val="none"/>
        </w:rPr>
        <w:t>本项目采用不含税报价进行商务评审，含税报价为合同暂定价，合同的最终税金在结算阶段，按实际产生的税金进行核算，但合同不含税价格不因国家税率调整而调整。</w:t>
      </w:r>
    </w:p>
    <w:p w14:paraId="420C5CD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2E601A72">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46FC7605">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14:paraId="41F1CAC6">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14:paraId="1DD7C435">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27C7F7C0">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007545BA">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14:paraId="0E19DE00">
      <w:pPr>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br w:type="page"/>
      </w:r>
    </w:p>
    <w:p w14:paraId="2A11B2B0">
      <w:pPr>
        <w:ind w:left="0" w:firstLine="0"/>
        <w:rPr>
          <w:rFonts w:ascii="宋体" w:hAnsi="宋体"/>
          <w:b/>
          <w:bCs/>
          <w:color w:val="auto"/>
          <w:highlight w:val="none"/>
        </w:rPr>
      </w:pPr>
      <w:r>
        <w:rPr>
          <w:rFonts w:ascii="宋体" w:hAnsi="宋体"/>
          <w:b/>
          <w:bCs/>
          <w:color w:val="auto"/>
          <w:highlight w:val="none"/>
        </w:rPr>
        <w:t>B</w:t>
      </w:r>
      <w:r>
        <w:rPr>
          <w:rFonts w:hint="eastAsia" w:ascii="宋体" w:hAnsi="宋体"/>
          <w:b/>
          <w:bCs/>
          <w:color w:val="auto"/>
          <w:highlight w:val="none"/>
        </w:rPr>
        <w:t>3比选申请人认为应提交的其他比选申请资料（如有）。</w:t>
      </w:r>
    </w:p>
    <w:p w14:paraId="040EC516">
      <w:pPr>
        <w:pStyle w:val="19"/>
        <w:rPr>
          <w:color w:val="auto"/>
          <w:highlight w:val="none"/>
        </w:rPr>
      </w:pPr>
    </w:p>
    <w:p w14:paraId="4370556B">
      <w:pPr>
        <w:pStyle w:val="2"/>
        <w:pageBreakBefore/>
        <w:spacing w:after="100"/>
        <w:ind w:right="-57" w:firstLine="0"/>
        <w:jc w:val="center"/>
        <w:rPr>
          <w:rFonts w:hAnsi="宋体"/>
          <w:b w:val="0"/>
          <w:color w:val="auto"/>
          <w:sz w:val="24"/>
          <w:szCs w:val="24"/>
          <w:highlight w:val="none"/>
        </w:rPr>
      </w:pPr>
      <w:bookmarkStart w:id="1446" w:name="_Toc19107"/>
      <w:bookmarkStart w:id="1447" w:name="_Toc414290562"/>
      <w:bookmarkStart w:id="1448" w:name="_Toc492478827"/>
      <w:bookmarkStart w:id="1449" w:name="_Toc32381"/>
      <w:bookmarkStart w:id="1450" w:name="_Toc25220"/>
      <w:bookmarkStart w:id="1451" w:name="_Toc15451"/>
      <w:bookmarkStart w:id="1452" w:name="_Toc3307"/>
      <w:bookmarkStart w:id="1453" w:name="_Toc9876"/>
      <w:bookmarkStart w:id="1454" w:name="_Toc114134670"/>
      <w:bookmarkStart w:id="1455" w:name="_Toc22423"/>
      <w:bookmarkStart w:id="1456" w:name="_Toc10877"/>
      <w:bookmarkStart w:id="1457" w:name="_Toc6034"/>
      <w:bookmarkStart w:id="1458" w:name="_Toc8563"/>
      <w:bookmarkStart w:id="1459" w:name="_Toc19413"/>
      <w:bookmarkStart w:id="1460" w:name="_Toc14091"/>
      <w:bookmarkStart w:id="1461" w:name="_Toc30812"/>
      <w:bookmarkStart w:id="1462" w:name="_Toc2327"/>
      <w:bookmarkStart w:id="1463" w:name="_Toc25635"/>
      <w:bookmarkStart w:id="1464" w:name="_Toc29577"/>
      <w:bookmarkStart w:id="1465" w:name="_Toc17664"/>
      <w:bookmarkStart w:id="1466" w:name="_Toc13870"/>
      <w:r>
        <w:rPr>
          <w:rFonts w:hint="eastAsia"/>
          <w:color w:val="auto"/>
          <w:sz w:val="24"/>
          <w:szCs w:val="24"/>
          <w:highlight w:val="none"/>
        </w:rPr>
        <w:t>C</w:t>
      </w:r>
      <w:r>
        <w:rPr>
          <w:rFonts w:hAnsi="宋体"/>
          <w:color w:val="auto"/>
          <w:sz w:val="24"/>
          <w:szCs w:val="24"/>
          <w:highlight w:val="none"/>
        </w:rPr>
        <w:t>技术</w:t>
      </w:r>
      <w:bookmarkEnd w:id="1446"/>
      <w:bookmarkEnd w:id="1447"/>
      <w:bookmarkEnd w:id="1448"/>
      <w:bookmarkStart w:id="1467" w:name="_Toc17887241"/>
      <w:bookmarkStart w:id="1468" w:name="_Toc224010320"/>
      <w:bookmarkStart w:id="1469" w:name="_Toc74938308"/>
      <w:bookmarkStart w:id="1470" w:name="_Toc18770050"/>
      <w:bookmarkStart w:id="1471" w:name="_Toc99697927"/>
      <w:r>
        <w:rPr>
          <w:rFonts w:hint="eastAsia" w:hAnsi="宋体"/>
          <w:color w:val="auto"/>
          <w:sz w:val="24"/>
          <w:szCs w:val="24"/>
          <w:highlight w:val="none"/>
        </w:rPr>
        <w:t>文件</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2049732E">
      <w:pPr>
        <w:spacing w:before="0" w:after="0" w:afterAutospacing="0"/>
        <w:ind w:right="0"/>
        <w:jc w:val="left"/>
        <w:rPr>
          <w:rFonts w:hAnsi="宋体"/>
          <w:b/>
          <w:color w:val="auto"/>
          <w:highlight w:val="none"/>
        </w:rPr>
      </w:pPr>
      <w:r>
        <w:rPr>
          <w:rFonts w:hint="eastAsia" w:hAnsi="宋体"/>
          <w:b/>
          <w:color w:val="auto"/>
          <w:highlight w:val="none"/>
        </w:rPr>
        <w:t>技术文件格式</w:t>
      </w:r>
    </w:p>
    <w:bookmarkEnd w:id="1467"/>
    <w:bookmarkEnd w:id="1468"/>
    <w:bookmarkEnd w:id="1469"/>
    <w:bookmarkEnd w:id="1470"/>
    <w:bookmarkEnd w:id="1471"/>
    <w:p w14:paraId="51B13C59">
      <w:pPr>
        <w:spacing w:before="0" w:after="0" w:afterAutospacing="0" w:line="276" w:lineRule="auto"/>
        <w:ind w:left="0" w:right="0" w:firstLine="0"/>
        <w:rPr>
          <w:rFonts w:hint="eastAsia"/>
          <w:color w:val="auto"/>
          <w:highlight w:val="none"/>
        </w:rPr>
      </w:pPr>
      <w:r>
        <w:rPr>
          <w:rFonts w:hint="eastAsia"/>
          <w:color w:val="auto"/>
          <w:highlight w:val="none"/>
        </w:rPr>
        <w:t>（1）技术响应表（格式见C1）；</w:t>
      </w:r>
    </w:p>
    <w:p w14:paraId="4268A049">
      <w:pPr>
        <w:spacing w:before="0" w:after="0" w:afterAutospacing="0" w:line="276" w:lineRule="auto"/>
        <w:ind w:left="0" w:right="0" w:firstLine="0"/>
        <w:rPr>
          <w:rFonts w:hint="eastAsia"/>
          <w:color w:val="auto"/>
          <w:highlight w:val="none"/>
        </w:rPr>
      </w:pPr>
      <w:r>
        <w:rPr>
          <w:rFonts w:hint="eastAsia"/>
          <w:color w:val="auto"/>
          <w:highlight w:val="none"/>
        </w:rPr>
        <w:t>（2）商务响应表（格式见C2）；</w:t>
      </w:r>
    </w:p>
    <w:p w14:paraId="01D8EAB4">
      <w:pPr>
        <w:spacing w:before="0" w:after="0" w:afterAutospacing="0" w:line="276" w:lineRule="auto"/>
        <w:ind w:left="0" w:right="0" w:firstLine="0"/>
        <w:rPr>
          <w:rFonts w:hint="eastAsia"/>
          <w:color w:val="auto"/>
          <w:highlight w:val="none"/>
        </w:rPr>
      </w:pPr>
      <w:r>
        <w:rPr>
          <w:rFonts w:hint="eastAsia"/>
          <w:color w:val="auto"/>
          <w:highlight w:val="none"/>
        </w:rPr>
        <w:t>（3）项目人员配置（格式见C3）</w:t>
      </w:r>
    </w:p>
    <w:p w14:paraId="548A1EDE">
      <w:pPr>
        <w:spacing w:before="0" w:after="0" w:afterAutospacing="0" w:line="276" w:lineRule="auto"/>
        <w:ind w:left="0" w:right="0" w:firstLine="0"/>
        <w:rPr>
          <w:rFonts w:hint="eastAsia" w:ascii="宋体" w:hAnsi="宋体" w:cs="宋体"/>
          <w:color w:val="auto"/>
          <w:highlight w:val="none"/>
          <w:lang w:bidi="ar"/>
        </w:rPr>
      </w:pPr>
      <w:r>
        <w:rPr>
          <w:rFonts w:hint="eastAsia" w:ascii="宋体" w:hAnsi="宋体" w:cs="宋体"/>
          <w:color w:val="auto"/>
          <w:highlight w:val="none"/>
          <w:lang w:bidi="ar"/>
        </w:rPr>
        <w:t>（</w:t>
      </w:r>
      <w:r>
        <w:rPr>
          <w:rFonts w:hint="eastAsia" w:ascii="宋体" w:hAnsi="宋体" w:cs="宋体"/>
          <w:color w:val="auto"/>
          <w:highlight w:val="none"/>
          <w:lang w:eastAsia="zh-CN" w:bidi="ar"/>
        </w:rPr>
        <w:t>4</w:t>
      </w:r>
      <w:r>
        <w:rPr>
          <w:rFonts w:hint="eastAsia" w:ascii="宋体" w:hAnsi="宋体" w:cs="宋体"/>
          <w:color w:val="auto"/>
          <w:highlight w:val="none"/>
          <w:lang w:bidi="ar"/>
        </w:rPr>
        <w:t>）</w:t>
      </w:r>
      <w:r>
        <w:rPr>
          <w:rFonts w:hint="eastAsia" w:ascii="宋体" w:hAnsi="宋体" w:cs="宋体"/>
          <w:color w:val="auto"/>
          <w:highlight w:val="none"/>
          <w:lang w:eastAsia="zh-CN" w:bidi="ar"/>
        </w:rPr>
        <w:t>技术服务方案</w:t>
      </w:r>
      <w:r>
        <w:rPr>
          <w:rFonts w:hint="eastAsia" w:ascii="宋体" w:hAnsi="宋体" w:cs="宋体"/>
          <w:color w:val="auto"/>
          <w:highlight w:val="none"/>
          <w:lang w:bidi="ar"/>
        </w:rPr>
        <w:t>（投标人自行编制</w:t>
      </w:r>
      <w:r>
        <w:rPr>
          <w:rFonts w:hint="eastAsia" w:ascii="宋体" w:hAnsi="宋体" w:cs="宋体"/>
          <w:color w:val="auto"/>
          <w:highlight w:val="none"/>
          <w:lang w:eastAsia="zh-CN" w:bidi="ar"/>
        </w:rPr>
        <w:t>，</w:t>
      </w:r>
      <w:r>
        <w:rPr>
          <w:rFonts w:hint="eastAsia" w:ascii="宋体" w:hAnsi="宋体" w:cs="宋体"/>
          <w:color w:val="auto"/>
          <w:highlight w:val="none"/>
          <w:lang w:bidi="ar"/>
        </w:rPr>
        <w:t>格式见C</w:t>
      </w:r>
      <w:r>
        <w:rPr>
          <w:rFonts w:hint="eastAsia" w:ascii="宋体" w:hAnsi="宋体" w:cs="宋体"/>
          <w:color w:val="auto"/>
          <w:highlight w:val="none"/>
          <w:lang w:val="en-US" w:eastAsia="zh-CN" w:bidi="ar"/>
        </w:rPr>
        <w:t>4</w:t>
      </w:r>
      <w:r>
        <w:rPr>
          <w:rFonts w:hint="eastAsia" w:ascii="宋体" w:hAnsi="宋体" w:cs="宋体"/>
          <w:color w:val="auto"/>
          <w:highlight w:val="none"/>
          <w:lang w:bidi="ar"/>
        </w:rPr>
        <w:t>）</w:t>
      </w:r>
    </w:p>
    <w:p w14:paraId="3B573E9C">
      <w:pPr>
        <w:spacing w:before="0" w:after="0" w:afterAutospacing="0" w:line="276" w:lineRule="auto"/>
        <w:ind w:left="0" w:right="0" w:firstLine="0"/>
        <w:rPr>
          <w:rFonts w:hint="eastAsia" w:ascii="宋体" w:hAnsi="宋体" w:cs="宋体"/>
          <w:color w:val="auto"/>
          <w:highlight w:val="none"/>
          <w:lang w:bidi="ar"/>
        </w:rPr>
      </w:pPr>
      <w:r>
        <w:rPr>
          <w:rFonts w:hint="eastAsia" w:ascii="宋体" w:hAnsi="宋体" w:eastAsia="宋体" w:cs="宋体"/>
          <w:color w:val="auto"/>
          <w:highlight w:val="none"/>
          <w:lang w:eastAsia="zh-CN" w:bidi="ar"/>
        </w:rPr>
        <w:t>（</w:t>
      </w:r>
      <w:r>
        <w:rPr>
          <w:rFonts w:hint="eastAsia" w:ascii="宋体" w:hAnsi="宋体" w:cs="宋体"/>
          <w:color w:val="auto"/>
          <w:highlight w:val="none"/>
          <w:lang w:val="en-US" w:eastAsia="zh-CN" w:bidi="ar"/>
        </w:rPr>
        <w:t>5</w:t>
      </w:r>
      <w:r>
        <w:rPr>
          <w:rFonts w:hint="eastAsia" w:ascii="宋体" w:hAnsi="宋体" w:eastAsia="宋体" w:cs="宋体"/>
          <w:color w:val="auto"/>
          <w:highlight w:val="none"/>
          <w:lang w:eastAsia="zh-CN" w:bidi="ar"/>
        </w:rPr>
        <w:t>）</w:t>
      </w:r>
      <w:r>
        <w:rPr>
          <w:rFonts w:hint="eastAsia" w:ascii="宋体" w:hAnsi="宋体" w:cs="宋体"/>
          <w:color w:val="auto"/>
          <w:highlight w:val="none"/>
          <w:lang w:eastAsia="zh-CN" w:bidi="ar"/>
        </w:rPr>
        <w:t>质量控制方案</w:t>
      </w:r>
      <w:r>
        <w:rPr>
          <w:rFonts w:hint="eastAsia" w:ascii="宋体" w:hAnsi="宋体" w:cs="宋体"/>
          <w:color w:val="auto"/>
          <w:highlight w:val="none"/>
          <w:lang w:bidi="ar"/>
        </w:rPr>
        <w:t>（投标人自行编制</w:t>
      </w:r>
      <w:r>
        <w:rPr>
          <w:rFonts w:hint="eastAsia" w:ascii="宋体" w:hAnsi="宋体" w:cs="宋体"/>
          <w:color w:val="auto"/>
          <w:highlight w:val="none"/>
          <w:lang w:eastAsia="zh-CN" w:bidi="ar"/>
        </w:rPr>
        <w:t>，</w:t>
      </w:r>
      <w:r>
        <w:rPr>
          <w:rFonts w:hint="eastAsia" w:ascii="宋体" w:hAnsi="宋体" w:cs="宋体"/>
          <w:color w:val="auto"/>
          <w:highlight w:val="none"/>
          <w:lang w:bidi="ar"/>
        </w:rPr>
        <w:t>格式见C</w:t>
      </w:r>
      <w:r>
        <w:rPr>
          <w:rFonts w:hint="eastAsia" w:ascii="宋体" w:hAnsi="宋体" w:cs="宋体"/>
          <w:color w:val="auto"/>
          <w:highlight w:val="none"/>
          <w:lang w:val="en-US" w:eastAsia="zh-CN" w:bidi="ar"/>
        </w:rPr>
        <w:t>5</w:t>
      </w:r>
      <w:r>
        <w:rPr>
          <w:rFonts w:hint="eastAsia" w:ascii="宋体" w:hAnsi="宋体" w:cs="宋体"/>
          <w:color w:val="auto"/>
          <w:highlight w:val="none"/>
          <w:lang w:bidi="ar"/>
        </w:rPr>
        <w:t>）</w:t>
      </w:r>
    </w:p>
    <w:p w14:paraId="398F5209">
      <w:pPr>
        <w:spacing w:before="0" w:after="0" w:afterAutospacing="0" w:line="276" w:lineRule="auto"/>
        <w:ind w:left="0" w:right="0" w:firstLine="0"/>
        <w:rPr>
          <w:rFonts w:hint="eastAsia" w:ascii="宋体" w:hAnsi="宋体" w:eastAsia="宋体" w:cs="宋体"/>
          <w:color w:val="auto"/>
          <w:highlight w:val="none"/>
          <w:lang w:eastAsia="zh-CN" w:bidi="ar"/>
        </w:rPr>
      </w:pPr>
      <w:r>
        <w:rPr>
          <w:rFonts w:hint="eastAsia" w:ascii="宋体" w:hAnsi="宋体" w:eastAsia="宋体" w:cs="宋体"/>
          <w:color w:val="auto"/>
          <w:highlight w:val="none"/>
          <w:lang w:eastAsia="zh-CN" w:bidi="ar"/>
        </w:rPr>
        <w:t>（</w:t>
      </w:r>
      <w:r>
        <w:rPr>
          <w:rFonts w:hint="eastAsia" w:ascii="宋体" w:hAnsi="宋体" w:cs="宋体"/>
          <w:color w:val="auto"/>
          <w:highlight w:val="none"/>
          <w:lang w:val="en-US" w:eastAsia="zh-CN" w:bidi="ar"/>
        </w:rPr>
        <w:t>6</w:t>
      </w:r>
      <w:r>
        <w:rPr>
          <w:rFonts w:hint="eastAsia" w:ascii="宋体" w:hAnsi="宋体" w:eastAsia="宋体" w:cs="宋体"/>
          <w:color w:val="auto"/>
          <w:highlight w:val="none"/>
          <w:lang w:eastAsia="zh-CN" w:bidi="ar"/>
        </w:rPr>
        <w:t>）进度控制方案</w:t>
      </w:r>
      <w:r>
        <w:rPr>
          <w:rFonts w:hint="eastAsia" w:ascii="宋体" w:hAnsi="宋体" w:cs="宋体"/>
          <w:color w:val="auto"/>
          <w:highlight w:val="none"/>
          <w:lang w:bidi="ar"/>
        </w:rPr>
        <w:t>（投标人自行编制</w:t>
      </w:r>
      <w:r>
        <w:rPr>
          <w:rFonts w:hint="eastAsia" w:ascii="宋体" w:hAnsi="宋体" w:cs="宋体"/>
          <w:color w:val="auto"/>
          <w:highlight w:val="none"/>
          <w:lang w:eastAsia="zh-CN" w:bidi="ar"/>
        </w:rPr>
        <w:t>，</w:t>
      </w:r>
      <w:r>
        <w:rPr>
          <w:rFonts w:hint="eastAsia" w:ascii="宋体" w:hAnsi="宋体" w:cs="宋体"/>
          <w:color w:val="auto"/>
          <w:highlight w:val="none"/>
          <w:lang w:bidi="ar"/>
        </w:rPr>
        <w:t>格式见C</w:t>
      </w:r>
      <w:r>
        <w:rPr>
          <w:rFonts w:hint="eastAsia" w:ascii="宋体" w:hAnsi="宋体" w:cs="宋体"/>
          <w:color w:val="auto"/>
          <w:highlight w:val="none"/>
          <w:lang w:val="en-US" w:eastAsia="zh-CN" w:bidi="ar"/>
        </w:rPr>
        <w:t>6</w:t>
      </w:r>
      <w:r>
        <w:rPr>
          <w:rFonts w:hint="eastAsia" w:ascii="宋体" w:hAnsi="宋体" w:cs="宋体"/>
          <w:color w:val="auto"/>
          <w:highlight w:val="none"/>
          <w:lang w:bidi="ar"/>
        </w:rPr>
        <w:t>）</w:t>
      </w:r>
    </w:p>
    <w:p w14:paraId="20C5EDC3">
      <w:pPr>
        <w:spacing w:before="0" w:after="0" w:afterAutospacing="0" w:line="276" w:lineRule="auto"/>
        <w:ind w:left="0" w:leftChars="0" w:right="0" w:firstLine="0" w:firstLineChars="0"/>
        <w:rPr>
          <w:rFonts w:hint="eastAsia" w:ascii="宋体" w:hAnsi="宋体" w:cs="宋体"/>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w:t>
      </w:r>
      <w:r>
        <w:rPr>
          <w:rFonts w:hint="eastAsia" w:ascii="宋体" w:hAnsi="宋体" w:cs="宋体"/>
          <w:color w:val="auto"/>
          <w:highlight w:val="none"/>
        </w:rPr>
        <w:t>业绩：</w:t>
      </w:r>
      <w:r>
        <w:rPr>
          <w:rFonts w:hint="eastAsia"/>
          <w:color w:val="auto"/>
          <w:sz w:val="21"/>
          <w:szCs w:val="21"/>
          <w:highlight w:val="none"/>
          <w:lang w:eastAsia="zh-CN"/>
        </w:rPr>
        <w:t>比选申请人自</w:t>
      </w:r>
      <w:r>
        <w:rPr>
          <w:rFonts w:hint="eastAsia" w:ascii="宋体" w:hAnsi="宋体"/>
          <w:color w:val="auto"/>
          <w:highlight w:val="none"/>
        </w:rPr>
        <w:t>202</w:t>
      </w:r>
      <w:r>
        <w:rPr>
          <w:rFonts w:hint="eastAsia" w:ascii="宋体" w:hAnsi="宋体"/>
          <w:color w:val="auto"/>
          <w:highlight w:val="none"/>
          <w:lang w:val="en-US" w:eastAsia="zh-CN"/>
        </w:rPr>
        <w:t>1</w:t>
      </w:r>
      <w:r>
        <w:rPr>
          <w:rFonts w:hint="eastAsia" w:ascii="宋体" w:hAnsi="宋体"/>
          <w:color w:val="auto"/>
          <w:highlight w:val="none"/>
        </w:rPr>
        <w:t>年1月1日至今承接过</w:t>
      </w:r>
      <w:r>
        <w:rPr>
          <w:rFonts w:hint="eastAsia" w:ascii="宋体" w:hAnsi="宋体"/>
          <w:color w:val="auto"/>
          <w:highlight w:val="none"/>
          <w:lang w:eastAsia="zh-CN"/>
        </w:rPr>
        <w:t>1个单项合同金额20万</w:t>
      </w:r>
      <w:r>
        <w:rPr>
          <w:rFonts w:hint="eastAsia" w:ascii="宋体" w:hAnsi="宋体"/>
          <w:color w:val="auto"/>
          <w:highlight w:val="none"/>
        </w:rPr>
        <w:t>以上（含</w:t>
      </w:r>
      <w:r>
        <w:rPr>
          <w:rFonts w:hint="eastAsia" w:ascii="宋体" w:hAnsi="宋体"/>
          <w:color w:val="auto"/>
          <w:highlight w:val="none"/>
          <w:lang w:val="en-US" w:eastAsia="zh-CN"/>
        </w:rPr>
        <w:t>20</w:t>
      </w:r>
      <w:r>
        <w:rPr>
          <w:rFonts w:hint="eastAsia" w:ascii="宋体" w:hAnsi="宋体"/>
          <w:color w:val="auto"/>
          <w:highlight w:val="none"/>
        </w:rPr>
        <w:t>万）</w:t>
      </w:r>
      <w:r>
        <w:rPr>
          <w:rFonts w:hint="eastAsia" w:ascii="宋体" w:hAnsi="宋体"/>
          <w:color w:val="auto"/>
          <w:highlight w:val="none"/>
          <w:lang w:val="en-US" w:eastAsia="zh-CN"/>
        </w:rPr>
        <w:t>勘察</w:t>
      </w:r>
      <w:r>
        <w:rPr>
          <w:rFonts w:hint="eastAsia" w:ascii="宋体" w:hAnsi="宋体"/>
          <w:color w:val="auto"/>
          <w:highlight w:val="none"/>
        </w:rPr>
        <w:t>服务项目</w:t>
      </w:r>
      <w:r>
        <w:rPr>
          <w:rFonts w:hint="eastAsia" w:ascii="宋体" w:hAnsi="宋体"/>
          <w:color w:val="auto"/>
          <w:highlight w:val="none"/>
          <w:lang w:eastAsia="zh-CN"/>
        </w:rPr>
        <w:t>。</w:t>
      </w:r>
      <w:r>
        <w:rPr>
          <w:rFonts w:hint="eastAsia" w:ascii="宋体" w:hAnsi="宋体" w:cs="宋体"/>
          <w:color w:val="auto"/>
          <w:highlight w:val="none"/>
        </w:rPr>
        <w:t>提供下述材料之一即可：①合同文件；②中标通知书。所提供的材料须能明确反映类似项目特征，复印件加盖比选申请人公章（格式见C</w:t>
      </w:r>
      <w:r>
        <w:rPr>
          <w:rFonts w:hint="eastAsia" w:ascii="宋体" w:hAnsi="宋体" w:cs="宋体"/>
          <w:color w:val="auto"/>
          <w:highlight w:val="none"/>
          <w:lang w:val="en-US" w:eastAsia="zh-CN"/>
        </w:rPr>
        <w:t>7</w:t>
      </w:r>
      <w:r>
        <w:rPr>
          <w:rFonts w:hint="eastAsia" w:ascii="宋体" w:hAnsi="宋体" w:cs="宋体"/>
          <w:color w:val="auto"/>
          <w:highlight w:val="none"/>
        </w:rPr>
        <w:t>）。</w:t>
      </w:r>
    </w:p>
    <w:p w14:paraId="58D1D0E6">
      <w:pPr>
        <w:spacing w:before="0" w:after="0" w:afterAutospacing="0" w:line="276" w:lineRule="auto"/>
        <w:ind w:left="0" w:right="0" w:firstLine="0"/>
        <w:rPr>
          <w:rFonts w:hint="eastAsia"/>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）比选申请人认为应提交的其他比选申请资料（如有）。</w:t>
      </w:r>
    </w:p>
    <w:p w14:paraId="4D261B87">
      <w:pPr>
        <w:pStyle w:val="19"/>
        <w:rPr>
          <w:rFonts w:hint="eastAsia"/>
          <w:color w:val="auto"/>
          <w:highlight w:val="none"/>
        </w:rPr>
      </w:pPr>
    </w:p>
    <w:p w14:paraId="1960DF20">
      <w:pPr>
        <w:spacing w:before="0" w:after="0" w:afterAutospacing="0"/>
        <w:ind w:right="0"/>
        <w:rPr>
          <w:rFonts w:hAnsi="宋体"/>
          <w:b/>
          <w:bCs/>
          <w:color w:val="auto"/>
          <w:sz w:val="24"/>
          <w:szCs w:val="24"/>
          <w:highlight w:val="none"/>
        </w:rPr>
      </w:pPr>
      <w:r>
        <w:rPr>
          <w:rFonts w:hint="eastAsia" w:hAnsi="宋体"/>
          <w:b/>
          <w:bCs/>
          <w:color w:val="auto"/>
          <w:sz w:val="24"/>
          <w:szCs w:val="24"/>
          <w:highlight w:val="none"/>
        </w:rPr>
        <w:t>注：</w:t>
      </w:r>
      <w:r>
        <w:rPr>
          <w:rFonts w:hAnsi="宋体"/>
          <w:b/>
          <w:bCs/>
          <w:color w:val="auto"/>
          <w:sz w:val="24"/>
          <w:szCs w:val="24"/>
          <w:highlight w:val="none"/>
        </w:rPr>
        <w:t>以上提供的复印件必须加盖比选申请人公章。</w:t>
      </w:r>
    </w:p>
    <w:p w14:paraId="50AA5CDD">
      <w:pPr>
        <w:rPr>
          <w:color w:val="auto"/>
          <w:sz w:val="24"/>
          <w:szCs w:val="24"/>
          <w:highlight w:val="none"/>
          <w:u w:val="single"/>
        </w:rPr>
      </w:pPr>
      <w:r>
        <w:rPr>
          <w:rFonts w:hint="eastAsia"/>
          <w:color w:val="auto"/>
          <w:sz w:val="24"/>
          <w:szCs w:val="24"/>
          <w:highlight w:val="none"/>
          <w:u w:val="single"/>
        </w:rPr>
        <w:br w:type="page"/>
      </w:r>
    </w:p>
    <w:p w14:paraId="0B2A2A7D">
      <w:pPr>
        <w:pStyle w:val="3"/>
        <w:tabs>
          <w:tab w:val="left" w:pos="567"/>
          <w:tab w:val="left" w:pos="720"/>
        </w:tabs>
        <w:snapToGrid w:val="0"/>
        <w:spacing w:after="100" w:line="360" w:lineRule="auto"/>
        <w:ind w:right="-57"/>
        <w:jc w:val="left"/>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p>
    <w:p w14:paraId="0DCEEB00">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1213AAAC">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38"/>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774D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78C11B5B">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649BD28A">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71886635">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28CB1D7D">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6439F2A8">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474407F9">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71FF2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0C9AA1B">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781E02FB">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86BBE2B">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32446640">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2BC11EA8">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48B017C">
            <w:pPr>
              <w:widowControl w:val="0"/>
              <w:adjustRightInd w:val="0"/>
              <w:jc w:val="center"/>
              <w:rPr>
                <w:rFonts w:cs="Arial"/>
                <w:color w:val="auto"/>
                <w:kern w:val="2"/>
                <w:highlight w:val="none"/>
                <w:u w:val="single"/>
              </w:rPr>
            </w:pPr>
          </w:p>
        </w:tc>
      </w:tr>
      <w:tr w14:paraId="6F569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6526A34">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26F577B3">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D5105E0">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7E314DE7">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629CBDFD">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348DE9C">
            <w:pPr>
              <w:widowControl w:val="0"/>
              <w:adjustRightInd w:val="0"/>
              <w:jc w:val="center"/>
              <w:rPr>
                <w:rFonts w:cs="Arial"/>
                <w:color w:val="auto"/>
                <w:kern w:val="2"/>
                <w:highlight w:val="none"/>
                <w:u w:val="single"/>
              </w:rPr>
            </w:pPr>
          </w:p>
        </w:tc>
      </w:tr>
      <w:tr w14:paraId="7C96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84A2E8A">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20F709AE">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3386293">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70B44B36">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4372C74">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A0EF803">
            <w:pPr>
              <w:widowControl w:val="0"/>
              <w:adjustRightInd w:val="0"/>
              <w:jc w:val="center"/>
              <w:rPr>
                <w:rFonts w:cs="Arial"/>
                <w:color w:val="auto"/>
                <w:kern w:val="2"/>
                <w:highlight w:val="none"/>
                <w:u w:val="single"/>
              </w:rPr>
            </w:pPr>
          </w:p>
        </w:tc>
      </w:tr>
      <w:tr w14:paraId="66416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4B8EAF5">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4513985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C8DC62E">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56C0EBCE">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64D481DB">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965989A">
            <w:pPr>
              <w:widowControl w:val="0"/>
              <w:adjustRightInd w:val="0"/>
              <w:jc w:val="center"/>
              <w:rPr>
                <w:rFonts w:cs="Arial"/>
                <w:color w:val="auto"/>
                <w:kern w:val="2"/>
                <w:highlight w:val="none"/>
                <w:u w:val="single"/>
              </w:rPr>
            </w:pPr>
          </w:p>
        </w:tc>
      </w:tr>
      <w:tr w14:paraId="62A7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132BD10C">
            <w:pPr>
              <w:widowControl w:val="0"/>
              <w:rPr>
                <w:rFonts w:cs="Arial"/>
                <w:color w:val="auto"/>
                <w:kern w:val="2"/>
                <w:highlight w:val="none"/>
              </w:rPr>
            </w:pPr>
            <w:r>
              <w:rPr>
                <w:rFonts w:hint="eastAsia" w:cs="Arial"/>
                <w:color w:val="auto"/>
                <w:highlight w:val="none"/>
              </w:rPr>
              <w:t>我方确认：除了表中所列的条款外，我方的比选申请函将依从比选文件对于技术的全部要求和规定。</w:t>
            </w:r>
          </w:p>
        </w:tc>
      </w:tr>
    </w:tbl>
    <w:p w14:paraId="4A386D54">
      <w:pPr>
        <w:snapToGrid w:val="0"/>
        <w:spacing w:after="50" w:line="280" w:lineRule="exact"/>
        <w:ind w:left="955" w:leftChars="455" w:right="-817" w:firstLine="2832" w:firstLineChars="1349"/>
        <w:rPr>
          <w:rFonts w:ascii="宋体" w:hAnsi="宋体"/>
          <w:color w:val="auto"/>
          <w:highlight w:val="none"/>
        </w:rPr>
      </w:pPr>
    </w:p>
    <w:p w14:paraId="4C17D491">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6D05A025">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法定代表人或被授权人（签字或盖章）：</w:t>
      </w:r>
    </w:p>
    <w:p w14:paraId="0C8CEF3C">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4BCD2511">
      <w:pPr>
        <w:spacing w:before="0"/>
        <w:ind w:right="-57" w:firstLine="0"/>
        <w:rPr>
          <w:rFonts w:ascii="宋体" w:hAnsi="宋体"/>
          <w:color w:val="auto"/>
          <w:highlight w:val="none"/>
        </w:rPr>
      </w:pPr>
    </w:p>
    <w:p w14:paraId="76A9B298">
      <w:pPr>
        <w:spacing w:before="0" w:after="0" w:afterAutospacing="0"/>
        <w:ind w:left="708" w:right="0" w:hanging="708" w:hangingChars="336"/>
        <w:rPr>
          <w:rFonts w:ascii="宋体" w:hAnsi="宋体"/>
          <w:b/>
          <w:color w:val="auto"/>
          <w:highlight w:val="none"/>
        </w:rPr>
      </w:pPr>
      <w:r>
        <w:rPr>
          <w:rFonts w:ascii="宋体" w:hAnsi="宋体"/>
          <w:b/>
          <w:color w:val="auto"/>
          <w:highlight w:val="none"/>
        </w:rPr>
        <w:t>说明：</w:t>
      </w:r>
    </w:p>
    <w:p w14:paraId="63FAEB04">
      <w:pPr>
        <w:pStyle w:val="53"/>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1.对完全响应的条目在本表“偏离情况”列中选注“完全响应”。对有偏离的条目在本表“偏离情况”列中选注“正偏离”或“负偏离”，并对“正偏离”或“负偏离”加以说明。</w:t>
      </w:r>
    </w:p>
    <w:p w14:paraId="5D8356B6">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正偏离是指应答的条件高于比选文件要求，负偏离是指应答的条件低于比选文件要求。</w:t>
      </w:r>
    </w:p>
    <w:p w14:paraId="396654FC">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highlight w:val="none"/>
        </w:rPr>
        <w:t xml:space="preserve">。  </w:t>
      </w:r>
    </w:p>
    <w:p w14:paraId="74544342">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4.比选申请人如无偏离，可在上表比选申请文件响应空格中填写内容“完全响应”表示，在上表偏离空格中填写“无偏离”表示。   </w:t>
      </w:r>
    </w:p>
    <w:p w14:paraId="4F751655">
      <w:pPr>
        <w:spacing w:before="0"/>
        <w:ind w:left="105" w:leftChars="50" w:right="-57" w:firstLine="316" w:firstLineChars="150"/>
        <w:rPr>
          <w:rFonts w:ascii="宋体" w:hAnsi="宋体"/>
          <w:b/>
          <w:color w:val="auto"/>
          <w:highlight w:val="none"/>
        </w:rPr>
      </w:pPr>
      <w:r>
        <w:rPr>
          <w:rFonts w:hint="eastAsia" w:ascii="宋体" w:hAnsi="宋体"/>
          <w:b/>
          <w:color w:val="auto"/>
          <w:highlight w:val="none"/>
        </w:rPr>
        <w:t>5.如有任意一项负偏离，比选申请人将不能通过符合性评审。</w:t>
      </w:r>
    </w:p>
    <w:p w14:paraId="51EB1237">
      <w:pPr>
        <w:pStyle w:val="3"/>
        <w:tabs>
          <w:tab w:val="left" w:pos="567"/>
          <w:tab w:val="left" w:pos="720"/>
        </w:tabs>
        <w:snapToGrid w:val="0"/>
        <w:spacing w:after="100" w:line="360" w:lineRule="auto"/>
        <w:ind w:right="-57" w:firstLine="0"/>
        <w:jc w:val="left"/>
        <w:rPr>
          <w:rFonts w:ascii="宋体" w:hAnsi="宋体" w:eastAsia="宋体"/>
          <w:color w:val="auto"/>
          <w:sz w:val="21"/>
          <w:szCs w:val="21"/>
          <w:highlight w:val="none"/>
        </w:rPr>
        <w:sectPr>
          <w:pgSz w:w="11905" w:h="16838"/>
          <w:pgMar w:top="1418" w:right="1418" w:bottom="1304" w:left="1418" w:header="454" w:footer="567" w:gutter="0"/>
          <w:cols w:space="720" w:num="1"/>
          <w:docGrid w:linePitch="312" w:charSpace="0"/>
        </w:sectPr>
      </w:pPr>
      <w:bookmarkStart w:id="1472" w:name="_Toc25750685"/>
    </w:p>
    <w:bookmarkEnd w:id="1472"/>
    <w:p w14:paraId="2E26DBE6">
      <w:pPr>
        <w:pStyle w:val="3"/>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1473" w:name="_Toc114134672"/>
      <w:bookmarkStart w:id="1474" w:name="_Toc25750687"/>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1473"/>
      <w:bookmarkEnd w:id="1474"/>
    </w:p>
    <w:p w14:paraId="68282335">
      <w:pPr>
        <w:ind w:right="-57" w:firstLine="0"/>
        <w:jc w:val="center"/>
        <w:rPr>
          <w:rFonts w:ascii="宋体" w:hAnsi="宋体"/>
          <w:b/>
          <w:color w:val="auto"/>
          <w:highlight w:val="none"/>
        </w:rPr>
      </w:pPr>
      <w:r>
        <w:rPr>
          <w:rFonts w:hint="eastAsia" w:ascii="宋体" w:hAnsi="宋体"/>
          <w:b/>
          <w:color w:val="auto"/>
          <w:highlight w:val="none"/>
        </w:rPr>
        <w:t>商务响应表</w:t>
      </w:r>
    </w:p>
    <w:p w14:paraId="2A678F87">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38"/>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4AC06EA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B896B24">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03CE35E5">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3F68B5AD">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01B42B1A">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3EF427E8">
            <w:pPr>
              <w:ind w:left="0" w:firstLine="0"/>
              <w:rPr>
                <w:rFonts w:ascii="宋体" w:hAnsi="宋体"/>
                <w:color w:val="auto"/>
                <w:highlight w:val="none"/>
              </w:rPr>
            </w:pPr>
            <w:r>
              <w:rPr>
                <w:rFonts w:hint="eastAsia" w:ascii="宋体" w:hAnsi="宋体"/>
                <w:color w:val="auto"/>
                <w:highlight w:val="none"/>
              </w:rPr>
              <w:t>备注</w:t>
            </w:r>
          </w:p>
        </w:tc>
      </w:tr>
      <w:tr w14:paraId="4A82542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60F82E93">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7AB92FE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1FB1C7C">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74AFC688">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263BC4B7">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4CEA847">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352ED81">
            <w:pPr>
              <w:ind w:left="0" w:firstLine="0"/>
              <w:rPr>
                <w:rFonts w:ascii="宋体" w:hAnsi="宋体"/>
                <w:color w:val="auto"/>
                <w:highlight w:val="none"/>
              </w:rPr>
            </w:pPr>
          </w:p>
        </w:tc>
      </w:tr>
      <w:tr w14:paraId="565C04B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25FADCBB">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1D056ABB">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43F701CC">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CB2D373">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AD16641">
            <w:pPr>
              <w:ind w:left="0" w:firstLine="0"/>
              <w:rPr>
                <w:rFonts w:ascii="宋体" w:hAnsi="宋体"/>
                <w:color w:val="auto"/>
                <w:highlight w:val="none"/>
              </w:rPr>
            </w:pPr>
          </w:p>
        </w:tc>
      </w:tr>
      <w:tr w14:paraId="086D526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66E35C96">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3EEE5DC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8E3084C">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69E86E3D">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585CB7C1">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CE41632">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290471B4">
            <w:pPr>
              <w:ind w:left="0" w:firstLine="0"/>
              <w:rPr>
                <w:rFonts w:ascii="宋体" w:hAnsi="宋体"/>
                <w:color w:val="auto"/>
                <w:highlight w:val="none"/>
              </w:rPr>
            </w:pPr>
          </w:p>
        </w:tc>
      </w:tr>
      <w:tr w14:paraId="07A768B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6F1FAA3">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217862FF">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71912EC0">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BBF2656">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CA7C147">
            <w:pPr>
              <w:ind w:left="0" w:firstLine="0"/>
              <w:rPr>
                <w:rFonts w:ascii="宋体" w:hAnsi="宋体"/>
                <w:color w:val="auto"/>
                <w:highlight w:val="none"/>
              </w:rPr>
            </w:pPr>
          </w:p>
        </w:tc>
      </w:tr>
    </w:tbl>
    <w:p w14:paraId="23A3C472">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2A25D841">
      <w:pPr>
        <w:snapToGrid w:val="0"/>
        <w:spacing w:after="50"/>
        <w:ind w:right="-57" w:firstLine="0"/>
        <w:rPr>
          <w:rFonts w:ascii="宋体" w:hAnsi="宋体"/>
          <w:color w:val="auto"/>
          <w:spacing w:val="20"/>
          <w:sz w:val="24"/>
          <w:szCs w:val="24"/>
          <w:highlight w:val="none"/>
        </w:rPr>
      </w:pPr>
    </w:p>
    <w:p w14:paraId="173728EB">
      <w:pPr>
        <w:snapToGrid w:val="0"/>
        <w:spacing w:after="50" w:line="280" w:lineRule="exact"/>
        <w:ind w:left="953" w:right="-817" w:firstLine="1443"/>
        <w:rPr>
          <w:rFonts w:ascii="宋体" w:hAnsi="宋体"/>
          <w:color w:val="auto"/>
          <w:sz w:val="24"/>
          <w:szCs w:val="24"/>
          <w:highlight w:val="none"/>
        </w:rPr>
      </w:pPr>
    </w:p>
    <w:p w14:paraId="67F81E6D">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410A6ACC">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r>
        <w:rPr>
          <w:rFonts w:hint="eastAsia" w:ascii="宋体" w:hAnsi="宋体"/>
          <w:color w:val="auto"/>
          <w:highlight w:val="none"/>
        </w:rPr>
        <w:t>或盖章</w:t>
      </w:r>
      <w:r>
        <w:rPr>
          <w:rFonts w:ascii="宋体" w:hAnsi="宋体"/>
          <w:color w:val="auto"/>
          <w:highlight w:val="none"/>
        </w:rPr>
        <w:t>）：</w:t>
      </w:r>
    </w:p>
    <w:p w14:paraId="5FC20B55">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23D89B30">
      <w:pPr>
        <w:pStyle w:val="5"/>
        <w:ind w:left="0" w:leftChars="0" w:firstLine="0" w:firstLineChars="0"/>
        <w:rPr>
          <w:color w:val="auto"/>
          <w:szCs w:val="24"/>
          <w:highlight w:val="none"/>
          <w:u w:val="single"/>
        </w:rPr>
      </w:pPr>
    </w:p>
    <w:p w14:paraId="0E3F5172">
      <w:pPr>
        <w:rPr>
          <w:color w:val="auto"/>
          <w:szCs w:val="24"/>
          <w:highlight w:val="none"/>
          <w:u w:val="single"/>
        </w:rPr>
      </w:pPr>
      <w:r>
        <w:rPr>
          <w:color w:val="auto"/>
          <w:szCs w:val="24"/>
          <w:highlight w:val="none"/>
          <w:u w:val="single"/>
        </w:rPr>
        <w:br w:type="page"/>
      </w:r>
    </w:p>
    <w:p w14:paraId="007D2D3A">
      <w:pPr>
        <w:pStyle w:val="3"/>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1475" w:name="_Toc6884"/>
      <w:bookmarkStart w:id="1476" w:name="_Toc8068"/>
      <w:r>
        <w:rPr>
          <w:rFonts w:hint="eastAsia" w:ascii="宋体" w:hAnsi="宋体" w:eastAsia="宋体"/>
          <w:color w:val="auto"/>
          <w:sz w:val="21"/>
          <w:szCs w:val="21"/>
          <w:highlight w:val="none"/>
        </w:rPr>
        <w:t>C3 项目人员配置</w:t>
      </w:r>
      <w:bookmarkEnd w:id="1475"/>
      <w:bookmarkEnd w:id="1476"/>
      <w:bookmarkStart w:id="1477" w:name="_Toc30537"/>
      <w:bookmarkStart w:id="1478" w:name="_Toc100643473"/>
      <w:bookmarkStart w:id="1479" w:name="_Toc21515"/>
      <w:bookmarkStart w:id="1480" w:name="_Toc115251132"/>
    </w:p>
    <w:p w14:paraId="0D02EDF7">
      <w:pPr>
        <w:numPr>
          <w:ilvl w:val="255"/>
          <w:numId w:val="0"/>
        </w:numPr>
        <w:rPr>
          <w:b/>
          <w:bCs/>
          <w:color w:val="auto"/>
          <w:sz w:val="24"/>
          <w:szCs w:val="24"/>
          <w:highlight w:val="none"/>
        </w:rPr>
      </w:pPr>
      <w:r>
        <w:rPr>
          <w:rFonts w:hint="eastAsia"/>
          <w:b/>
          <w:bCs/>
          <w:color w:val="auto"/>
          <w:sz w:val="24"/>
          <w:szCs w:val="24"/>
          <w:highlight w:val="none"/>
        </w:rPr>
        <w:t>C3-</w:t>
      </w:r>
      <w:r>
        <w:rPr>
          <w:b/>
          <w:bCs/>
          <w:color w:val="auto"/>
          <w:sz w:val="24"/>
          <w:szCs w:val="24"/>
          <w:highlight w:val="none"/>
        </w:rPr>
        <w:t>1</w:t>
      </w:r>
      <w:bookmarkEnd w:id="1477"/>
      <w:bookmarkEnd w:id="1478"/>
      <w:bookmarkEnd w:id="1479"/>
      <w:bookmarkEnd w:id="1480"/>
      <w:r>
        <w:rPr>
          <w:rFonts w:hint="eastAsia"/>
          <w:b/>
          <w:bCs/>
          <w:color w:val="auto"/>
          <w:sz w:val="24"/>
          <w:szCs w:val="24"/>
          <w:highlight w:val="none"/>
        </w:rPr>
        <w:t>拟投入人员配置表（格式）</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088"/>
        <w:gridCol w:w="962"/>
        <w:gridCol w:w="1000"/>
        <w:gridCol w:w="1050"/>
        <w:gridCol w:w="1063"/>
        <w:gridCol w:w="1050"/>
        <w:gridCol w:w="1200"/>
        <w:gridCol w:w="1243"/>
      </w:tblGrid>
      <w:tr w14:paraId="3E3E1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4E7ED683">
            <w:pPr>
              <w:pStyle w:val="5"/>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88" w:type="dxa"/>
          </w:tcPr>
          <w:p w14:paraId="5914B9DF">
            <w:pPr>
              <w:pStyle w:val="5"/>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62" w:type="dxa"/>
          </w:tcPr>
          <w:p w14:paraId="505B5A58">
            <w:pPr>
              <w:pStyle w:val="5"/>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1000" w:type="dxa"/>
          </w:tcPr>
          <w:p w14:paraId="0E1278E8">
            <w:pPr>
              <w:pStyle w:val="5"/>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50" w:type="dxa"/>
          </w:tcPr>
          <w:p w14:paraId="64B0C9DE">
            <w:pPr>
              <w:pStyle w:val="5"/>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63" w:type="dxa"/>
          </w:tcPr>
          <w:p w14:paraId="446C3A5B">
            <w:pPr>
              <w:pStyle w:val="5"/>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职称</w:t>
            </w:r>
          </w:p>
        </w:tc>
        <w:tc>
          <w:tcPr>
            <w:tcW w:w="1050" w:type="dxa"/>
          </w:tcPr>
          <w:p w14:paraId="384209FE">
            <w:pPr>
              <w:pStyle w:val="5"/>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200" w:type="dxa"/>
          </w:tcPr>
          <w:p w14:paraId="454C690F">
            <w:pPr>
              <w:pStyle w:val="5"/>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43" w:type="dxa"/>
          </w:tcPr>
          <w:p w14:paraId="0AF2A87F">
            <w:pPr>
              <w:pStyle w:val="5"/>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EED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51973007">
            <w:pPr>
              <w:pStyle w:val="5"/>
              <w:ind w:firstLine="482"/>
              <w:rPr>
                <w:b/>
                <w:bCs/>
                <w:color w:val="auto"/>
                <w:szCs w:val="24"/>
                <w:highlight w:val="none"/>
              </w:rPr>
            </w:pPr>
          </w:p>
        </w:tc>
        <w:tc>
          <w:tcPr>
            <w:tcW w:w="1088" w:type="dxa"/>
          </w:tcPr>
          <w:p w14:paraId="6BF97C0B">
            <w:pPr>
              <w:pStyle w:val="5"/>
              <w:ind w:firstLine="482"/>
              <w:rPr>
                <w:b/>
                <w:bCs/>
                <w:color w:val="auto"/>
                <w:szCs w:val="24"/>
                <w:highlight w:val="none"/>
              </w:rPr>
            </w:pPr>
          </w:p>
        </w:tc>
        <w:tc>
          <w:tcPr>
            <w:tcW w:w="962" w:type="dxa"/>
          </w:tcPr>
          <w:p w14:paraId="29AC2BEB">
            <w:pPr>
              <w:pStyle w:val="5"/>
              <w:ind w:firstLine="482"/>
              <w:rPr>
                <w:b/>
                <w:bCs/>
                <w:color w:val="auto"/>
                <w:szCs w:val="24"/>
                <w:highlight w:val="none"/>
              </w:rPr>
            </w:pPr>
          </w:p>
        </w:tc>
        <w:tc>
          <w:tcPr>
            <w:tcW w:w="1000" w:type="dxa"/>
          </w:tcPr>
          <w:p w14:paraId="6CA67D11">
            <w:pPr>
              <w:pStyle w:val="5"/>
              <w:ind w:firstLine="482"/>
              <w:rPr>
                <w:b/>
                <w:bCs/>
                <w:color w:val="auto"/>
                <w:szCs w:val="24"/>
                <w:highlight w:val="none"/>
              </w:rPr>
            </w:pPr>
          </w:p>
        </w:tc>
        <w:tc>
          <w:tcPr>
            <w:tcW w:w="1050" w:type="dxa"/>
          </w:tcPr>
          <w:p w14:paraId="485169E3">
            <w:pPr>
              <w:pStyle w:val="5"/>
              <w:ind w:firstLine="482"/>
              <w:rPr>
                <w:b/>
                <w:bCs/>
                <w:color w:val="auto"/>
                <w:szCs w:val="24"/>
                <w:highlight w:val="none"/>
              </w:rPr>
            </w:pPr>
          </w:p>
        </w:tc>
        <w:tc>
          <w:tcPr>
            <w:tcW w:w="1063" w:type="dxa"/>
          </w:tcPr>
          <w:p w14:paraId="5336C976">
            <w:pPr>
              <w:pStyle w:val="5"/>
              <w:ind w:firstLine="482"/>
              <w:rPr>
                <w:b/>
                <w:bCs/>
                <w:color w:val="auto"/>
                <w:szCs w:val="24"/>
                <w:highlight w:val="none"/>
              </w:rPr>
            </w:pPr>
          </w:p>
        </w:tc>
        <w:tc>
          <w:tcPr>
            <w:tcW w:w="1050" w:type="dxa"/>
          </w:tcPr>
          <w:p w14:paraId="487688C5">
            <w:pPr>
              <w:pStyle w:val="5"/>
              <w:ind w:firstLine="482"/>
              <w:rPr>
                <w:b/>
                <w:bCs/>
                <w:color w:val="auto"/>
                <w:szCs w:val="24"/>
                <w:highlight w:val="none"/>
              </w:rPr>
            </w:pPr>
          </w:p>
        </w:tc>
        <w:tc>
          <w:tcPr>
            <w:tcW w:w="1200" w:type="dxa"/>
          </w:tcPr>
          <w:p w14:paraId="1D4F98A3">
            <w:pPr>
              <w:pStyle w:val="5"/>
              <w:ind w:firstLine="482"/>
              <w:rPr>
                <w:b/>
                <w:bCs/>
                <w:color w:val="auto"/>
                <w:szCs w:val="24"/>
                <w:highlight w:val="none"/>
              </w:rPr>
            </w:pPr>
          </w:p>
        </w:tc>
        <w:tc>
          <w:tcPr>
            <w:tcW w:w="1243" w:type="dxa"/>
          </w:tcPr>
          <w:p w14:paraId="2FF06ED8">
            <w:pPr>
              <w:pStyle w:val="5"/>
              <w:ind w:firstLine="482"/>
              <w:rPr>
                <w:b/>
                <w:bCs/>
                <w:color w:val="auto"/>
                <w:szCs w:val="24"/>
                <w:highlight w:val="none"/>
              </w:rPr>
            </w:pPr>
          </w:p>
        </w:tc>
      </w:tr>
      <w:tr w14:paraId="3887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069BC534">
            <w:pPr>
              <w:pStyle w:val="5"/>
              <w:ind w:firstLine="482"/>
              <w:rPr>
                <w:b/>
                <w:bCs/>
                <w:color w:val="auto"/>
                <w:szCs w:val="24"/>
                <w:highlight w:val="none"/>
              </w:rPr>
            </w:pPr>
          </w:p>
        </w:tc>
        <w:tc>
          <w:tcPr>
            <w:tcW w:w="1088" w:type="dxa"/>
          </w:tcPr>
          <w:p w14:paraId="259DA5CF">
            <w:pPr>
              <w:pStyle w:val="5"/>
              <w:ind w:firstLine="482"/>
              <w:rPr>
                <w:b/>
                <w:bCs/>
                <w:color w:val="auto"/>
                <w:szCs w:val="24"/>
                <w:highlight w:val="none"/>
              </w:rPr>
            </w:pPr>
          </w:p>
        </w:tc>
        <w:tc>
          <w:tcPr>
            <w:tcW w:w="962" w:type="dxa"/>
          </w:tcPr>
          <w:p w14:paraId="336AB5FC">
            <w:pPr>
              <w:pStyle w:val="5"/>
              <w:ind w:firstLine="482"/>
              <w:rPr>
                <w:b/>
                <w:bCs/>
                <w:color w:val="auto"/>
                <w:szCs w:val="24"/>
                <w:highlight w:val="none"/>
              </w:rPr>
            </w:pPr>
          </w:p>
        </w:tc>
        <w:tc>
          <w:tcPr>
            <w:tcW w:w="1000" w:type="dxa"/>
          </w:tcPr>
          <w:p w14:paraId="11E74C0C">
            <w:pPr>
              <w:pStyle w:val="5"/>
              <w:ind w:firstLine="482"/>
              <w:rPr>
                <w:b/>
                <w:bCs/>
                <w:color w:val="auto"/>
                <w:szCs w:val="24"/>
                <w:highlight w:val="none"/>
              </w:rPr>
            </w:pPr>
          </w:p>
        </w:tc>
        <w:tc>
          <w:tcPr>
            <w:tcW w:w="1050" w:type="dxa"/>
          </w:tcPr>
          <w:p w14:paraId="6096C745">
            <w:pPr>
              <w:pStyle w:val="5"/>
              <w:ind w:firstLine="482"/>
              <w:rPr>
                <w:b/>
                <w:bCs/>
                <w:color w:val="auto"/>
                <w:szCs w:val="24"/>
                <w:highlight w:val="none"/>
              </w:rPr>
            </w:pPr>
          </w:p>
        </w:tc>
        <w:tc>
          <w:tcPr>
            <w:tcW w:w="1063" w:type="dxa"/>
          </w:tcPr>
          <w:p w14:paraId="30EA843B">
            <w:pPr>
              <w:pStyle w:val="5"/>
              <w:ind w:firstLine="482"/>
              <w:rPr>
                <w:b/>
                <w:bCs/>
                <w:color w:val="auto"/>
                <w:szCs w:val="24"/>
                <w:highlight w:val="none"/>
              </w:rPr>
            </w:pPr>
          </w:p>
        </w:tc>
        <w:tc>
          <w:tcPr>
            <w:tcW w:w="1050" w:type="dxa"/>
          </w:tcPr>
          <w:p w14:paraId="1219E85E">
            <w:pPr>
              <w:pStyle w:val="5"/>
              <w:ind w:firstLine="482"/>
              <w:rPr>
                <w:b/>
                <w:bCs/>
                <w:color w:val="auto"/>
                <w:szCs w:val="24"/>
                <w:highlight w:val="none"/>
              </w:rPr>
            </w:pPr>
          </w:p>
        </w:tc>
        <w:tc>
          <w:tcPr>
            <w:tcW w:w="1200" w:type="dxa"/>
          </w:tcPr>
          <w:p w14:paraId="0EEF875D">
            <w:pPr>
              <w:pStyle w:val="5"/>
              <w:ind w:firstLine="482"/>
              <w:rPr>
                <w:b/>
                <w:bCs/>
                <w:color w:val="auto"/>
                <w:szCs w:val="24"/>
                <w:highlight w:val="none"/>
              </w:rPr>
            </w:pPr>
          </w:p>
        </w:tc>
        <w:tc>
          <w:tcPr>
            <w:tcW w:w="1243" w:type="dxa"/>
          </w:tcPr>
          <w:p w14:paraId="459A4DDE">
            <w:pPr>
              <w:pStyle w:val="5"/>
              <w:ind w:firstLine="482"/>
              <w:rPr>
                <w:b/>
                <w:bCs/>
                <w:color w:val="auto"/>
                <w:szCs w:val="24"/>
                <w:highlight w:val="none"/>
              </w:rPr>
            </w:pPr>
          </w:p>
        </w:tc>
      </w:tr>
      <w:tr w14:paraId="6E550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0144B3F9">
            <w:pPr>
              <w:pStyle w:val="5"/>
              <w:ind w:firstLine="482"/>
              <w:rPr>
                <w:b/>
                <w:bCs/>
                <w:color w:val="auto"/>
                <w:szCs w:val="24"/>
                <w:highlight w:val="none"/>
              </w:rPr>
            </w:pPr>
          </w:p>
        </w:tc>
        <w:tc>
          <w:tcPr>
            <w:tcW w:w="1088" w:type="dxa"/>
          </w:tcPr>
          <w:p w14:paraId="76944D42">
            <w:pPr>
              <w:pStyle w:val="5"/>
              <w:ind w:firstLine="482"/>
              <w:rPr>
                <w:b/>
                <w:bCs/>
                <w:color w:val="auto"/>
                <w:szCs w:val="24"/>
                <w:highlight w:val="none"/>
              </w:rPr>
            </w:pPr>
          </w:p>
        </w:tc>
        <w:tc>
          <w:tcPr>
            <w:tcW w:w="962" w:type="dxa"/>
          </w:tcPr>
          <w:p w14:paraId="40792803">
            <w:pPr>
              <w:pStyle w:val="5"/>
              <w:ind w:firstLine="482"/>
              <w:rPr>
                <w:b/>
                <w:bCs/>
                <w:color w:val="auto"/>
                <w:szCs w:val="24"/>
                <w:highlight w:val="none"/>
              </w:rPr>
            </w:pPr>
          </w:p>
        </w:tc>
        <w:tc>
          <w:tcPr>
            <w:tcW w:w="1000" w:type="dxa"/>
          </w:tcPr>
          <w:p w14:paraId="088FEBB0">
            <w:pPr>
              <w:pStyle w:val="5"/>
              <w:ind w:firstLine="482"/>
              <w:rPr>
                <w:b/>
                <w:bCs/>
                <w:color w:val="auto"/>
                <w:szCs w:val="24"/>
                <w:highlight w:val="none"/>
              </w:rPr>
            </w:pPr>
          </w:p>
        </w:tc>
        <w:tc>
          <w:tcPr>
            <w:tcW w:w="1050" w:type="dxa"/>
          </w:tcPr>
          <w:p w14:paraId="69757127">
            <w:pPr>
              <w:pStyle w:val="5"/>
              <w:ind w:firstLine="482"/>
              <w:rPr>
                <w:b/>
                <w:bCs/>
                <w:color w:val="auto"/>
                <w:szCs w:val="24"/>
                <w:highlight w:val="none"/>
              </w:rPr>
            </w:pPr>
          </w:p>
        </w:tc>
        <w:tc>
          <w:tcPr>
            <w:tcW w:w="1063" w:type="dxa"/>
          </w:tcPr>
          <w:p w14:paraId="42938B18">
            <w:pPr>
              <w:pStyle w:val="5"/>
              <w:ind w:firstLine="482"/>
              <w:rPr>
                <w:b/>
                <w:bCs/>
                <w:color w:val="auto"/>
                <w:szCs w:val="24"/>
                <w:highlight w:val="none"/>
              </w:rPr>
            </w:pPr>
          </w:p>
        </w:tc>
        <w:tc>
          <w:tcPr>
            <w:tcW w:w="1050" w:type="dxa"/>
          </w:tcPr>
          <w:p w14:paraId="675E6BF6">
            <w:pPr>
              <w:pStyle w:val="5"/>
              <w:ind w:firstLine="482"/>
              <w:rPr>
                <w:b/>
                <w:bCs/>
                <w:color w:val="auto"/>
                <w:szCs w:val="24"/>
                <w:highlight w:val="none"/>
              </w:rPr>
            </w:pPr>
          </w:p>
        </w:tc>
        <w:tc>
          <w:tcPr>
            <w:tcW w:w="1200" w:type="dxa"/>
          </w:tcPr>
          <w:p w14:paraId="59181A3F">
            <w:pPr>
              <w:pStyle w:val="5"/>
              <w:ind w:firstLine="482"/>
              <w:rPr>
                <w:b/>
                <w:bCs/>
                <w:color w:val="auto"/>
                <w:szCs w:val="24"/>
                <w:highlight w:val="none"/>
              </w:rPr>
            </w:pPr>
          </w:p>
        </w:tc>
        <w:tc>
          <w:tcPr>
            <w:tcW w:w="1243" w:type="dxa"/>
          </w:tcPr>
          <w:p w14:paraId="18BD46EB">
            <w:pPr>
              <w:pStyle w:val="5"/>
              <w:ind w:firstLine="482"/>
              <w:rPr>
                <w:b/>
                <w:bCs/>
                <w:color w:val="auto"/>
                <w:szCs w:val="24"/>
                <w:highlight w:val="none"/>
              </w:rPr>
            </w:pPr>
          </w:p>
        </w:tc>
      </w:tr>
      <w:tr w14:paraId="6DB40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12E200C5">
            <w:pPr>
              <w:pStyle w:val="5"/>
              <w:ind w:firstLine="482"/>
              <w:rPr>
                <w:b/>
                <w:bCs/>
                <w:color w:val="auto"/>
                <w:szCs w:val="24"/>
                <w:highlight w:val="none"/>
              </w:rPr>
            </w:pPr>
          </w:p>
        </w:tc>
        <w:tc>
          <w:tcPr>
            <w:tcW w:w="1088" w:type="dxa"/>
          </w:tcPr>
          <w:p w14:paraId="651BB250">
            <w:pPr>
              <w:pStyle w:val="5"/>
              <w:ind w:firstLine="482"/>
              <w:rPr>
                <w:b/>
                <w:bCs/>
                <w:color w:val="auto"/>
                <w:szCs w:val="24"/>
                <w:highlight w:val="none"/>
              </w:rPr>
            </w:pPr>
          </w:p>
        </w:tc>
        <w:tc>
          <w:tcPr>
            <w:tcW w:w="962" w:type="dxa"/>
          </w:tcPr>
          <w:p w14:paraId="35ABF18B">
            <w:pPr>
              <w:pStyle w:val="5"/>
              <w:ind w:firstLine="482"/>
              <w:rPr>
                <w:b/>
                <w:bCs/>
                <w:color w:val="auto"/>
                <w:szCs w:val="24"/>
                <w:highlight w:val="none"/>
              </w:rPr>
            </w:pPr>
          </w:p>
        </w:tc>
        <w:tc>
          <w:tcPr>
            <w:tcW w:w="1000" w:type="dxa"/>
          </w:tcPr>
          <w:p w14:paraId="1898281A">
            <w:pPr>
              <w:pStyle w:val="5"/>
              <w:ind w:firstLine="482"/>
              <w:rPr>
                <w:b/>
                <w:bCs/>
                <w:color w:val="auto"/>
                <w:szCs w:val="24"/>
                <w:highlight w:val="none"/>
              </w:rPr>
            </w:pPr>
          </w:p>
        </w:tc>
        <w:tc>
          <w:tcPr>
            <w:tcW w:w="1050" w:type="dxa"/>
          </w:tcPr>
          <w:p w14:paraId="7196CEF4">
            <w:pPr>
              <w:pStyle w:val="5"/>
              <w:ind w:firstLine="482"/>
              <w:rPr>
                <w:b/>
                <w:bCs/>
                <w:color w:val="auto"/>
                <w:szCs w:val="24"/>
                <w:highlight w:val="none"/>
              </w:rPr>
            </w:pPr>
          </w:p>
        </w:tc>
        <w:tc>
          <w:tcPr>
            <w:tcW w:w="1063" w:type="dxa"/>
          </w:tcPr>
          <w:p w14:paraId="64AE4EF8">
            <w:pPr>
              <w:pStyle w:val="5"/>
              <w:ind w:firstLine="482"/>
              <w:rPr>
                <w:b/>
                <w:bCs/>
                <w:color w:val="auto"/>
                <w:szCs w:val="24"/>
                <w:highlight w:val="none"/>
              </w:rPr>
            </w:pPr>
          </w:p>
        </w:tc>
        <w:tc>
          <w:tcPr>
            <w:tcW w:w="1050" w:type="dxa"/>
          </w:tcPr>
          <w:p w14:paraId="00B36023">
            <w:pPr>
              <w:pStyle w:val="5"/>
              <w:ind w:firstLine="482"/>
              <w:rPr>
                <w:b/>
                <w:bCs/>
                <w:color w:val="auto"/>
                <w:szCs w:val="24"/>
                <w:highlight w:val="none"/>
              </w:rPr>
            </w:pPr>
          </w:p>
        </w:tc>
        <w:tc>
          <w:tcPr>
            <w:tcW w:w="1200" w:type="dxa"/>
          </w:tcPr>
          <w:p w14:paraId="4E0A7E84">
            <w:pPr>
              <w:pStyle w:val="5"/>
              <w:ind w:firstLine="482"/>
              <w:rPr>
                <w:b/>
                <w:bCs/>
                <w:color w:val="auto"/>
                <w:szCs w:val="24"/>
                <w:highlight w:val="none"/>
              </w:rPr>
            </w:pPr>
          </w:p>
        </w:tc>
        <w:tc>
          <w:tcPr>
            <w:tcW w:w="1243" w:type="dxa"/>
          </w:tcPr>
          <w:p w14:paraId="1633F898">
            <w:pPr>
              <w:pStyle w:val="5"/>
              <w:ind w:firstLine="482"/>
              <w:rPr>
                <w:b/>
                <w:bCs/>
                <w:color w:val="auto"/>
                <w:szCs w:val="24"/>
                <w:highlight w:val="none"/>
              </w:rPr>
            </w:pPr>
          </w:p>
        </w:tc>
      </w:tr>
    </w:tbl>
    <w:p w14:paraId="62F9ED4E">
      <w:pPr>
        <w:pStyle w:val="5"/>
        <w:ind w:firstLine="482"/>
        <w:rPr>
          <w:b/>
          <w:bCs/>
          <w:color w:val="auto"/>
          <w:szCs w:val="24"/>
          <w:highlight w:val="none"/>
        </w:rPr>
      </w:pPr>
    </w:p>
    <w:p w14:paraId="5B347D52">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此表应后附比选文件要求提供的相应人员资质及业绩证明文件。</w:t>
      </w:r>
    </w:p>
    <w:p w14:paraId="6AC9C118">
      <w:pPr>
        <w:pStyle w:val="5"/>
        <w:ind w:firstLine="482"/>
        <w:rPr>
          <w:b/>
          <w:bCs/>
          <w:color w:val="auto"/>
          <w:szCs w:val="24"/>
          <w:highlight w:val="none"/>
        </w:rPr>
      </w:pPr>
    </w:p>
    <w:p w14:paraId="26E0C751">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3114A10B">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BE14B86">
      <w:pPr>
        <w:rPr>
          <w:color w:val="auto"/>
          <w:szCs w:val="24"/>
          <w:highlight w:val="none"/>
          <w:u w:val="single"/>
        </w:rPr>
      </w:pPr>
      <w:r>
        <w:rPr>
          <w:color w:val="auto"/>
          <w:szCs w:val="24"/>
          <w:highlight w:val="none"/>
          <w:u w:val="single"/>
        </w:rPr>
        <w:br w:type="page"/>
      </w:r>
    </w:p>
    <w:p w14:paraId="5411790A">
      <w:pPr>
        <w:numPr>
          <w:ilvl w:val="255"/>
          <w:numId w:val="0"/>
        </w:numPr>
        <w:rPr>
          <w:b/>
          <w:bCs/>
          <w:color w:val="auto"/>
          <w:sz w:val="24"/>
          <w:szCs w:val="24"/>
          <w:highlight w:val="none"/>
        </w:rPr>
      </w:pPr>
      <w:r>
        <w:rPr>
          <w:rFonts w:hint="eastAsia"/>
          <w:b/>
          <w:bCs/>
          <w:color w:val="auto"/>
          <w:sz w:val="24"/>
          <w:szCs w:val="24"/>
          <w:highlight w:val="none"/>
        </w:rPr>
        <w:t>C3-2拟投入人员配置表（格式）</w:t>
      </w:r>
    </w:p>
    <w:p w14:paraId="41078277">
      <w:pPr>
        <w:spacing w:line="480" w:lineRule="auto"/>
        <w:jc w:val="center"/>
        <w:rPr>
          <w:rFonts w:ascii="宋体" w:hAnsi="宋体" w:cs="宋体"/>
          <w:b/>
          <w:color w:val="auto"/>
          <w:sz w:val="32"/>
          <w:highlight w:val="none"/>
        </w:rPr>
      </w:pPr>
      <w:r>
        <w:rPr>
          <w:rFonts w:hint="eastAsia" w:ascii="宋体" w:hAnsi="宋体" w:cs="宋体"/>
          <w:b/>
          <w:color w:val="auto"/>
          <w:sz w:val="32"/>
          <w:highlight w:val="none"/>
          <w:lang w:bidi="ar"/>
        </w:rPr>
        <w:t>拟派项目成员履历表</w:t>
      </w:r>
    </w:p>
    <w:tbl>
      <w:tblPr>
        <w:tblStyle w:val="38"/>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14:paraId="30E07B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24958973">
            <w:pPr>
              <w:adjustRightInd w:val="0"/>
              <w:snapToGrid w:val="0"/>
              <w:jc w:val="center"/>
              <w:rPr>
                <w:rFonts w:ascii="Calibri" w:hAnsi="Calibri"/>
                <w:caps/>
                <w:color w:val="auto"/>
                <w:sz w:val="28"/>
                <w:highlight w:val="none"/>
              </w:rPr>
            </w:pPr>
            <w:r>
              <w:rPr>
                <w:rFonts w:hint="eastAsia" w:cs="宋体"/>
                <w:caps/>
                <w:color w:val="auto"/>
                <w:sz w:val="28"/>
                <w:highlight w:val="none"/>
              </w:rPr>
              <w:t>姓名</w:t>
            </w:r>
          </w:p>
        </w:tc>
        <w:tc>
          <w:tcPr>
            <w:tcW w:w="2527" w:type="dxa"/>
            <w:tcBorders>
              <w:top w:val="single" w:color="000000" w:sz="6" w:space="0"/>
              <w:left w:val="single" w:color="000000" w:sz="6" w:space="0"/>
              <w:bottom w:val="single" w:color="000000" w:sz="6" w:space="0"/>
              <w:right w:val="single" w:color="000000" w:sz="6" w:space="0"/>
            </w:tcBorders>
            <w:vAlign w:val="center"/>
          </w:tcPr>
          <w:p w14:paraId="6AE709A4">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0D0DB6D4">
            <w:pPr>
              <w:adjustRightInd w:val="0"/>
              <w:snapToGrid w:val="0"/>
              <w:jc w:val="center"/>
              <w:rPr>
                <w:rFonts w:ascii="Calibri" w:hAnsi="Calibri"/>
                <w:caps/>
                <w:color w:val="auto"/>
                <w:sz w:val="28"/>
                <w:highlight w:val="none"/>
              </w:rPr>
            </w:pPr>
            <w:r>
              <w:rPr>
                <w:rFonts w:hint="eastAsia" w:cs="宋体"/>
                <w:caps/>
                <w:color w:val="auto"/>
                <w:sz w:val="28"/>
                <w:highlight w:val="none"/>
              </w:rPr>
              <w:t>年龄</w:t>
            </w:r>
          </w:p>
        </w:tc>
        <w:tc>
          <w:tcPr>
            <w:tcW w:w="2506" w:type="dxa"/>
            <w:tcBorders>
              <w:top w:val="single" w:color="000000" w:sz="6" w:space="0"/>
              <w:left w:val="single" w:color="000000" w:sz="6" w:space="0"/>
              <w:bottom w:val="single" w:color="000000" w:sz="6" w:space="0"/>
              <w:right w:val="single" w:color="000000" w:sz="6" w:space="0"/>
            </w:tcBorders>
            <w:vAlign w:val="center"/>
          </w:tcPr>
          <w:p w14:paraId="5EB3F56E">
            <w:pPr>
              <w:ind w:left="230"/>
              <w:jc w:val="center"/>
              <w:rPr>
                <w:rFonts w:ascii="Calibri" w:hAnsi="Calibri"/>
                <w:caps/>
                <w:color w:val="auto"/>
                <w:sz w:val="28"/>
                <w:highlight w:val="none"/>
              </w:rPr>
            </w:pPr>
          </w:p>
        </w:tc>
      </w:tr>
      <w:tr w14:paraId="1BFD55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42F79269">
            <w:pPr>
              <w:adjustRightInd w:val="0"/>
              <w:snapToGrid w:val="0"/>
              <w:jc w:val="center"/>
              <w:rPr>
                <w:rFonts w:ascii="Calibri" w:hAnsi="Calibri"/>
                <w:color w:val="auto"/>
                <w:sz w:val="28"/>
                <w:highlight w:val="none"/>
              </w:rPr>
            </w:pPr>
            <w:r>
              <w:rPr>
                <w:rFonts w:hint="eastAsia" w:cs="宋体"/>
                <w:color w:val="auto"/>
                <w:sz w:val="28"/>
                <w:highlight w:val="none"/>
              </w:rPr>
              <w:t>学历</w:t>
            </w:r>
          </w:p>
        </w:tc>
        <w:tc>
          <w:tcPr>
            <w:tcW w:w="2527" w:type="dxa"/>
            <w:tcBorders>
              <w:top w:val="single" w:color="000000" w:sz="6" w:space="0"/>
              <w:left w:val="single" w:color="000000" w:sz="6" w:space="0"/>
              <w:bottom w:val="single" w:color="000000" w:sz="6" w:space="0"/>
              <w:right w:val="single" w:color="000000" w:sz="6" w:space="0"/>
            </w:tcBorders>
            <w:vAlign w:val="center"/>
          </w:tcPr>
          <w:p w14:paraId="59216032">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5E2E11F2">
            <w:pPr>
              <w:adjustRightInd w:val="0"/>
              <w:snapToGrid w:val="0"/>
              <w:jc w:val="center"/>
              <w:rPr>
                <w:rFonts w:ascii="Calibri" w:hAnsi="Calibri"/>
                <w:color w:val="auto"/>
                <w:sz w:val="28"/>
                <w:highlight w:val="none"/>
              </w:rPr>
            </w:pPr>
            <w:r>
              <w:rPr>
                <w:rFonts w:hint="eastAsia" w:cs="宋体"/>
                <w:caps/>
                <w:color w:val="auto"/>
                <w:sz w:val="28"/>
                <w:highlight w:val="none"/>
              </w:rPr>
              <w:t>性别</w:t>
            </w:r>
          </w:p>
        </w:tc>
        <w:tc>
          <w:tcPr>
            <w:tcW w:w="2506" w:type="dxa"/>
            <w:tcBorders>
              <w:top w:val="single" w:color="000000" w:sz="6" w:space="0"/>
              <w:left w:val="single" w:color="000000" w:sz="6" w:space="0"/>
              <w:bottom w:val="single" w:color="000000" w:sz="6" w:space="0"/>
              <w:right w:val="single" w:color="000000" w:sz="6" w:space="0"/>
            </w:tcBorders>
            <w:vAlign w:val="center"/>
          </w:tcPr>
          <w:p w14:paraId="4BAB748B">
            <w:pPr>
              <w:ind w:left="230"/>
              <w:jc w:val="center"/>
              <w:rPr>
                <w:rFonts w:ascii="Calibri" w:hAnsi="Calibri"/>
                <w:caps/>
                <w:color w:val="auto"/>
                <w:sz w:val="28"/>
                <w:highlight w:val="none"/>
              </w:rPr>
            </w:pPr>
          </w:p>
        </w:tc>
      </w:tr>
      <w:tr w14:paraId="6FEF27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53DE4640">
            <w:pPr>
              <w:adjustRightInd w:val="0"/>
              <w:snapToGrid w:val="0"/>
              <w:jc w:val="center"/>
              <w:rPr>
                <w:rFonts w:ascii="Calibri" w:hAnsi="Calibri"/>
                <w:color w:val="auto"/>
                <w:sz w:val="28"/>
                <w:highlight w:val="none"/>
              </w:rPr>
            </w:pPr>
            <w:r>
              <w:rPr>
                <w:rFonts w:hint="eastAsia" w:cs="宋体"/>
                <w:color w:val="auto"/>
                <w:sz w:val="28"/>
                <w:highlight w:val="none"/>
              </w:rPr>
              <w:t>毕业学校</w:t>
            </w:r>
          </w:p>
        </w:tc>
        <w:tc>
          <w:tcPr>
            <w:tcW w:w="2527" w:type="dxa"/>
            <w:tcBorders>
              <w:top w:val="single" w:color="000000" w:sz="6" w:space="0"/>
              <w:left w:val="single" w:color="000000" w:sz="6" w:space="0"/>
              <w:bottom w:val="single" w:color="000000" w:sz="6" w:space="0"/>
              <w:right w:val="single" w:color="000000" w:sz="6" w:space="0"/>
            </w:tcBorders>
            <w:vAlign w:val="center"/>
          </w:tcPr>
          <w:p w14:paraId="472F4EDF">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7E00BC9D">
            <w:pPr>
              <w:adjustRightInd w:val="0"/>
              <w:snapToGrid w:val="0"/>
              <w:jc w:val="center"/>
              <w:rPr>
                <w:rFonts w:ascii="Calibri" w:hAnsi="Calibri"/>
                <w:color w:val="auto"/>
                <w:sz w:val="28"/>
                <w:highlight w:val="none"/>
              </w:rPr>
            </w:pPr>
            <w:r>
              <w:rPr>
                <w:rFonts w:hint="eastAsia" w:cs="宋体"/>
                <w:color w:val="auto"/>
                <w:sz w:val="28"/>
                <w:highlight w:val="none"/>
              </w:rPr>
              <w:t>技术资格</w:t>
            </w:r>
          </w:p>
        </w:tc>
        <w:tc>
          <w:tcPr>
            <w:tcW w:w="2506" w:type="dxa"/>
            <w:tcBorders>
              <w:top w:val="single" w:color="000000" w:sz="6" w:space="0"/>
              <w:left w:val="single" w:color="000000" w:sz="6" w:space="0"/>
              <w:bottom w:val="single" w:color="000000" w:sz="6" w:space="0"/>
              <w:right w:val="single" w:color="000000" w:sz="6" w:space="0"/>
            </w:tcBorders>
            <w:vAlign w:val="center"/>
          </w:tcPr>
          <w:p w14:paraId="1B9A0BCB">
            <w:pPr>
              <w:ind w:left="230"/>
              <w:jc w:val="center"/>
              <w:rPr>
                <w:rFonts w:ascii="Calibri" w:hAnsi="Calibri"/>
                <w:caps/>
                <w:color w:val="auto"/>
                <w:sz w:val="28"/>
                <w:highlight w:val="none"/>
              </w:rPr>
            </w:pPr>
          </w:p>
        </w:tc>
      </w:tr>
      <w:tr w14:paraId="5A598B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555CB984">
            <w:pPr>
              <w:adjustRightInd w:val="0"/>
              <w:snapToGrid w:val="0"/>
              <w:jc w:val="center"/>
              <w:rPr>
                <w:rFonts w:ascii="Calibri" w:hAnsi="Calibri"/>
                <w:color w:val="auto"/>
                <w:sz w:val="28"/>
                <w:highlight w:val="none"/>
              </w:rPr>
            </w:pPr>
            <w:r>
              <w:rPr>
                <w:rFonts w:hint="eastAsia" w:cs="宋体"/>
                <w:color w:val="auto"/>
                <w:sz w:val="28"/>
                <w:highlight w:val="none"/>
              </w:rPr>
              <w:t>所学专业</w:t>
            </w:r>
          </w:p>
        </w:tc>
        <w:tc>
          <w:tcPr>
            <w:tcW w:w="2527" w:type="dxa"/>
            <w:tcBorders>
              <w:top w:val="single" w:color="000000" w:sz="6" w:space="0"/>
              <w:left w:val="single" w:color="000000" w:sz="6" w:space="0"/>
              <w:bottom w:val="single" w:color="000000" w:sz="6" w:space="0"/>
              <w:right w:val="single" w:color="000000" w:sz="6" w:space="0"/>
            </w:tcBorders>
            <w:vAlign w:val="center"/>
          </w:tcPr>
          <w:p w14:paraId="32DEC118">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7B55C6CD">
            <w:pPr>
              <w:adjustRightInd w:val="0"/>
              <w:snapToGrid w:val="0"/>
              <w:jc w:val="center"/>
              <w:rPr>
                <w:rFonts w:ascii="Calibri" w:hAnsi="Calibri"/>
                <w:color w:val="auto"/>
                <w:sz w:val="28"/>
                <w:highlight w:val="none"/>
              </w:rPr>
            </w:pPr>
            <w:r>
              <w:rPr>
                <w:rFonts w:hint="eastAsia" w:cs="宋体"/>
                <w:caps/>
                <w:color w:val="auto"/>
                <w:sz w:val="28"/>
                <w:highlight w:val="none"/>
              </w:rPr>
              <w:t>在响应人职务</w:t>
            </w:r>
          </w:p>
        </w:tc>
        <w:tc>
          <w:tcPr>
            <w:tcW w:w="2506" w:type="dxa"/>
            <w:tcBorders>
              <w:top w:val="single" w:color="000000" w:sz="6" w:space="0"/>
              <w:left w:val="single" w:color="000000" w:sz="6" w:space="0"/>
              <w:bottom w:val="single" w:color="000000" w:sz="6" w:space="0"/>
              <w:right w:val="single" w:color="000000" w:sz="6" w:space="0"/>
            </w:tcBorders>
            <w:vAlign w:val="center"/>
          </w:tcPr>
          <w:p w14:paraId="6DB71369">
            <w:pPr>
              <w:ind w:left="230"/>
              <w:jc w:val="center"/>
              <w:rPr>
                <w:rFonts w:ascii="Calibri" w:hAnsi="Calibri"/>
                <w:caps/>
                <w:color w:val="auto"/>
                <w:sz w:val="28"/>
                <w:highlight w:val="none"/>
              </w:rPr>
            </w:pPr>
          </w:p>
        </w:tc>
      </w:tr>
      <w:tr w14:paraId="51BDAB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2BEB6860">
            <w:pPr>
              <w:adjustRightInd w:val="0"/>
              <w:snapToGrid w:val="0"/>
              <w:jc w:val="center"/>
              <w:rPr>
                <w:rFonts w:ascii="Calibri" w:hAnsi="Calibri"/>
                <w:color w:val="auto"/>
                <w:sz w:val="28"/>
                <w:highlight w:val="none"/>
              </w:rPr>
            </w:pPr>
            <w:r>
              <w:rPr>
                <w:rFonts w:hint="eastAsia" w:cs="宋体"/>
                <w:color w:val="auto"/>
                <w:sz w:val="28"/>
                <w:highlight w:val="none"/>
              </w:rPr>
              <w:t>毕业时间</w:t>
            </w:r>
          </w:p>
        </w:tc>
        <w:tc>
          <w:tcPr>
            <w:tcW w:w="2527" w:type="dxa"/>
            <w:tcBorders>
              <w:top w:val="single" w:color="000000" w:sz="6" w:space="0"/>
              <w:left w:val="single" w:color="000000" w:sz="6" w:space="0"/>
              <w:bottom w:val="single" w:color="000000" w:sz="6" w:space="0"/>
              <w:right w:val="single" w:color="000000" w:sz="6" w:space="0"/>
            </w:tcBorders>
            <w:vAlign w:val="center"/>
          </w:tcPr>
          <w:p w14:paraId="4A8C41D9">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33B90E98">
            <w:pPr>
              <w:adjustRightInd w:val="0"/>
              <w:snapToGrid w:val="0"/>
              <w:jc w:val="center"/>
              <w:rPr>
                <w:rFonts w:ascii="Calibri" w:hAnsi="Calibri"/>
                <w:caps/>
                <w:color w:val="auto"/>
                <w:sz w:val="28"/>
                <w:highlight w:val="none"/>
              </w:rPr>
            </w:pPr>
            <w:r>
              <w:rPr>
                <w:rFonts w:hint="eastAsia" w:cs="宋体"/>
                <w:caps/>
                <w:color w:val="auto"/>
                <w:sz w:val="28"/>
                <w:highlight w:val="none"/>
                <w:lang w:bidi="ar"/>
              </w:rPr>
              <w:t>拟在本项目</w:t>
            </w:r>
          </w:p>
          <w:p w14:paraId="55B21CD6">
            <w:pPr>
              <w:adjustRightInd w:val="0"/>
              <w:snapToGrid w:val="0"/>
              <w:jc w:val="center"/>
              <w:rPr>
                <w:rFonts w:ascii="Calibri" w:hAnsi="Calibri"/>
                <w:color w:val="auto"/>
                <w:sz w:val="28"/>
                <w:highlight w:val="none"/>
              </w:rPr>
            </w:pPr>
            <w:r>
              <w:rPr>
                <w:rFonts w:hint="eastAsia" w:cs="宋体"/>
                <w:caps/>
                <w:color w:val="auto"/>
                <w:sz w:val="28"/>
                <w:highlight w:val="none"/>
              </w:rPr>
              <w:t>担任岗位</w:t>
            </w:r>
          </w:p>
        </w:tc>
        <w:tc>
          <w:tcPr>
            <w:tcW w:w="2506" w:type="dxa"/>
            <w:tcBorders>
              <w:top w:val="single" w:color="000000" w:sz="6" w:space="0"/>
              <w:left w:val="single" w:color="000000" w:sz="6" w:space="0"/>
              <w:bottom w:val="single" w:color="000000" w:sz="6" w:space="0"/>
              <w:right w:val="single" w:color="000000" w:sz="6" w:space="0"/>
            </w:tcBorders>
            <w:vAlign w:val="center"/>
          </w:tcPr>
          <w:p w14:paraId="3EC54DB5">
            <w:pPr>
              <w:ind w:left="230"/>
              <w:jc w:val="center"/>
              <w:rPr>
                <w:rFonts w:ascii="Calibri" w:hAnsi="Calibri"/>
                <w:caps/>
                <w:color w:val="auto"/>
                <w:sz w:val="28"/>
                <w:highlight w:val="none"/>
              </w:rPr>
            </w:pPr>
          </w:p>
        </w:tc>
      </w:tr>
      <w:tr w14:paraId="54E463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7F9ED605">
            <w:pPr>
              <w:jc w:val="center"/>
              <w:rPr>
                <w:rFonts w:ascii="Calibri" w:hAnsi="Calibri"/>
                <w:color w:val="auto"/>
                <w:sz w:val="28"/>
                <w:highlight w:val="none"/>
              </w:rPr>
            </w:pPr>
            <w:r>
              <w:rPr>
                <w:rFonts w:hint="eastAsia" w:cs="宋体"/>
                <w:caps/>
                <w:color w:val="auto"/>
                <w:sz w:val="28"/>
                <w:highlight w:val="none"/>
              </w:rPr>
              <w:t>专业工作简历概述</w:t>
            </w:r>
          </w:p>
        </w:tc>
      </w:tr>
      <w:tr w14:paraId="00EB17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4A89C2CC">
            <w:pPr>
              <w:ind w:left="0" w:leftChars="0" w:firstLine="0" w:firstLineChars="0"/>
              <w:jc w:val="left"/>
              <w:rPr>
                <w:rFonts w:ascii="宋体" w:hAnsi="宋体" w:cs="宋体"/>
                <w:color w:val="auto"/>
                <w:sz w:val="28"/>
                <w:highlight w:val="none"/>
              </w:rPr>
            </w:pPr>
          </w:p>
          <w:p w14:paraId="2F155231">
            <w:pPr>
              <w:ind w:left="0" w:leftChars="0" w:firstLine="0" w:firstLineChars="0"/>
              <w:jc w:val="left"/>
              <w:rPr>
                <w:rFonts w:ascii="宋体" w:hAnsi="宋体" w:cs="宋体"/>
                <w:color w:val="auto"/>
                <w:sz w:val="28"/>
                <w:highlight w:val="none"/>
              </w:rPr>
            </w:pPr>
          </w:p>
          <w:p w14:paraId="108B1D89">
            <w:pPr>
              <w:rPr>
                <w:rFonts w:ascii="宋体" w:hAnsi="宋体" w:cs="宋体"/>
                <w:color w:val="auto"/>
                <w:sz w:val="28"/>
                <w:highlight w:val="none"/>
              </w:rPr>
            </w:pPr>
          </w:p>
        </w:tc>
      </w:tr>
    </w:tbl>
    <w:p w14:paraId="750909DB">
      <w:pPr>
        <w:spacing w:beforeLines="50"/>
        <w:ind w:left="856" w:leftChars="23" w:right="-57" w:rightChars="-27" w:hanging="808" w:hangingChars="337"/>
        <w:jc w:val="left"/>
        <w:rPr>
          <w:rFonts w:cs="宋体"/>
          <w:color w:val="auto"/>
          <w:sz w:val="24"/>
          <w:highlight w:val="none"/>
          <w:lang w:bidi="ar"/>
        </w:rPr>
      </w:pPr>
      <w:r>
        <w:rPr>
          <w:rFonts w:hint="eastAsia" w:cs="宋体"/>
          <w:color w:val="auto"/>
          <w:sz w:val="24"/>
          <w:highlight w:val="none"/>
          <w:lang w:bidi="ar"/>
        </w:rPr>
        <w:t>注：每人一页。</w:t>
      </w:r>
      <w:r>
        <w:rPr>
          <w:rFonts w:hint="eastAsia" w:cs="宋体"/>
          <w:color w:val="auto"/>
          <w:highlight w:val="none"/>
          <w:lang w:bidi="ar"/>
        </w:rPr>
        <w:t>此表应后附比选文件要求提供的相应人员资质及业绩证明文件。</w:t>
      </w:r>
    </w:p>
    <w:p w14:paraId="7CF38916">
      <w:pPr>
        <w:pStyle w:val="5"/>
        <w:ind w:firstLine="480"/>
        <w:rPr>
          <w:color w:val="auto"/>
          <w:highlight w:val="none"/>
        </w:rPr>
      </w:pPr>
    </w:p>
    <w:p w14:paraId="7E27CD83">
      <w:pPr>
        <w:snapToGrid w:val="0"/>
        <w:spacing w:before="0" w:after="0" w:afterAutospacing="0" w:line="400" w:lineRule="exact"/>
        <w:ind w:left="0" w:right="0" w:firstLine="426"/>
        <w:jc w:val="left"/>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10BEABBC">
      <w:pPr>
        <w:snapToGrid w:val="0"/>
        <w:spacing w:before="0" w:after="0" w:afterAutospacing="0" w:line="400" w:lineRule="exact"/>
        <w:ind w:left="0" w:right="0" w:firstLine="426"/>
        <w:jc w:val="left"/>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0B8ED136">
      <w:pPr>
        <w:snapToGrid w:val="0"/>
        <w:spacing w:before="0" w:after="0" w:afterAutospacing="0" w:line="400" w:lineRule="exact"/>
        <w:ind w:left="0" w:right="0" w:firstLine="426"/>
        <w:jc w:val="left"/>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552410A8">
      <w:pPr>
        <w:rPr>
          <w:color w:val="auto"/>
          <w:szCs w:val="24"/>
          <w:highlight w:val="none"/>
          <w:u w:val="single"/>
        </w:rPr>
      </w:pPr>
      <w:r>
        <w:rPr>
          <w:color w:val="auto"/>
          <w:szCs w:val="24"/>
          <w:highlight w:val="none"/>
          <w:u w:val="single"/>
        </w:rPr>
        <w:br w:type="page"/>
      </w:r>
    </w:p>
    <w:p w14:paraId="2FB95683">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4</w:t>
      </w:r>
      <w:r>
        <w:rPr>
          <w:rFonts w:hint="eastAsia" w:ascii="宋体" w:hAnsi="宋体" w:eastAsia="宋体"/>
          <w:color w:val="auto"/>
          <w:sz w:val="21"/>
          <w:szCs w:val="21"/>
          <w:highlight w:val="none"/>
        </w:rPr>
        <w:t xml:space="preserve"> </w:t>
      </w:r>
      <w:r>
        <w:rPr>
          <w:rFonts w:hint="eastAsia" w:ascii="宋体" w:hAnsi="宋体" w:eastAsia="宋体"/>
          <w:color w:val="auto"/>
          <w:sz w:val="21"/>
          <w:szCs w:val="21"/>
          <w:highlight w:val="none"/>
          <w:lang w:eastAsia="zh-CN"/>
        </w:rPr>
        <w:t>技术服务方案</w:t>
      </w:r>
    </w:p>
    <w:p w14:paraId="71D12FAB">
      <w:pPr>
        <w:spacing w:before="0" w:after="0" w:afterAutospacing="0" w:line="276" w:lineRule="auto"/>
        <w:ind w:left="0" w:right="0" w:firstLine="0"/>
        <w:rPr>
          <w:rFonts w:hint="eastAsia"/>
          <w:color w:val="auto"/>
          <w:highlight w:val="none"/>
        </w:rPr>
      </w:pPr>
      <w:r>
        <w:rPr>
          <w:rFonts w:hint="eastAsia"/>
          <w:color w:val="auto"/>
          <w:highlight w:val="none"/>
        </w:rPr>
        <w:t>（投标人自行编制）</w:t>
      </w:r>
    </w:p>
    <w:p w14:paraId="5137F858">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p>
    <w:p w14:paraId="1AA1E431">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p>
    <w:p w14:paraId="6085DA1C">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p>
    <w:p w14:paraId="7187BEF2">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5</w:t>
      </w:r>
      <w:r>
        <w:rPr>
          <w:rFonts w:hint="eastAsia" w:ascii="宋体" w:hAnsi="宋体" w:eastAsia="宋体"/>
          <w:color w:val="auto"/>
          <w:sz w:val="21"/>
          <w:szCs w:val="21"/>
          <w:highlight w:val="none"/>
        </w:rPr>
        <w:t xml:space="preserve"> </w:t>
      </w:r>
      <w:r>
        <w:rPr>
          <w:rFonts w:hint="eastAsia" w:ascii="宋体" w:hAnsi="宋体" w:eastAsia="宋体"/>
          <w:color w:val="auto"/>
          <w:sz w:val="21"/>
          <w:szCs w:val="21"/>
          <w:highlight w:val="none"/>
          <w:lang w:eastAsia="zh-CN"/>
        </w:rPr>
        <w:t>质量控制方案</w:t>
      </w:r>
    </w:p>
    <w:p w14:paraId="4FCA6B04">
      <w:pPr>
        <w:spacing w:before="0" w:after="0" w:afterAutospacing="0" w:line="276" w:lineRule="auto"/>
        <w:ind w:left="0" w:right="0" w:firstLine="0"/>
        <w:rPr>
          <w:rFonts w:hint="eastAsia"/>
          <w:color w:val="auto"/>
          <w:highlight w:val="none"/>
        </w:rPr>
      </w:pPr>
      <w:r>
        <w:rPr>
          <w:rFonts w:hint="eastAsia"/>
          <w:color w:val="auto"/>
          <w:highlight w:val="none"/>
        </w:rPr>
        <w:t>（投标人自行编制）</w:t>
      </w:r>
    </w:p>
    <w:p w14:paraId="6CABC953">
      <w:pPr>
        <w:pStyle w:val="5"/>
        <w:rPr>
          <w:rFonts w:hint="eastAsia"/>
          <w:color w:val="auto"/>
          <w:highlight w:val="none"/>
        </w:rPr>
      </w:pPr>
    </w:p>
    <w:p w14:paraId="6C7A98A6">
      <w:pPr>
        <w:pStyle w:val="37"/>
        <w:rPr>
          <w:rFonts w:hint="eastAsia"/>
          <w:color w:val="auto"/>
          <w:highlight w:val="none"/>
        </w:rPr>
      </w:pPr>
    </w:p>
    <w:p w14:paraId="57B4A7B0">
      <w:pPr>
        <w:pStyle w:val="37"/>
        <w:rPr>
          <w:rFonts w:hint="eastAsia"/>
          <w:color w:val="auto"/>
          <w:highlight w:val="none"/>
        </w:rPr>
      </w:pPr>
    </w:p>
    <w:p w14:paraId="6E30BBFE">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6</w:t>
      </w:r>
      <w:r>
        <w:rPr>
          <w:rFonts w:hint="eastAsia" w:ascii="宋体" w:hAnsi="宋体" w:eastAsia="宋体"/>
          <w:color w:val="auto"/>
          <w:sz w:val="21"/>
          <w:szCs w:val="21"/>
          <w:highlight w:val="none"/>
        </w:rPr>
        <w:t xml:space="preserve"> </w:t>
      </w:r>
      <w:r>
        <w:rPr>
          <w:rFonts w:hint="eastAsia" w:ascii="宋体" w:hAnsi="宋体" w:eastAsia="宋体"/>
          <w:color w:val="auto"/>
          <w:sz w:val="21"/>
          <w:szCs w:val="21"/>
          <w:highlight w:val="none"/>
          <w:lang w:eastAsia="zh-CN"/>
        </w:rPr>
        <w:t>进度控制方案</w:t>
      </w:r>
    </w:p>
    <w:p w14:paraId="12EADBCB">
      <w:pPr>
        <w:spacing w:before="0" w:after="0" w:afterAutospacing="0" w:line="276" w:lineRule="auto"/>
        <w:ind w:left="0" w:right="0" w:firstLine="0"/>
        <w:rPr>
          <w:rFonts w:hint="eastAsia"/>
          <w:color w:val="auto"/>
          <w:highlight w:val="none"/>
        </w:rPr>
      </w:pPr>
      <w:r>
        <w:rPr>
          <w:rFonts w:hint="eastAsia"/>
          <w:color w:val="auto"/>
          <w:highlight w:val="none"/>
        </w:rPr>
        <w:t>（投标人自行编制）</w:t>
      </w:r>
    </w:p>
    <w:p w14:paraId="4E6BFAA5">
      <w:pPr>
        <w:pStyle w:val="5"/>
        <w:rPr>
          <w:rFonts w:hint="eastAsia"/>
          <w:color w:val="auto"/>
          <w:highlight w:val="none"/>
        </w:rPr>
      </w:pPr>
    </w:p>
    <w:p w14:paraId="4B8577E1">
      <w:pPr>
        <w:rPr>
          <w:rFonts w:hint="eastAsia"/>
          <w:color w:val="auto"/>
          <w:highlight w:val="none"/>
        </w:rPr>
      </w:pPr>
      <w:r>
        <w:rPr>
          <w:rFonts w:hint="eastAsia"/>
          <w:color w:val="auto"/>
          <w:highlight w:val="none"/>
        </w:rPr>
        <w:br w:type="page"/>
      </w:r>
    </w:p>
    <w:p w14:paraId="0733C734">
      <w:pPr>
        <w:pStyle w:val="3"/>
        <w:tabs>
          <w:tab w:val="left" w:pos="567"/>
          <w:tab w:val="left" w:pos="720"/>
        </w:tabs>
        <w:snapToGrid w:val="0"/>
        <w:spacing w:before="120" w:after="0" w:line="360" w:lineRule="auto"/>
        <w:ind w:left="0" w:right="-57" w:firstLine="0"/>
        <w:jc w:val="left"/>
        <w:rPr>
          <w:rFonts w:ascii="宋体" w:hAnsi="宋体" w:eastAsia="宋体"/>
          <w:color w:val="auto"/>
          <w:sz w:val="21"/>
          <w:szCs w:val="21"/>
          <w:highlight w:val="none"/>
        </w:rPr>
      </w:pPr>
      <w:bookmarkStart w:id="1481" w:name="_Toc16657"/>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7</w:t>
      </w:r>
      <w:r>
        <w:rPr>
          <w:rFonts w:hint="eastAsia" w:ascii="宋体" w:hAnsi="宋体" w:eastAsia="宋体"/>
          <w:color w:val="auto"/>
          <w:sz w:val="21"/>
          <w:szCs w:val="21"/>
          <w:highlight w:val="none"/>
        </w:rPr>
        <w:t>业绩表</w:t>
      </w:r>
      <w:bookmarkEnd w:id="1481"/>
    </w:p>
    <w:p w14:paraId="735B4FC1">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8"/>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680F8B5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04999058">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30187338">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6794C341">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vAlign w:val="center"/>
          </w:tcPr>
          <w:p w14:paraId="42DFCE04">
            <w:pPr>
              <w:ind w:left="0" w:firstLine="0"/>
              <w:jc w:val="center"/>
              <w:rPr>
                <w:rFonts w:hint="eastAsia" w:ascii="宋体" w:hAnsi="宋体" w:eastAsia="宋体"/>
                <w:color w:val="auto"/>
                <w:highlight w:val="none"/>
                <w:lang w:eastAsia="zh-CN"/>
              </w:rPr>
            </w:pPr>
            <w:r>
              <w:rPr>
                <w:rFonts w:hint="eastAsia" w:ascii="宋体" w:hAnsi="宋体"/>
                <w:color w:val="auto"/>
                <w:highlight w:val="none"/>
              </w:rPr>
              <w:t>合同</w:t>
            </w:r>
          </w:p>
          <w:p w14:paraId="4BC1FE1D">
            <w:pPr>
              <w:ind w:left="0" w:firstLine="0"/>
              <w:jc w:val="center"/>
              <w:rPr>
                <w:rFonts w:ascii="宋体" w:hAnsi="宋体"/>
                <w:color w:val="auto"/>
                <w:highlight w:val="none"/>
              </w:rPr>
            </w:pPr>
            <w:r>
              <w:rPr>
                <w:rFonts w:hint="eastAsia" w:ascii="宋体" w:hAnsi="宋体"/>
                <w:color w:val="auto"/>
                <w:highlight w:val="none"/>
              </w:rPr>
              <w:t>金额</w:t>
            </w:r>
          </w:p>
        </w:tc>
        <w:tc>
          <w:tcPr>
            <w:tcW w:w="993" w:type="dxa"/>
            <w:tcBorders>
              <w:top w:val="double" w:color="auto" w:sz="4" w:space="0"/>
            </w:tcBorders>
            <w:vAlign w:val="center"/>
          </w:tcPr>
          <w:p w14:paraId="21004AC6">
            <w:pPr>
              <w:ind w:left="0" w:firstLine="0"/>
              <w:jc w:val="center"/>
              <w:rPr>
                <w:rFonts w:hint="eastAsia" w:ascii="宋体" w:hAnsi="宋体" w:eastAsia="宋体"/>
                <w:color w:val="auto"/>
                <w:highlight w:val="none"/>
                <w:lang w:eastAsia="zh-CN"/>
              </w:rPr>
            </w:pPr>
            <w:r>
              <w:rPr>
                <w:rFonts w:hint="eastAsia" w:ascii="宋体" w:hAnsi="宋体"/>
                <w:color w:val="auto"/>
                <w:highlight w:val="none"/>
              </w:rPr>
              <w:t>签订</w:t>
            </w:r>
          </w:p>
          <w:p w14:paraId="231209F0">
            <w:pPr>
              <w:ind w:left="0" w:firstLine="0"/>
              <w:jc w:val="center"/>
              <w:rPr>
                <w:rFonts w:ascii="宋体" w:hAnsi="宋体"/>
                <w:color w:val="auto"/>
                <w:highlight w:val="none"/>
              </w:rPr>
            </w:pPr>
            <w:r>
              <w:rPr>
                <w:rFonts w:hint="eastAsia" w:ascii="宋体" w:hAnsi="宋体"/>
                <w:color w:val="auto"/>
                <w:highlight w:val="none"/>
              </w:rPr>
              <w:t>时间</w:t>
            </w:r>
          </w:p>
        </w:tc>
        <w:tc>
          <w:tcPr>
            <w:tcW w:w="1388" w:type="dxa"/>
            <w:tcBorders>
              <w:top w:val="double" w:color="auto" w:sz="4" w:space="0"/>
            </w:tcBorders>
            <w:vAlign w:val="center"/>
          </w:tcPr>
          <w:p w14:paraId="2038826E">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79238AA8">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34791F2B">
            <w:pPr>
              <w:ind w:left="0" w:firstLine="0"/>
              <w:rPr>
                <w:rFonts w:ascii="宋体" w:hAnsi="宋体"/>
                <w:color w:val="auto"/>
                <w:highlight w:val="none"/>
              </w:rPr>
            </w:pPr>
            <w:r>
              <w:rPr>
                <w:rFonts w:hint="eastAsia" w:ascii="宋体" w:hAnsi="宋体"/>
                <w:color w:val="auto"/>
                <w:highlight w:val="none"/>
              </w:rPr>
              <w:t>联系电话</w:t>
            </w:r>
          </w:p>
        </w:tc>
      </w:tr>
      <w:tr w14:paraId="34DC19F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039E5CA3">
            <w:pPr>
              <w:ind w:left="0" w:firstLine="0"/>
              <w:rPr>
                <w:rFonts w:ascii="宋体" w:hAnsi="宋体"/>
                <w:color w:val="auto"/>
                <w:highlight w:val="none"/>
              </w:rPr>
            </w:pPr>
          </w:p>
        </w:tc>
        <w:tc>
          <w:tcPr>
            <w:tcW w:w="1092" w:type="dxa"/>
          </w:tcPr>
          <w:p w14:paraId="0422CAD3">
            <w:pPr>
              <w:ind w:left="0" w:firstLine="0"/>
              <w:rPr>
                <w:rFonts w:ascii="宋体" w:hAnsi="宋体"/>
                <w:color w:val="auto"/>
                <w:highlight w:val="none"/>
              </w:rPr>
            </w:pPr>
          </w:p>
        </w:tc>
        <w:tc>
          <w:tcPr>
            <w:tcW w:w="1789" w:type="dxa"/>
          </w:tcPr>
          <w:p w14:paraId="74209E2D">
            <w:pPr>
              <w:ind w:left="0" w:firstLine="0"/>
              <w:rPr>
                <w:rFonts w:ascii="宋体" w:hAnsi="宋体"/>
                <w:color w:val="auto"/>
                <w:highlight w:val="none"/>
              </w:rPr>
            </w:pPr>
          </w:p>
        </w:tc>
        <w:tc>
          <w:tcPr>
            <w:tcW w:w="992" w:type="dxa"/>
          </w:tcPr>
          <w:p w14:paraId="5D72D27E">
            <w:pPr>
              <w:ind w:left="0" w:firstLine="0"/>
              <w:rPr>
                <w:rFonts w:ascii="宋体" w:hAnsi="宋体"/>
                <w:color w:val="auto"/>
                <w:highlight w:val="none"/>
              </w:rPr>
            </w:pPr>
          </w:p>
        </w:tc>
        <w:tc>
          <w:tcPr>
            <w:tcW w:w="993" w:type="dxa"/>
          </w:tcPr>
          <w:p w14:paraId="292CE14A">
            <w:pPr>
              <w:ind w:left="0" w:firstLine="0"/>
              <w:rPr>
                <w:rFonts w:ascii="宋体" w:hAnsi="宋体"/>
                <w:color w:val="auto"/>
                <w:highlight w:val="none"/>
              </w:rPr>
            </w:pPr>
          </w:p>
        </w:tc>
        <w:tc>
          <w:tcPr>
            <w:tcW w:w="1388" w:type="dxa"/>
          </w:tcPr>
          <w:p w14:paraId="4C06FDDB">
            <w:pPr>
              <w:ind w:left="0" w:firstLine="0"/>
              <w:rPr>
                <w:rFonts w:ascii="宋体" w:hAnsi="宋体"/>
                <w:color w:val="auto"/>
                <w:highlight w:val="none"/>
              </w:rPr>
            </w:pPr>
          </w:p>
        </w:tc>
        <w:tc>
          <w:tcPr>
            <w:tcW w:w="1044" w:type="dxa"/>
          </w:tcPr>
          <w:p w14:paraId="4260080C">
            <w:pPr>
              <w:ind w:left="0" w:firstLine="0"/>
              <w:rPr>
                <w:rFonts w:ascii="宋体" w:hAnsi="宋体"/>
                <w:color w:val="auto"/>
                <w:highlight w:val="none"/>
              </w:rPr>
            </w:pPr>
          </w:p>
        </w:tc>
        <w:tc>
          <w:tcPr>
            <w:tcW w:w="1043" w:type="dxa"/>
          </w:tcPr>
          <w:p w14:paraId="5AD8DC14">
            <w:pPr>
              <w:ind w:left="0" w:firstLine="0"/>
              <w:rPr>
                <w:rFonts w:ascii="宋体" w:hAnsi="宋体"/>
                <w:color w:val="auto"/>
                <w:highlight w:val="none"/>
              </w:rPr>
            </w:pPr>
          </w:p>
        </w:tc>
      </w:tr>
      <w:tr w14:paraId="613C778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6E14F47">
            <w:pPr>
              <w:ind w:left="0" w:firstLine="0"/>
              <w:rPr>
                <w:rFonts w:ascii="宋体" w:hAnsi="宋体"/>
                <w:color w:val="auto"/>
                <w:highlight w:val="none"/>
              </w:rPr>
            </w:pPr>
          </w:p>
        </w:tc>
        <w:tc>
          <w:tcPr>
            <w:tcW w:w="1092" w:type="dxa"/>
            <w:vAlign w:val="center"/>
          </w:tcPr>
          <w:p w14:paraId="4C0DC6BC">
            <w:pPr>
              <w:ind w:left="0" w:firstLine="0"/>
              <w:rPr>
                <w:rFonts w:ascii="宋体" w:hAnsi="宋体"/>
                <w:color w:val="auto"/>
                <w:highlight w:val="none"/>
              </w:rPr>
            </w:pPr>
          </w:p>
        </w:tc>
        <w:tc>
          <w:tcPr>
            <w:tcW w:w="1789" w:type="dxa"/>
            <w:vAlign w:val="center"/>
          </w:tcPr>
          <w:p w14:paraId="66051D76">
            <w:pPr>
              <w:ind w:left="0" w:firstLine="0"/>
              <w:rPr>
                <w:rFonts w:ascii="宋体" w:hAnsi="宋体"/>
                <w:color w:val="auto"/>
                <w:highlight w:val="none"/>
              </w:rPr>
            </w:pPr>
          </w:p>
        </w:tc>
        <w:tc>
          <w:tcPr>
            <w:tcW w:w="992" w:type="dxa"/>
            <w:vAlign w:val="center"/>
          </w:tcPr>
          <w:p w14:paraId="11344829">
            <w:pPr>
              <w:ind w:left="0" w:firstLine="0"/>
              <w:rPr>
                <w:rFonts w:ascii="宋体" w:hAnsi="宋体"/>
                <w:color w:val="auto"/>
                <w:highlight w:val="none"/>
              </w:rPr>
            </w:pPr>
          </w:p>
        </w:tc>
        <w:tc>
          <w:tcPr>
            <w:tcW w:w="993" w:type="dxa"/>
            <w:vAlign w:val="center"/>
          </w:tcPr>
          <w:p w14:paraId="545408ED">
            <w:pPr>
              <w:ind w:left="0" w:firstLine="0"/>
              <w:rPr>
                <w:rFonts w:ascii="宋体" w:hAnsi="宋体"/>
                <w:color w:val="auto"/>
                <w:highlight w:val="none"/>
              </w:rPr>
            </w:pPr>
          </w:p>
        </w:tc>
        <w:tc>
          <w:tcPr>
            <w:tcW w:w="1388" w:type="dxa"/>
          </w:tcPr>
          <w:p w14:paraId="3F864B39">
            <w:pPr>
              <w:ind w:left="0" w:firstLine="0"/>
              <w:rPr>
                <w:rFonts w:ascii="宋体" w:hAnsi="宋体"/>
                <w:color w:val="auto"/>
                <w:highlight w:val="none"/>
              </w:rPr>
            </w:pPr>
          </w:p>
        </w:tc>
        <w:tc>
          <w:tcPr>
            <w:tcW w:w="1044" w:type="dxa"/>
            <w:vAlign w:val="center"/>
          </w:tcPr>
          <w:p w14:paraId="07F5E735">
            <w:pPr>
              <w:ind w:left="0" w:firstLine="0"/>
              <w:rPr>
                <w:rFonts w:ascii="宋体" w:hAnsi="宋体"/>
                <w:color w:val="auto"/>
                <w:highlight w:val="none"/>
              </w:rPr>
            </w:pPr>
          </w:p>
        </w:tc>
        <w:tc>
          <w:tcPr>
            <w:tcW w:w="1043" w:type="dxa"/>
            <w:vAlign w:val="center"/>
          </w:tcPr>
          <w:p w14:paraId="07979A7E">
            <w:pPr>
              <w:ind w:left="0" w:firstLine="0"/>
              <w:rPr>
                <w:rFonts w:ascii="宋体" w:hAnsi="宋体"/>
                <w:color w:val="auto"/>
                <w:highlight w:val="none"/>
              </w:rPr>
            </w:pPr>
          </w:p>
        </w:tc>
      </w:tr>
      <w:tr w14:paraId="19A85A5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1B06F28">
            <w:pPr>
              <w:ind w:left="0" w:firstLine="0"/>
              <w:rPr>
                <w:rFonts w:ascii="宋体" w:hAnsi="宋体"/>
                <w:color w:val="auto"/>
                <w:highlight w:val="none"/>
              </w:rPr>
            </w:pPr>
          </w:p>
        </w:tc>
        <w:tc>
          <w:tcPr>
            <w:tcW w:w="1092" w:type="dxa"/>
            <w:vAlign w:val="center"/>
          </w:tcPr>
          <w:p w14:paraId="36FAFBD3">
            <w:pPr>
              <w:ind w:left="0" w:firstLine="0"/>
              <w:rPr>
                <w:rFonts w:ascii="宋体" w:hAnsi="宋体"/>
                <w:color w:val="auto"/>
                <w:highlight w:val="none"/>
              </w:rPr>
            </w:pPr>
          </w:p>
        </w:tc>
        <w:tc>
          <w:tcPr>
            <w:tcW w:w="1789" w:type="dxa"/>
            <w:vAlign w:val="center"/>
          </w:tcPr>
          <w:p w14:paraId="1FC6F9DD">
            <w:pPr>
              <w:ind w:left="0" w:firstLine="0"/>
              <w:rPr>
                <w:rFonts w:ascii="宋体" w:hAnsi="宋体"/>
                <w:color w:val="auto"/>
                <w:highlight w:val="none"/>
              </w:rPr>
            </w:pPr>
          </w:p>
        </w:tc>
        <w:tc>
          <w:tcPr>
            <w:tcW w:w="992" w:type="dxa"/>
            <w:vAlign w:val="center"/>
          </w:tcPr>
          <w:p w14:paraId="7BF4591D">
            <w:pPr>
              <w:ind w:left="0" w:firstLine="0"/>
              <w:rPr>
                <w:rFonts w:ascii="宋体" w:hAnsi="宋体"/>
                <w:color w:val="auto"/>
                <w:highlight w:val="none"/>
              </w:rPr>
            </w:pPr>
          </w:p>
        </w:tc>
        <w:tc>
          <w:tcPr>
            <w:tcW w:w="993" w:type="dxa"/>
            <w:vAlign w:val="center"/>
          </w:tcPr>
          <w:p w14:paraId="48F25103">
            <w:pPr>
              <w:ind w:left="0" w:firstLine="0"/>
              <w:rPr>
                <w:rFonts w:ascii="宋体" w:hAnsi="宋体"/>
                <w:color w:val="auto"/>
                <w:highlight w:val="none"/>
              </w:rPr>
            </w:pPr>
          </w:p>
        </w:tc>
        <w:tc>
          <w:tcPr>
            <w:tcW w:w="1388" w:type="dxa"/>
          </w:tcPr>
          <w:p w14:paraId="77E14518">
            <w:pPr>
              <w:ind w:left="0" w:firstLine="0"/>
              <w:rPr>
                <w:rFonts w:ascii="宋体" w:hAnsi="宋体"/>
                <w:color w:val="auto"/>
                <w:highlight w:val="none"/>
              </w:rPr>
            </w:pPr>
          </w:p>
        </w:tc>
        <w:tc>
          <w:tcPr>
            <w:tcW w:w="1044" w:type="dxa"/>
            <w:vAlign w:val="center"/>
          </w:tcPr>
          <w:p w14:paraId="77312AD7">
            <w:pPr>
              <w:ind w:left="0" w:firstLine="0"/>
              <w:rPr>
                <w:rFonts w:ascii="宋体" w:hAnsi="宋体"/>
                <w:color w:val="auto"/>
                <w:highlight w:val="none"/>
              </w:rPr>
            </w:pPr>
          </w:p>
        </w:tc>
        <w:tc>
          <w:tcPr>
            <w:tcW w:w="1043" w:type="dxa"/>
            <w:vAlign w:val="center"/>
          </w:tcPr>
          <w:p w14:paraId="4BA0F201">
            <w:pPr>
              <w:ind w:left="0" w:firstLine="0"/>
              <w:rPr>
                <w:rFonts w:ascii="宋体" w:hAnsi="宋体"/>
                <w:color w:val="auto"/>
                <w:highlight w:val="none"/>
              </w:rPr>
            </w:pPr>
          </w:p>
        </w:tc>
      </w:tr>
      <w:tr w14:paraId="735F467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601DCC9">
            <w:pPr>
              <w:ind w:left="0" w:firstLine="0"/>
              <w:rPr>
                <w:rFonts w:ascii="宋体" w:hAnsi="宋体"/>
                <w:color w:val="auto"/>
                <w:highlight w:val="none"/>
              </w:rPr>
            </w:pPr>
          </w:p>
        </w:tc>
        <w:tc>
          <w:tcPr>
            <w:tcW w:w="1092" w:type="dxa"/>
            <w:vAlign w:val="center"/>
          </w:tcPr>
          <w:p w14:paraId="4E412666">
            <w:pPr>
              <w:ind w:left="0" w:firstLine="0"/>
              <w:rPr>
                <w:rFonts w:ascii="宋体" w:hAnsi="宋体"/>
                <w:color w:val="auto"/>
                <w:highlight w:val="none"/>
              </w:rPr>
            </w:pPr>
          </w:p>
        </w:tc>
        <w:tc>
          <w:tcPr>
            <w:tcW w:w="1789" w:type="dxa"/>
            <w:vAlign w:val="center"/>
          </w:tcPr>
          <w:p w14:paraId="2231DAA2">
            <w:pPr>
              <w:ind w:left="0" w:firstLine="0"/>
              <w:rPr>
                <w:rFonts w:ascii="宋体" w:hAnsi="宋体"/>
                <w:color w:val="auto"/>
                <w:highlight w:val="none"/>
              </w:rPr>
            </w:pPr>
          </w:p>
        </w:tc>
        <w:tc>
          <w:tcPr>
            <w:tcW w:w="992" w:type="dxa"/>
            <w:vAlign w:val="center"/>
          </w:tcPr>
          <w:p w14:paraId="4BE523D6">
            <w:pPr>
              <w:ind w:left="0" w:firstLine="0"/>
              <w:rPr>
                <w:rFonts w:ascii="宋体" w:hAnsi="宋体"/>
                <w:color w:val="auto"/>
                <w:highlight w:val="none"/>
              </w:rPr>
            </w:pPr>
          </w:p>
        </w:tc>
        <w:tc>
          <w:tcPr>
            <w:tcW w:w="993" w:type="dxa"/>
            <w:vAlign w:val="center"/>
          </w:tcPr>
          <w:p w14:paraId="5B5B44CE">
            <w:pPr>
              <w:ind w:left="0" w:firstLine="0"/>
              <w:rPr>
                <w:rFonts w:ascii="宋体" w:hAnsi="宋体"/>
                <w:color w:val="auto"/>
                <w:highlight w:val="none"/>
              </w:rPr>
            </w:pPr>
          </w:p>
        </w:tc>
        <w:tc>
          <w:tcPr>
            <w:tcW w:w="1388" w:type="dxa"/>
          </w:tcPr>
          <w:p w14:paraId="391D3191">
            <w:pPr>
              <w:ind w:left="0" w:firstLine="0"/>
              <w:rPr>
                <w:rFonts w:ascii="宋体" w:hAnsi="宋体"/>
                <w:color w:val="auto"/>
                <w:highlight w:val="none"/>
              </w:rPr>
            </w:pPr>
          </w:p>
        </w:tc>
        <w:tc>
          <w:tcPr>
            <w:tcW w:w="1044" w:type="dxa"/>
            <w:vAlign w:val="center"/>
          </w:tcPr>
          <w:p w14:paraId="1B20D45A">
            <w:pPr>
              <w:ind w:left="0" w:firstLine="0"/>
              <w:rPr>
                <w:rFonts w:ascii="宋体" w:hAnsi="宋体"/>
                <w:color w:val="auto"/>
                <w:highlight w:val="none"/>
              </w:rPr>
            </w:pPr>
          </w:p>
        </w:tc>
        <w:tc>
          <w:tcPr>
            <w:tcW w:w="1043" w:type="dxa"/>
            <w:vAlign w:val="center"/>
          </w:tcPr>
          <w:p w14:paraId="3D044CFE">
            <w:pPr>
              <w:ind w:left="0" w:firstLine="0"/>
              <w:rPr>
                <w:rFonts w:ascii="宋体" w:hAnsi="宋体"/>
                <w:color w:val="auto"/>
                <w:highlight w:val="none"/>
              </w:rPr>
            </w:pPr>
          </w:p>
        </w:tc>
      </w:tr>
      <w:tr w14:paraId="52EB25B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3D362F1">
            <w:pPr>
              <w:ind w:left="0" w:firstLine="0"/>
              <w:rPr>
                <w:rFonts w:ascii="宋体" w:hAnsi="宋体"/>
                <w:color w:val="auto"/>
                <w:highlight w:val="none"/>
              </w:rPr>
            </w:pPr>
          </w:p>
        </w:tc>
        <w:tc>
          <w:tcPr>
            <w:tcW w:w="1092" w:type="dxa"/>
            <w:vAlign w:val="center"/>
          </w:tcPr>
          <w:p w14:paraId="5116B7A1">
            <w:pPr>
              <w:ind w:left="0" w:firstLine="0"/>
              <w:rPr>
                <w:rFonts w:ascii="宋体" w:hAnsi="宋体"/>
                <w:color w:val="auto"/>
                <w:highlight w:val="none"/>
              </w:rPr>
            </w:pPr>
          </w:p>
        </w:tc>
        <w:tc>
          <w:tcPr>
            <w:tcW w:w="1789" w:type="dxa"/>
            <w:vAlign w:val="center"/>
          </w:tcPr>
          <w:p w14:paraId="2C91F399">
            <w:pPr>
              <w:ind w:left="0" w:firstLine="0"/>
              <w:rPr>
                <w:rFonts w:ascii="宋体" w:hAnsi="宋体"/>
                <w:color w:val="auto"/>
                <w:highlight w:val="none"/>
              </w:rPr>
            </w:pPr>
          </w:p>
        </w:tc>
        <w:tc>
          <w:tcPr>
            <w:tcW w:w="992" w:type="dxa"/>
            <w:vAlign w:val="center"/>
          </w:tcPr>
          <w:p w14:paraId="70000E48">
            <w:pPr>
              <w:ind w:left="0" w:firstLine="0"/>
              <w:rPr>
                <w:rFonts w:ascii="宋体" w:hAnsi="宋体"/>
                <w:color w:val="auto"/>
                <w:highlight w:val="none"/>
              </w:rPr>
            </w:pPr>
          </w:p>
        </w:tc>
        <w:tc>
          <w:tcPr>
            <w:tcW w:w="993" w:type="dxa"/>
            <w:vAlign w:val="center"/>
          </w:tcPr>
          <w:p w14:paraId="57B93846">
            <w:pPr>
              <w:ind w:left="0" w:firstLine="0"/>
              <w:rPr>
                <w:rFonts w:ascii="宋体" w:hAnsi="宋体"/>
                <w:color w:val="auto"/>
                <w:highlight w:val="none"/>
              </w:rPr>
            </w:pPr>
          </w:p>
        </w:tc>
        <w:tc>
          <w:tcPr>
            <w:tcW w:w="1388" w:type="dxa"/>
          </w:tcPr>
          <w:p w14:paraId="734F990A">
            <w:pPr>
              <w:ind w:left="0" w:firstLine="0"/>
              <w:rPr>
                <w:rFonts w:ascii="宋体" w:hAnsi="宋体"/>
                <w:color w:val="auto"/>
                <w:highlight w:val="none"/>
              </w:rPr>
            </w:pPr>
          </w:p>
        </w:tc>
        <w:tc>
          <w:tcPr>
            <w:tcW w:w="1044" w:type="dxa"/>
            <w:vAlign w:val="center"/>
          </w:tcPr>
          <w:p w14:paraId="58F13416">
            <w:pPr>
              <w:ind w:left="0" w:firstLine="0"/>
              <w:rPr>
                <w:rFonts w:ascii="宋体" w:hAnsi="宋体"/>
                <w:color w:val="auto"/>
                <w:highlight w:val="none"/>
              </w:rPr>
            </w:pPr>
          </w:p>
        </w:tc>
        <w:tc>
          <w:tcPr>
            <w:tcW w:w="1043" w:type="dxa"/>
            <w:vAlign w:val="center"/>
          </w:tcPr>
          <w:p w14:paraId="181A6997">
            <w:pPr>
              <w:ind w:left="0" w:firstLine="0"/>
              <w:rPr>
                <w:rFonts w:ascii="宋体" w:hAnsi="宋体"/>
                <w:color w:val="auto"/>
                <w:highlight w:val="none"/>
              </w:rPr>
            </w:pPr>
          </w:p>
        </w:tc>
      </w:tr>
      <w:tr w14:paraId="44008BA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A8A8088">
            <w:pPr>
              <w:ind w:left="0" w:firstLine="0"/>
              <w:rPr>
                <w:rFonts w:ascii="宋体" w:hAnsi="宋体"/>
                <w:color w:val="auto"/>
                <w:highlight w:val="none"/>
              </w:rPr>
            </w:pPr>
          </w:p>
        </w:tc>
        <w:tc>
          <w:tcPr>
            <w:tcW w:w="1092" w:type="dxa"/>
            <w:vAlign w:val="center"/>
          </w:tcPr>
          <w:p w14:paraId="4ED586EA">
            <w:pPr>
              <w:ind w:left="0" w:firstLine="0"/>
              <w:rPr>
                <w:rFonts w:ascii="宋体" w:hAnsi="宋体"/>
                <w:color w:val="auto"/>
                <w:highlight w:val="none"/>
              </w:rPr>
            </w:pPr>
          </w:p>
        </w:tc>
        <w:tc>
          <w:tcPr>
            <w:tcW w:w="1789" w:type="dxa"/>
            <w:vAlign w:val="center"/>
          </w:tcPr>
          <w:p w14:paraId="7785B6FF">
            <w:pPr>
              <w:ind w:left="0" w:firstLine="0"/>
              <w:rPr>
                <w:rFonts w:ascii="宋体" w:hAnsi="宋体"/>
                <w:color w:val="auto"/>
                <w:highlight w:val="none"/>
              </w:rPr>
            </w:pPr>
          </w:p>
        </w:tc>
        <w:tc>
          <w:tcPr>
            <w:tcW w:w="992" w:type="dxa"/>
            <w:vAlign w:val="center"/>
          </w:tcPr>
          <w:p w14:paraId="575F392F">
            <w:pPr>
              <w:ind w:left="0" w:firstLine="0"/>
              <w:rPr>
                <w:rFonts w:ascii="宋体" w:hAnsi="宋体"/>
                <w:color w:val="auto"/>
                <w:highlight w:val="none"/>
              </w:rPr>
            </w:pPr>
          </w:p>
        </w:tc>
        <w:tc>
          <w:tcPr>
            <w:tcW w:w="993" w:type="dxa"/>
            <w:vAlign w:val="center"/>
          </w:tcPr>
          <w:p w14:paraId="52C1BAB2">
            <w:pPr>
              <w:ind w:left="0" w:firstLine="0"/>
              <w:rPr>
                <w:rFonts w:ascii="宋体" w:hAnsi="宋体"/>
                <w:color w:val="auto"/>
                <w:highlight w:val="none"/>
              </w:rPr>
            </w:pPr>
          </w:p>
        </w:tc>
        <w:tc>
          <w:tcPr>
            <w:tcW w:w="1388" w:type="dxa"/>
          </w:tcPr>
          <w:p w14:paraId="40E1CDF7">
            <w:pPr>
              <w:ind w:left="0" w:firstLine="0"/>
              <w:rPr>
                <w:rFonts w:ascii="宋体" w:hAnsi="宋体"/>
                <w:color w:val="auto"/>
                <w:highlight w:val="none"/>
              </w:rPr>
            </w:pPr>
          </w:p>
        </w:tc>
        <w:tc>
          <w:tcPr>
            <w:tcW w:w="1044" w:type="dxa"/>
            <w:vAlign w:val="center"/>
          </w:tcPr>
          <w:p w14:paraId="63790A22">
            <w:pPr>
              <w:ind w:left="0" w:firstLine="0"/>
              <w:rPr>
                <w:rFonts w:ascii="宋体" w:hAnsi="宋体"/>
                <w:color w:val="auto"/>
                <w:highlight w:val="none"/>
              </w:rPr>
            </w:pPr>
          </w:p>
        </w:tc>
        <w:tc>
          <w:tcPr>
            <w:tcW w:w="1043" w:type="dxa"/>
            <w:vAlign w:val="center"/>
          </w:tcPr>
          <w:p w14:paraId="740F24FA">
            <w:pPr>
              <w:ind w:left="0" w:firstLine="0"/>
              <w:rPr>
                <w:rFonts w:ascii="宋体" w:hAnsi="宋体"/>
                <w:color w:val="auto"/>
                <w:highlight w:val="none"/>
              </w:rPr>
            </w:pPr>
          </w:p>
        </w:tc>
      </w:tr>
      <w:tr w14:paraId="3A6218B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F790F65">
            <w:pPr>
              <w:ind w:left="0" w:firstLine="0"/>
              <w:rPr>
                <w:rFonts w:ascii="宋体" w:hAnsi="宋体"/>
                <w:color w:val="auto"/>
                <w:highlight w:val="none"/>
              </w:rPr>
            </w:pPr>
          </w:p>
        </w:tc>
        <w:tc>
          <w:tcPr>
            <w:tcW w:w="1092" w:type="dxa"/>
            <w:vAlign w:val="center"/>
          </w:tcPr>
          <w:p w14:paraId="482C8F7B">
            <w:pPr>
              <w:ind w:left="0" w:firstLine="0"/>
              <w:rPr>
                <w:rFonts w:ascii="宋体" w:hAnsi="宋体"/>
                <w:color w:val="auto"/>
                <w:highlight w:val="none"/>
              </w:rPr>
            </w:pPr>
          </w:p>
        </w:tc>
        <w:tc>
          <w:tcPr>
            <w:tcW w:w="1789" w:type="dxa"/>
            <w:vAlign w:val="center"/>
          </w:tcPr>
          <w:p w14:paraId="688A63C1">
            <w:pPr>
              <w:ind w:left="0" w:firstLine="0"/>
              <w:rPr>
                <w:rFonts w:ascii="宋体" w:hAnsi="宋体"/>
                <w:color w:val="auto"/>
                <w:highlight w:val="none"/>
              </w:rPr>
            </w:pPr>
          </w:p>
        </w:tc>
        <w:tc>
          <w:tcPr>
            <w:tcW w:w="992" w:type="dxa"/>
            <w:vAlign w:val="center"/>
          </w:tcPr>
          <w:p w14:paraId="5BFA49BF">
            <w:pPr>
              <w:ind w:left="0" w:firstLine="0"/>
              <w:rPr>
                <w:rFonts w:ascii="宋体" w:hAnsi="宋体"/>
                <w:color w:val="auto"/>
                <w:highlight w:val="none"/>
              </w:rPr>
            </w:pPr>
          </w:p>
        </w:tc>
        <w:tc>
          <w:tcPr>
            <w:tcW w:w="993" w:type="dxa"/>
            <w:vAlign w:val="center"/>
          </w:tcPr>
          <w:p w14:paraId="3AC085A4">
            <w:pPr>
              <w:ind w:left="0" w:firstLine="0"/>
              <w:rPr>
                <w:rFonts w:ascii="宋体" w:hAnsi="宋体"/>
                <w:color w:val="auto"/>
                <w:highlight w:val="none"/>
              </w:rPr>
            </w:pPr>
          </w:p>
        </w:tc>
        <w:tc>
          <w:tcPr>
            <w:tcW w:w="1388" w:type="dxa"/>
          </w:tcPr>
          <w:p w14:paraId="106C30C8">
            <w:pPr>
              <w:ind w:left="0" w:firstLine="0"/>
              <w:rPr>
                <w:rFonts w:ascii="宋体" w:hAnsi="宋体"/>
                <w:color w:val="auto"/>
                <w:highlight w:val="none"/>
              </w:rPr>
            </w:pPr>
          </w:p>
        </w:tc>
        <w:tc>
          <w:tcPr>
            <w:tcW w:w="1044" w:type="dxa"/>
            <w:vAlign w:val="center"/>
          </w:tcPr>
          <w:p w14:paraId="5A26F149">
            <w:pPr>
              <w:ind w:left="0" w:firstLine="0"/>
              <w:rPr>
                <w:rFonts w:ascii="宋体" w:hAnsi="宋体"/>
                <w:color w:val="auto"/>
                <w:highlight w:val="none"/>
              </w:rPr>
            </w:pPr>
          </w:p>
        </w:tc>
        <w:tc>
          <w:tcPr>
            <w:tcW w:w="1043" w:type="dxa"/>
            <w:vAlign w:val="center"/>
          </w:tcPr>
          <w:p w14:paraId="1B6D293D">
            <w:pPr>
              <w:ind w:left="0" w:firstLine="0"/>
              <w:rPr>
                <w:rFonts w:ascii="宋体" w:hAnsi="宋体"/>
                <w:color w:val="auto"/>
                <w:highlight w:val="none"/>
              </w:rPr>
            </w:pPr>
          </w:p>
        </w:tc>
      </w:tr>
      <w:tr w14:paraId="79DFE7F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E6EF970">
            <w:pPr>
              <w:ind w:left="0" w:firstLine="0"/>
              <w:rPr>
                <w:rFonts w:ascii="宋体" w:hAnsi="宋体"/>
                <w:color w:val="auto"/>
                <w:highlight w:val="none"/>
              </w:rPr>
            </w:pPr>
          </w:p>
        </w:tc>
        <w:tc>
          <w:tcPr>
            <w:tcW w:w="1092" w:type="dxa"/>
            <w:vAlign w:val="center"/>
          </w:tcPr>
          <w:p w14:paraId="49C3C038">
            <w:pPr>
              <w:ind w:left="0" w:firstLine="0"/>
              <w:rPr>
                <w:rFonts w:ascii="宋体" w:hAnsi="宋体"/>
                <w:color w:val="auto"/>
                <w:highlight w:val="none"/>
              </w:rPr>
            </w:pPr>
          </w:p>
        </w:tc>
        <w:tc>
          <w:tcPr>
            <w:tcW w:w="1789" w:type="dxa"/>
            <w:vAlign w:val="center"/>
          </w:tcPr>
          <w:p w14:paraId="1EEB4F1B">
            <w:pPr>
              <w:ind w:left="0" w:firstLine="0"/>
              <w:rPr>
                <w:rFonts w:ascii="宋体" w:hAnsi="宋体"/>
                <w:color w:val="auto"/>
                <w:highlight w:val="none"/>
              </w:rPr>
            </w:pPr>
          </w:p>
        </w:tc>
        <w:tc>
          <w:tcPr>
            <w:tcW w:w="992" w:type="dxa"/>
            <w:vAlign w:val="center"/>
          </w:tcPr>
          <w:p w14:paraId="27D0832F">
            <w:pPr>
              <w:ind w:left="0" w:firstLine="0"/>
              <w:rPr>
                <w:rFonts w:ascii="宋体" w:hAnsi="宋体"/>
                <w:color w:val="auto"/>
                <w:highlight w:val="none"/>
              </w:rPr>
            </w:pPr>
          </w:p>
        </w:tc>
        <w:tc>
          <w:tcPr>
            <w:tcW w:w="993" w:type="dxa"/>
            <w:vAlign w:val="center"/>
          </w:tcPr>
          <w:p w14:paraId="0F915FEF">
            <w:pPr>
              <w:ind w:left="0" w:firstLine="0"/>
              <w:rPr>
                <w:rFonts w:ascii="宋体" w:hAnsi="宋体"/>
                <w:color w:val="auto"/>
                <w:highlight w:val="none"/>
              </w:rPr>
            </w:pPr>
          </w:p>
        </w:tc>
        <w:tc>
          <w:tcPr>
            <w:tcW w:w="1388" w:type="dxa"/>
          </w:tcPr>
          <w:p w14:paraId="31A7828B">
            <w:pPr>
              <w:ind w:left="0" w:firstLine="0"/>
              <w:rPr>
                <w:rFonts w:ascii="宋体" w:hAnsi="宋体"/>
                <w:color w:val="auto"/>
                <w:highlight w:val="none"/>
              </w:rPr>
            </w:pPr>
          </w:p>
        </w:tc>
        <w:tc>
          <w:tcPr>
            <w:tcW w:w="1044" w:type="dxa"/>
            <w:vAlign w:val="center"/>
          </w:tcPr>
          <w:p w14:paraId="3F165712">
            <w:pPr>
              <w:ind w:left="0" w:firstLine="0"/>
              <w:rPr>
                <w:rFonts w:ascii="宋体" w:hAnsi="宋体"/>
                <w:color w:val="auto"/>
                <w:highlight w:val="none"/>
              </w:rPr>
            </w:pPr>
          </w:p>
        </w:tc>
        <w:tc>
          <w:tcPr>
            <w:tcW w:w="1043" w:type="dxa"/>
            <w:vAlign w:val="center"/>
          </w:tcPr>
          <w:p w14:paraId="0387C018">
            <w:pPr>
              <w:ind w:left="0" w:firstLine="0"/>
              <w:rPr>
                <w:rFonts w:ascii="宋体" w:hAnsi="宋体"/>
                <w:color w:val="auto"/>
                <w:highlight w:val="none"/>
              </w:rPr>
            </w:pPr>
          </w:p>
        </w:tc>
      </w:tr>
      <w:tr w14:paraId="50BEAD7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55D09391">
            <w:pPr>
              <w:ind w:left="0" w:firstLine="0"/>
              <w:rPr>
                <w:rFonts w:ascii="宋体" w:hAnsi="宋体"/>
                <w:color w:val="auto"/>
                <w:highlight w:val="none"/>
              </w:rPr>
            </w:pPr>
          </w:p>
        </w:tc>
        <w:tc>
          <w:tcPr>
            <w:tcW w:w="1092" w:type="dxa"/>
            <w:vAlign w:val="center"/>
          </w:tcPr>
          <w:p w14:paraId="0A5E07AA">
            <w:pPr>
              <w:ind w:left="0" w:firstLine="0"/>
              <w:rPr>
                <w:rFonts w:ascii="宋体" w:hAnsi="宋体"/>
                <w:color w:val="auto"/>
                <w:highlight w:val="none"/>
              </w:rPr>
            </w:pPr>
          </w:p>
        </w:tc>
        <w:tc>
          <w:tcPr>
            <w:tcW w:w="1789" w:type="dxa"/>
            <w:vAlign w:val="center"/>
          </w:tcPr>
          <w:p w14:paraId="0C5F740C">
            <w:pPr>
              <w:ind w:left="0" w:firstLine="0"/>
              <w:rPr>
                <w:rFonts w:ascii="宋体" w:hAnsi="宋体"/>
                <w:color w:val="auto"/>
                <w:highlight w:val="none"/>
              </w:rPr>
            </w:pPr>
          </w:p>
        </w:tc>
        <w:tc>
          <w:tcPr>
            <w:tcW w:w="992" w:type="dxa"/>
            <w:vAlign w:val="center"/>
          </w:tcPr>
          <w:p w14:paraId="4F2CB758">
            <w:pPr>
              <w:ind w:left="0" w:firstLine="0"/>
              <w:rPr>
                <w:rFonts w:ascii="宋体" w:hAnsi="宋体"/>
                <w:color w:val="auto"/>
                <w:highlight w:val="none"/>
              </w:rPr>
            </w:pPr>
          </w:p>
        </w:tc>
        <w:tc>
          <w:tcPr>
            <w:tcW w:w="993" w:type="dxa"/>
            <w:vAlign w:val="center"/>
          </w:tcPr>
          <w:p w14:paraId="24E9C32C">
            <w:pPr>
              <w:ind w:left="0" w:firstLine="0"/>
              <w:rPr>
                <w:rFonts w:ascii="宋体" w:hAnsi="宋体"/>
                <w:color w:val="auto"/>
                <w:highlight w:val="none"/>
              </w:rPr>
            </w:pPr>
          </w:p>
        </w:tc>
        <w:tc>
          <w:tcPr>
            <w:tcW w:w="1388" w:type="dxa"/>
          </w:tcPr>
          <w:p w14:paraId="504E60F9">
            <w:pPr>
              <w:ind w:left="0" w:firstLine="0"/>
              <w:rPr>
                <w:rFonts w:ascii="宋体" w:hAnsi="宋体"/>
                <w:color w:val="auto"/>
                <w:highlight w:val="none"/>
              </w:rPr>
            </w:pPr>
          </w:p>
        </w:tc>
        <w:tc>
          <w:tcPr>
            <w:tcW w:w="1044" w:type="dxa"/>
            <w:vAlign w:val="center"/>
          </w:tcPr>
          <w:p w14:paraId="51F9D14F">
            <w:pPr>
              <w:ind w:left="0" w:firstLine="0"/>
              <w:rPr>
                <w:rFonts w:ascii="宋体" w:hAnsi="宋体"/>
                <w:color w:val="auto"/>
                <w:highlight w:val="none"/>
              </w:rPr>
            </w:pPr>
          </w:p>
        </w:tc>
        <w:tc>
          <w:tcPr>
            <w:tcW w:w="1043" w:type="dxa"/>
            <w:vAlign w:val="center"/>
          </w:tcPr>
          <w:p w14:paraId="2BFE569A">
            <w:pPr>
              <w:ind w:left="0" w:firstLine="0"/>
              <w:rPr>
                <w:rFonts w:ascii="宋体" w:hAnsi="宋体"/>
                <w:color w:val="auto"/>
                <w:highlight w:val="none"/>
              </w:rPr>
            </w:pPr>
          </w:p>
        </w:tc>
      </w:tr>
    </w:tbl>
    <w:p w14:paraId="1ADDD53E">
      <w:pPr>
        <w:spacing w:before="0"/>
        <w:ind w:left="567" w:right="-57" w:hanging="567"/>
        <w:jc w:val="left"/>
        <w:rPr>
          <w:rFonts w:ascii="宋体" w:hAnsi="宋体"/>
          <w:color w:val="auto"/>
          <w:highlight w:val="none"/>
        </w:rPr>
      </w:pPr>
    </w:p>
    <w:p w14:paraId="0226C1A0">
      <w:pPr>
        <w:spacing w:before="0" w:after="0" w:afterAutospacing="0"/>
        <w:ind w:left="0" w:leftChars="0" w:right="0" w:firstLine="0" w:firstLineChars="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color w:val="auto"/>
          <w:sz w:val="21"/>
          <w:szCs w:val="21"/>
          <w:highlight w:val="none"/>
          <w:lang w:eastAsia="zh-CN"/>
        </w:rPr>
        <w:t>比选申请人自</w:t>
      </w:r>
      <w:r>
        <w:rPr>
          <w:rFonts w:hint="eastAsia" w:ascii="宋体" w:hAnsi="宋体"/>
          <w:color w:val="auto"/>
          <w:highlight w:val="none"/>
        </w:rPr>
        <w:t>202</w:t>
      </w:r>
      <w:r>
        <w:rPr>
          <w:rFonts w:hint="eastAsia" w:ascii="宋体" w:hAnsi="宋体"/>
          <w:color w:val="auto"/>
          <w:highlight w:val="none"/>
          <w:lang w:val="en-US" w:eastAsia="zh-CN"/>
        </w:rPr>
        <w:t>1</w:t>
      </w:r>
      <w:r>
        <w:rPr>
          <w:rFonts w:hint="eastAsia" w:ascii="宋体" w:hAnsi="宋体"/>
          <w:color w:val="auto"/>
          <w:highlight w:val="none"/>
        </w:rPr>
        <w:t>年1月1日至今承接过</w:t>
      </w:r>
      <w:r>
        <w:rPr>
          <w:rFonts w:hint="eastAsia" w:ascii="宋体" w:hAnsi="宋体"/>
          <w:color w:val="auto"/>
          <w:highlight w:val="none"/>
          <w:lang w:eastAsia="zh-CN"/>
        </w:rPr>
        <w:t>1个单项合同金额20万</w:t>
      </w:r>
      <w:r>
        <w:rPr>
          <w:rFonts w:hint="eastAsia" w:ascii="宋体" w:hAnsi="宋体"/>
          <w:color w:val="auto"/>
          <w:highlight w:val="none"/>
        </w:rPr>
        <w:t>以上（含</w:t>
      </w:r>
      <w:r>
        <w:rPr>
          <w:rFonts w:hint="eastAsia" w:ascii="宋体" w:hAnsi="宋体"/>
          <w:color w:val="auto"/>
          <w:highlight w:val="none"/>
          <w:lang w:val="en-US" w:eastAsia="zh-CN"/>
        </w:rPr>
        <w:t>20</w:t>
      </w:r>
      <w:r>
        <w:rPr>
          <w:rFonts w:hint="eastAsia" w:ascii="宋体" w:hAnsi="宋体"/>
          <w:color w:val="auto"/>
          <w:highlight w:val="none"/>
        </w:rPr>
        <w:t>万）</w:t>
      </w:r>
      <w:r>
        <w:rPr>
          <w:rFonts w:hint="eastAsia" w:ascii="宋体" w:hAnsi="宋体"/>
          <w:color w:val="auto"/>
          <w:highlight w:val="none"/>
          <w:lang w:val="en-US" w:eastAsia="zh-CN"/>
        </w:rPr>
        <w:t>勘察</w:t>
      </w:r>
      <w:r>
        <w:rPr>
          <w:rFonts w:hint="eastAsia" w:ascii="宋体" w:hAnsi="宋体"/>
          <w:color w:val="auto"/>
          <w:highlight w:val="none"/>
        </w:rPr>
        <w:t>服务项目</w:t>
      </w:r>
      <w:r>
        <w:rPr>
          <w:rFonts w:hint="eastAsia" w:ascii="宋体" w:hAnsi="宋体"/>
          <w:color w:val="auto"/>
          <w:highlight w:val="none"/>
          <w:lang w:eastAsia="zh-CN"/>
        </w:rPr>
        <w:t>。</w:t>
      </w:r>
    </w:p>
    <w:p w14:paraId="1EC6D0CA">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212D7FE2">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比选申请人须提供相应的业绩证明材料：提供下述材料之一即可：①合同文件；②中标通知书。所提供的材料须能明确反映类似项目特征，复印件加盖比选申请人公章。</w:t>
      </w:r>
    </w:p>
    <w:p w14:paraId="46AF4580">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6000F0F1">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50C1E91D">
      <w:pPr>
        <w:pStyle w:val="19"/>
        <w:rPr>
          <w:rFonts w:hint="eastAsia"/>
          <w:color w:val="auto"/>
          <w:highlight w:val="none"/>
        </w:rPr>
      </w:pPr>
    </w:p>
    <w:p w14:paraId="6AA404DF">
      <w:pPr>
        <w:pStyle w:val="5"/>
        <w:ind w:left="0" w:leftChars="0" w:firstLine="0" w:firstLineChars="0"/>
        <w:rPr>
          <w:color w:val="auto"/>
          <w:szCs w:val="24"/>
          <w:highlight w:val="none"/>
          <w:u w:val="single"/>
        </w:rPr>
      </w:pPr>
    </w:p>
    <w:p w14:paraId="017F3ED0">
      <w:pPr>
        <w:pStyle w:val="19"/>
        <w:pageBreakBefore/>
        <w:ind w:right="-57" w:firstLine="0"/>
        <w:jc w:val="center"/>
        <w:outlineLvl w:val="0"/>
        <w:rPr>
          <w:rStyle w:val="58"/>
          <w:rFonts w:ascii="宋体" w:hAnsi="宋体" w:eastAsia="宋体"/>
          <w:color w:val="auto"/>
          <w:highlight w:val="none"/>
        </w:rPr>
      </w:pPr>
      <w:bookmarkStart w:id="1482" w:name="_Toc1104"/>
      <w:bookmarkStart w:id="1483" w:name="_Toc1777"/>
      <w:bookmarkStart w:id="1484" w:name="_Toc531"/>
      <w:bookmarkStart w:id="1485" w:name="_Toc3174"/>
      <w:bookmarkStart w:id="1486" w:name="_Toc6090"/>
      <w:bookmarkStart w:id="1487" w:name="_Toc3551"/>
      <w:bookmarkStart w:id="1488" w:name="_Toc17186"/>
      <w:bookmarkStart w:id="1489" w:name="_Toc4284"/>
      <w:bookmarkStart w:id="1490" w:name="_Toc26286"/>
      <w:bookmarkStart w:id="1491" w:name="_Toc25908"/>
      <w:bookmarkStart w:id="1492" w:name="_Toc14104"/>
      <w:bookmarkStart w:id="1493" w:name="_Toc5008"/>
      <w:bookmarkStart w:id="1494" w:name="_Toc22547"/>
      <w:bookmarkStart w:id="1495" w:name="_Toc147"/>
      <w:bookmarkStart w:id="1496" w:name="_Toc16905"/>
      <w:bookmarkStart w:id="1497" w:name="_Toc9329"/>
      <w:bookmarkStart w:id="1498" w:name="_Toc14738"/>
      <w:bookmarkStart w:id="1499" w:name="_Toc21231"/>
      <w:bookmarkStart w:id="1500" w:name="_Toc32004"/>
      <w:bookmarkStart w:id="1501" w:name="_Toc22407"/>
      <w:bookmarkStart w:id="1502" w:name="_Toc32680"/>
      <w:r>
        <w:rPr>
          <w:rStyle w:val="58"/>
          <w:rFonts w:hint="eastAsia" w:ascii="宋体" w:hAnsi="宋体" w:eastAsia="宋体"/>
          <w:color w:val="auto"/>
          <w:highlight w:val="none"/>
        </w:rPr>
        <w:t>第</w:t>
      </w:r>
      <w:r>
        <w:rPr>
          <w:rStyle w:val="58"/>
          <w:rFonts w:hint="eastAsia" w:hAnsi="宋体"/>
          <w:color w:val="auto"/>
          <w:highlight w:val="none"/>
          <w:lang w:val="en-US" w:eastAsia="zh-CN"/>
        </w:rPr>
        <w:t>六</w:t>
      </w:r>
      <w:r>
        <w:rPr>
          <w:rStyle w:val="58"/>
          <w:rFonts w:hint="eastAsia" w:ascii="宋体" w:hAnsi="宋体" w:eastAsia="宋体"/>
          <w:color w:val="auto"/>
          <w:highlight w:val="none"/>
        </w:rPr>
        <w:t>章评分办法</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6411681">
      <w:pPr>
        <w:spacing w:before="0" w:after="0" w:afterAutospacing="0"/>
        <w:ind w:left="0" w:right="0" w:firstLine="562" w:firstLineChars="200"/>
        <w:outlineLvl w:val="1"/>
        <w:rPr>
          <w:rFonts w:ascii="宋体" w:hAnsi="宋体" w:cs="Arial"/>
          <w:b/>
          <w:bCs/>
          <w:color w:val="auto"/>
          <w:sz w:val="28"/>
          <w:szCs w:val="28"/>
          <w:highlight w:val="none"/>
        </w:rPr>
      </w:pPr>
      <w:bookmarkStart w:id="1503" w:name="_Toc114134684"/>
      <w:r>
        <w:rPr>
          <w:rFonts w:hint="eastAsia" w:ascii="宋体" w:hAnsi="宋体" w:cs="Arial"/>
          <w:b/>
          <w:bCs/>
          <w:color w:val="auto"/>
          <w:sz w:val="28"/>
          <w:szCs w:val="28"/>
          <w:highlight w:val="none"/>
        </w:rPr>
        <w:t>一、评审原则</w:t>
      </w:r>
      <w:bookmarkEnd w:id="1503"/>
    </w:p>
    <w:p w14:paraId="0CD1F02E">
      <w:pPr>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1.1</w:t>
      </w:r>
      <w:r>
        <w:rPr>
          <w:rFonts w:hint="eastAsia" w:ascii="宋体" w:hAnsi="宋体" w:cs="Arial"/>
          <w:bCs/>
          <w:color w:val="auto"/>
          <w:highlight w:val="none"/>
        </w:rPr>
        <w:t>评审委员会成员构成：本项目由</w:t>
      </w:r>
      <w:r>
        <w:rPr>
          <w:rFonts w:hint="eastAsia" w:ascii="宋体" w:hAnsi="宋体"/>
          <w:color w:val="auto"/>
          <w:highlight w:val="none"/>
          <w:lang w:eastAsia="zh-CN"/>
        </w:rPr>
        <w:t>南宁兴邕城市更新有限责任公司</w:t>
      </w:r>
      <w:r>
        <w:rPr>
          <w:rFonts w:hint="eastAsia" w:ascii="宋体" w:hAnsi="宋体" w:cs="Arial"/>
          <w:bCs/>
          <w:color w:val="auto"/>
          <w:highlight w:val="none"/>
          <w:lang w:val="en-US" w:eastAsia="zh-CN"/>
        </w:rPr>
        <w:t>3</w:t>
      </w:r>
      <w:r>
        <w:rPr>
          <w:rFonts w:hint="eastAsia" w:ascii="宋体" w:hAnsi="宋体" w:cs="Arial"/>
          <w:bCs/>
          <w:color w:val="auto"/>
          <w:highlight w:val="none"/>
        </w:rPr>
        <w:t>人及以上单数组成评审小组，对比选申请文件按评审标准进行评审。</w:t>
      </w:r>
    </w:p>
    <w:p w14:paraId="3CDB5C45">
      <w:pPr>
        <w:spacing w:before="0" w:after="0" w:afterAutospacing="0"/>
        <w:ind w:left="0" w:right="0" w:firstLine="420" w:firstLineChars="200"/>
        <w:rPr>
          <w:rFonts w:ascii="宋体" w:hAnsi="宋体" w:cs="Arial"/>
          <w:color w:val="auto"/>
          <w:highlight w:val="none"/>
        </w:rPr>
      </w:pPr>
      <w:r>
        <w:rPr>
          <w:rFonts w:ascii="宋体" w:hAnsi="宋体" w:cs="Arial"/>
          <w:color w:val="auto"/>
          <w:highlight w:val="none"/>
        </w:rPr>
        <w:t>1.2</w:t>
      </w:r>
      <w:r>
        <w:rPr>
          <w:rFonts w:hint="eastAsia" w:ascii="宋体" w:hAnsi="宋体" w:cs="Arial"/>
          <w:bCs/>
          <w:color w:val="auto"/>
          <w:highlight w:val="none"/>
        </w:rPr>
        <w:t>评审依据：评审委员会以比选文件、比选申请文件为评审依据。</w:t>
      </w:r>
    </w:p>
    <w:p w14:paraId="7785D66F">
      <w:pPr>
        <w:spacing w:before="0" w:after="0" w:afterAutospacing="0"/>
        <w:ind w:left="0" w:right="0" w:firstLine="420" w:firstLineChars="200"/>
        <w:rPr>
          <w:rFonts w:ascii="宋体" w:hAnsi="宋体" w:cs="Arial"/>
          <w:bCs/>
          <w:color w:val="auto"/>
          <w:highlight w:val="none"/>
        </w:rPr>
      </w:pPr>
      <w:r>
        <w:rPr>
          <w:rFonts w:ascii="宋体" w:hAnsi="宋体" w:cs="Arial"/>
          <w:color w:val="auto"/>
          <w:highlight w:val="none"/>
        </w:rPr>
        <w:t>1.3</w:t>
      </w:r>
      <w:r>
        <w:rPr>
          <w:rFonts w:hint="eastAsia" w:ascii="宋体" w:hAnsi="宋体" w:cs="Arial"/>
          <w:bCs/>
          <w:color w:val="auto"/>
          <w:highlight w:val="none"/>
        </w:rPr>
        <w:t>评审方式：以封闭方式进行。</w:t>
      </w:r>
    </w:p>
    <w:p w14:paraId="6B84F35F">
      <w:pPr>
        <w:spacing w:before="0" w:after="0" w:afterAutospacing="0"/>
        <w:ind w:left="0" w:right="0" w:firstLine="562" w:firstLineChars="200"/>
        <w:outlineLvl w:val="1"/>
        <w:rPr>
          <w:rFonts w:ascii="宋体" w:hAnsi="宋体" w:cs="Arial"/>
          <w:b/>
          <w:bCs/>
          <w:color w:val="auto"/>
          <w:sz w:val="28"/>
          <w:szCs w:val="28"/>
          <w:highlight w:val="none"/>
        </w:rPr>
      </w:pPr>
      <w:bookmarkStart w:id="1504" w:name="_Toc11240"/>
      <w:bookmarkStart w:id="1505" w:name="_Toc29000"/>
      <w:bookmarkStart w:id="1506" w:name="_Toc15880"/>
      <w:bookmarkStart w:id="1507" w:name="_Toc5136"/>
      <w:bookmarkStart w:id="1508" w:name="_Toc114134685"/>
      <w:bookmarkStart w:id="1509" w:name="_Toc478566177"/>
      <w:r>
        <w:rPr>
          <w:rFonts w:hint="eastAsia" w:ascii="宋体" w:hAnsi="宋体" w:cs="Arial"/>
          <w:b/>
          <w:bCs/>
          <w:color w:val="auto"/>
          <w:sz w:val="28"/>
          <w:szCs w:val="28"/>
          <w:highlight w:val="none"/>
        </w:rPr>
        <w:t>二、评定方法</w:t>
      </w:r>
      <w:bookmarkEnd w:id="1504"/>
      <w:bookmarkEnd w:id="1505"/>
      <w:bookmarkEnd w:id="1506"/>
      <w:bookmarkEnd w:id="1507"/>
      <w:bookmarkEnd w:id="1508"/>
      <w:bookmarkEnd w:id="1509"/>
    </w:p>
    <w:p w14:paraId="05FA76E6">
      <w:pPr>
        <w:spacing w:before="0" w:after="0" w:afterAutospacing="0"/>
        <w:ind w:left="0" w:right="0" w:firstLine="420" w:firstLineChars="200"/>
        <w:outlineLvl w:val="1"/>
        <w:rPr>
          <w:rFonts w:ascii="宋体" w:hAnsi="宋体" w:cs="Arial"/>
          <w:color w:val="auto"/>
          <w:highlight w:val="none"/>
        </w:rPr>
      </w:pPr>
      <w:bookmarkStart w:id="1510" w:name="_Toc114134686"/>
      <w:r>
        <w:rPr>
          <w:rFonts w:hint="eastAsia" w:ascii="宋体" w:hAnsi="宋体" w:cs="Arial"/>
          <w:color w:val="auto"/>
          <w:highlight w:val="none"/>
        </w:rPr>
        <w:t>2.1对资格性和符合性检查合格的比选申请文件，进入技术、商务评审采用综合评分法进行评审。</w:t>
      </w:r>
      <w:r>
        <w:rPr>
          <w:rFonts w:hint="eastAsia"/>
          <w:color w:val="auto"/>
          <w:highlight w:val="none"/>
        </w:rPr>
        <w:t>满分</w:t>
      </w:r>
      <w:r>
        <w:rPr>
          <w:color w:val="auto"/>
          <w:highlight w:val="none"/>
        </w:rPr>
        <w:t>100</w:t>
      </w:r>
      <w:r>
        <w:rPr>
          <w:rFonts w:hint="eastAsia"/>
          <w:color w:val="auto"/>
          <w:highlight w:val="none"/>
        </w:rPr>
        <w:t>分，其中</w:t>
      </w:r>
      <w:r>
        <w:rPr>
          <w:rFonts w:hint="eastAsia"/>
          <w:b/>
          <w:color w:val="auto"/>
          <w:highlight w:val="none"/>
        </w:rPr>
        <w:t>技术得分</w:t>
      </w:r>
      <w:r>
        <w:rPr>
          <w:rFonts w:hint="eastAsia"/>
          <w:b/>
          <w:color w:val="auto"/>
          <w:highlight w:val="none"/>
          <w:u w:val="single"/>
          <w:lang w:val="en-US" w:eastAsia="zh-CN"/>
        </w:rPr>
        <w:t>60</w:t>
      </w:r>
      <w:r>
        <w:rPr>
          <w:rFonts w:hint="eastAsia"/>
          <w:b/>
          <w:color w:val="auto"/>
          <w:highlight w:val="none"/>
        </w:rPr>
        <w:t>分，价格得分</w:t>
      </w:r>
      <w:r>
        <w:rPr>
          <w:rFonts w:hint="eastAsia"/>
          <w:b/>
          <w:color w:val="auto"/>
          <w:highlight w:val="none"/>
          <w:u w:val="single"/>
          <w:lang w:val="en-US" w:eastAsia="zh-CN"/>
        </w:rPr>
        <w:t>40</w:t>
      </w:r>
      <w:r>
        <w:rPr>
          <w:rFonts w:hint="eastAsia"/>
          <w:b/>
          <w:color w:val="auto"/>
          <w:highlight w:val="none"/>
        </w:rPr>
        <w:t>分。</w:t>
      </w:r>
      <w:bookmarkEnd w:id="1510"/>
    </w:p>
    <w:p w14:paraId="5786368D">
      <w:pPr>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2.2评审委员会将依照本比选文件相关要求，对照比选申请文件的应答进行比较，并对各比选申请文件的技术、商务内容进行评审打分。</w:t>
      </w:r>
    </w:p>
    <w:p w14:paraId="2464B8F7">
      <w:pPr>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38EEB76F">
      <w:pPr>
        <w:spacing w:before="0" w:after="0" w:afterAutospacing="0"/>
        <w:ind w:left="0" w:right="0" w:firstLine="420" w:firstLineChars="200"/>
        <w:rPr>
          <w:rFonts w:ascii="宋体" w:hAnsi="宋体" w:cs="Arial"/>
          <w:color w:val="auto"/>
          <w:highlight w:val="none"/>
        </w:rPr>
      </w:pPr>
      <w:r>
        <w:rPr>
          <w:rFonts w:hint="eastAsia" w:ascii="宋体" w:hAnsi="宋体" w:cs="Arial"/>
          <w:color w:val="auto"/>
          <w:highlight w:val="none"/>
        </w:rPr>
        <w:t>2.4总分=技术得分+价格得分。各项指标的分数计算四舍五入，取小数点后两位。计算比选申请人综合评分，并按照总分（综合得分）由高到低的顺序提出</w:t>
      </w:r>
      <w:r>
        <w:rPr>
          <w:rFonts w:ascii="宋体" w:hAnsi="宋体" w:cs="Arial"/>
          <w:color w:val="auto"/>
          <w:highlight w:val="none"/>
        </w:rPr>
        <w:t>1-</w:t>
      </w:r>
      <w:r>
        <w:rPr>
          <w:rFonts w:hint="eastAsia" w:ascii="宋体" w:hAnsi="宋体" w:cs="Arial"/>
          <w:color w:val="auto"/>
          <w:highlight w:val="none"/>
        </w:rPr>
        <w:t>3名中选候选人，并编写评审报告。</w:t>
      </w:r>
    </w:p>
    <w:p w14:paraId="00EEECA1">
      <w:pPr>
        <w:spacing w:before="0" w:after="0" w:afterAutospacing="0"/>
        <w:ind w:left="0" w:right="0" w:firstLine="562" w:firstLineChars="200"/>
        <w:outlineLvl w:val="1"/>
        <w:rPr>
          <w:rFonts w:ascii="宋体" w:hAnsi="宋体" w:cs="Arial"/>
          <w:b/>
          <w:bCs/>
          <w:color w:val="auto"/>
          <w:sz w:val="28"/>
          <w:szCs w:val="28"/>
          <w:highlight w:val="none"/>
        </w:rPr>
      </w:pPr>
      <w:bookmarkStart w:id="1511" w:name="_Toc114134687"/>
      <w:r>
        <w:rPr>
          <w:rFonts w:hint="eastAsia" w:ascii="宋体" w:hAnsi="宋体" w:cs="Arial"/>
          <w:b/>
          <w:bCs/>
          <w:color w:val="auto"/>
          <w:sz w:val="28"/>
          <w:szCs w:val="28"/>
          <w:highlight w:val="none"/>
        </w:rPr>
        <w:t>三、评审流程</w:t>
      </w:r>
      <w:bookmarkEnd w:id="1511"/>
    </w:p>
    <w:p w14:paraId="72332ABC">
      <w:pPr>
        <w:tabs>
          <w:tab w:val="left" w:pos="567"/>
        </w:tabs>
        <w:spacing w:before="0" w:after="0" w:afterAutospacing="0"/>
        <w:ind w:left="422" w:right="0" w:firstLine="0"/>
        <w:rPr>
          <w:rFonts w:ascii="宋体" w:hAnsi="宋体"/>
          <w:b/>
          <w:color w:val="auto"/>
          <w:highlight w:val="none"/>
        </w:rPr>
      </w:pPr>
      <w:r>
        <w:rPr>
          <w:rFonts w:hint="eastAsia" w:ascii="宋体" w:hAnsi="宋体"/>
          <w:b/>
          <w:color w:val="auto"/>
          <w:highlight w:val="none"/>
        </w:rPr>
        <w:t>3.1资格审查</w:t>
      </w:r>
    </w:p>
    <w:p w14:paraId="2DFB0BF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资格审查采用定性评审法，审查比选申请人是否符合法律、法规、规章及比选文件对企业资质、业绩和其他强制性标准，是否处于正常的经营状况等情况。</w:t>
      </w:r>
    </w:p>
    <w:p w14:paraId="20A7E3F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在本阶段不符合任何一项资格评审标准的比选申请人将被比选人拒绝，不得进入下一阶段的评审。评审标准详见附表一《资格审查表》。</w:t>
      </w:r>
    </w:p>
    <w:p w14:paraId="0002A4A7">
      <w:pPr>
        <w:tabs>
          <w:tab w:val="left" w:pos="567"/>
        </w:tabs>
        <w:spacing w:before="0" w:after="0" w:afterAutospacing="0"/>
        <w:ind w:left="422" w:right="0" w:firstLine="0"/>
        <w:rPr>
          <w:rFonts w:ascii="宋体" w:hAnsi="宋体"/>
          <w:b/>
          <w:color w:val="auto"/>
          <w:highlight w:val="none"/>
        </w:rPr>
      </w:pPr>
      <w:r>
        <w:rPr>
          <w:rFonts w:hint="eastAsia" w:ascii="宋体" w:hAnsi="宋体"/>
          <w:b/>
          <w:color w:val="auto"/>
          <w:highlight w:val="none"/>
        </w:rPr>
        <w:t>3.2初步评审</w:t>
      </w:r>
    </w:p>
    <w:p w14:paraId="523410FC">
      <w:pPr>
        <w:tabs>
          <w:tab w:val="left" w:pos="851"/>
        </w:tabs>
        <w:spacing w:before="0" w:after="0" w:afterAutospacing="0"/>
        <w:ind w:left="0" w:right="0" w:firstLine="420" w:firstLineChars="200"/>
        <w:rPr>
          <w:rFonts w:hAnsi="宋体"/>
          <w:color w:val="auto"/>
          <w:highlight w:val="none"/>
        </w:rPr>
      </w:pPr>
      <w:r>
        <w:rPr>
          <w:rFonts w:hint="eastAsia" w:hAnsi="宋体"/>
          <w:color w:val="auto"/>
          <w:highlight w:val="none"/>
        </w:rPr>
        <w:t>（1）评审委员会将对比选申请文件的实质性内容进行初步评审，判定其内容是否真实、完整，是否满足比选文件要求并在实质性内容上予以响应。</w:t>
      </w:r>
    </w:p>
    <w:p w14:paraId="6D401248">
      <w:pPr>
        <w:tabs>
          <w:tab w:val="left" w:pos="851"/>
        </w:tabs>
        <w:spacing w:before="0" w:after="0" w:afterAutospacing="0"/>
        <w:ind w:left="0" w:right="0" w:firstLine="420" w:firstLineChars="200"/>
        <w:rPr>
          <w:rFonts w:hAnsi="宋体"/>
          <w:color w:val="auto"/>
          <w:highlight w:val="none"/>
        </w:rPr>
      </w:pPr>
      <w:r>
        <w:rPr>
          <w:rFonts w:hint="eastAsia" w:hAnsi="宋体"/>
          <w:color w:val="auto"/>
          <w:highlight w:val="none"/>
        </w:rPr>
        <w:t>（2）如果比选申请文件实质性不响应比选文件的要求和条件的，评审委员会将判定为重大偏差并作否决比选申请处理，并且不允许比选申请人通过修正或撤销其不符要求的差异或保留，使之成为具有响应性的比选申请文件。</w:t>
      </w:r>
    </w:p>
    <w:p w14:paraId="3EF8CD3A">
      <w:pPr>
        <w:tabs>
          <w:tab w:val="left" w:pos="851"/>
        </w:tabs>
        <w:spacing w:before="0" w:after="0" w:afterAutospacing="0"/>
        <w:ind w:left="0" w:right="0" w:firstLine="420" w:firstLineChars="200"/>
        <w:rPr>
          <w:rFonts w:ascii="宋体" w:hAnsi="宋体"/>
          <w:color w:val="auto"/>
          <w:highlight w:val="none"/>
        </w:rPr>
      </w:pPr>
      <w:r>
        <w:rPr>
          <w:rFonts w:hint="eastAsia" w:hAnsi="宋体"/>
          <w:color w:val="auto"/>
          <w:highlight w:val="none"/>
        </w:rPr>
        <w:t>（3）</w:t>
      </w:r>
      <w:r>
        <w:rPr>
          <w:color w:val="auto"/>
          <w:highlight w:val="none"/>
        </w:rPr>
        <w:t>评审委员会</w:t>
      </w:r>
      <w:r>
        <w:rPr>
          <w:rFonts w:hAnsi="宋体"/>
          <w:color w:val="auto"/>
          <w:highlight w:val="none"/>
        </w:rPr>
        <w:t>根据</w:t>
      </w:r>
      <w:r>
        <w:rPr>
          <w:rFonts w:hint="eastAsia" w:hAnsi="宋体"/>
          <w:color w:val="auto"/>
          <w:highlight w:val="none"/>
        </w:rPr>
        <w:t>比选</w:t>
      </w:r>
      <w:r>
        <w:rPr>
          <w:rFonts w:hAnsi="宋体"/>
          <w:color w:val="auto"/>
          <w:highlight w:val="none"/>
        </w:rPr>
        <w:t>文件的要求对</w:t>
      </w:r>
      <w:r>
        <w:rPr>
          <w:rFonts w:hint="eastAsia" w:hAnsi="宋体"/>
          <w:color w:val="auto"/>
          <w:highlight w:val="none"/>
        </w:rPr>
        <w:t>比选申请</w:t>
      </w:r>
      <w:r>
        <w:rPr>
          <w:rFonts w:hAnsi="宋体"/>
          <w:color w:val="auto"/>
          <w:highlight w:val="none"/>
        </w:rPr>
        <w:t>人进行</w:t>
      </w:r>
      <w:r>
        <w:rPr>
          <w:rFonts w:hint="eastAsia" w:hAnsi="宋体"/>
          <w:color w:val="auto"/>
          <w:highlight w:val="none"/>
        </w:rPr>
        <w:t>符合性</w:t>
      </w:r>
      <w:r>
        <w:rPr>
          <w:rFonts w:hAnsi="宋体"/>
          <w:color w:val="auto"/>
          <w:highlight w:val="none"/>
        </w:rPr>
        <w:t>评审，未通过</w:t>
      </w:r>
      <w:r>
        <w:rPr>
          <w:rFonts w:hint="eastAsia" w:hAnsi="宋体"/>
          <w:color w:val="auto"/>
          <w:highlight w:val="none"/>
        </w:rPr>
        <w:t>符合性</w:t>
      </w:r>
      <w:r>
        <w:rPr>
          <w:rFonts w:hAnsi="宋体"/>
          <w:color w:val="auto"/>
          <w:highlight w:val="none"/>
        </w:rPr>
        <w:t>评审的</w:t>
      </w:r>
      <w:r>
        <w:rPr>
          <w:rFonts w:hint="eastAsia" w:hAnsi="宋体"/>
          <w:color w:val="auto"/>
          <w:highlight w:val="none"/>
        </w:rPr>
        <w:t>比选申请</w:t>
      </w:r>
      <w:r>
        <w:rPr>
          <w:rFonts w:hAnsi="宋体"/>
          <w:color w:val="auto"/>
          <w:highlight w:val="none"/>
        </w:rPr>
        <w:t>人不得进入下一阶段的评审。评审</w:t>
      </w:r>
      <w:r>
        <w:rPr>
          <w:rFonts w:hint="eastAsia" w:hAnsi="宋体"/>
          <w:color w:val="auto"/>
          <w:highlight w:val="none"/>
        </w:rPr>
        <w:t>标准</w:t>
      </w:r>
      <w:r>
        <w:rPr>
          <w:rFonts w:hAnsi="宋体"/>
          <w:color w:val="auto"/>
          <w:highlight w:val="none"/>
        </w:rPr>
        <w:t>见附表二《</w:t>
      </w:r>
      <w:r>
        <w:rPr>
          <w:rFonts w:hint="eastAsia" w:hAnsi="宋体"/>
          <w:color w:val="auto"/>
          <w:highlight w:val="none"/>
        </w:rPr>
        <w:t>符合性</w:t>
      </w:r>
      <w:r>
        <w:rPr>
          <w:rFonts w:hAnsi="宋体"/>
          <w:color w:val="auto"/>
          <w:highlight w:val="none"/>
        </w:rPr>
        <w:t>评审表》。</w:t>
      </w:r>
    </w:p>
    <w:p w14:paraId="42F9A376">
      <w:pPr>
        <w:tabs>
          <w:tab w:val="left" w:pos="851"/>
          <w:tab w:val="left" w:pos="1134"/>
        </w:tabs>
        <w:spacing w:before="0" w:after="0" w:afterAutospacing="0"/>
        <w:ind w:left="422" w:right="0" w:firstLine="0"/>
        <w:rPr>
          <w:rFonts w:ascii="宋体" w:hAnsi="宋体"/>
          <w:b/>
          <w:color w:val="auto"/>
          <w:highlight w:val="none"/>
        </w:rPr>
      </w:pPr>
      <w:r>
        <w:rPr>
          <w:rFonts w:hint="eastAsia" w:ascii="宋体" w:hAnsi="宋体"/>
          <w:b/>
          <w:color w:val="auto"/>
          <w:highlight w:val="none"/>
        </w:rPr>
        <w:t>3.3详细评审</w:t>
      </w:r>
    </w:p>
    <w:p w14:paraId="7324AE0B">
      <w:pPr>
        <w:tabs>
          <w:tab w:val="left" w:pos="851"/>
        </w:tabs>
        <w:spacing w:before="0" w:after="0" w:afterAutospacing="0"/>
        <w:ind w:left="0" w:right="0" w:firstLine="420" w:firstLineChars="200"/>
        <w:rPr>
          <w:rFonts w:hAnsi="宋体"/>
          <w:color w:val="auto"/>
          <w:highlight w:val="none"/>
        </w:rPr>
      </w:pPr>
      <w:r>
        <w:rPr>
          <w:rFonts w:hAnsi="宋体"/>
          <w:color w:val="auto"/>
          <w:highlight w:val="none"/>
        </w:rPr>
        <w:t>3.3.1</w:t>
      </w:r>
      <w:r>
        <w:rPr>
          <w:color w:val="auto"/>
          <w:highlight w:val="none"/>
        </w:rPr>
        <w:t>评审委员会</w:t>
      </w:r>
      <w:r>
        <w:rPr>
          <w:rFonts w:hint="eastAsia"/>
          <w:color w:val="auto"/>
          <w:highlight w:val="none"/>
        </w:rPr>
        <w:t>对通过初步评审的投标文件的技术文件进行详细评审</w:t>
      </w:r>
      <w:r>
        <w:rPr>
          <w:rFonts w:hint="eastAsia" w:hAnsi="宋体"/>
          <w:color w:val="auto"/>
          <w:highlight w:val="none"/>
        </w:rPr>
        <w:t>。</w:t>
      </w:r>
    </w:p>
    <w:p w14:paraId="7DA0D0E7">
      <w:pPr>
        <w:spacing w:before="0" w:after="0" w:afterAutospacing="0"/>
        <w:ind w:left="0" w:right="0" w:firstLine="420" w:firstLineChars="200"/>
        <w:rPr>
          <w:rFonts w:ascii="宋体" w:hAnsi="宋体"/>
          <w:color w:val="auto"/>
          <w:highlight w:val="none"/>
        </w:rPr>
      </w:pPr>
      <w:r>
        <w:rPr>
          <w:color w:val="auto"/>
          <w:highlight w:val="none"/>
        </w:rPr>
        <w:t>评审委员会</w:t>
      </w:r>
      <w:r>
        <w:rPr>
          <w:rFonts w:hint="eastAsia"/>
          <w:color w:val="auto"/>
          <w:highlight w:val="none"/>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6B71E14A">
      <w:pPr>
        <w:tabs>
          <w:tab w:val="left" w:pos="851"/>
          <w:tab w:val="left" w:pos="1134"/>
        </w:tabs>
        <w:spacing w:before="0" w:after="0" w:afterAutospacing="0"/>
        <w:ind w:left="422" w:right="0" w:firstLine="0"/>
        <w:rPr>
          <w:rFonts w:hAnsi="宋体"/>
          <w:color w:val="auto"/>
          <w:highlight w:val="none"/>
        </w:rPr>
      </w:pPr>
      <w:r>
        <w:rPr>
          <w:rFonts w:hAnsi="宋体"/>
          <w:color w:val="auto"/>
          <w:highlight w:val="none"/>
        </w:rPr>
        <w:t>3.3.</w:t>
      </w:r>
      <w:r>
        <w:rPr>
          <w:rFonts w:hint="eastAsia" w:hAnsi="宋体"/>
          <w:color w:val="auto"/>
          <w:highlight w:val="none"/>
        </w:rPr>
        <w:t>2价格评审</w:t>
      </w:r>
    </w:p>
    <w:p w14:paraId="08D0D1ED">
      <w:pPr>
        <w:tabs>
          <w:tab w:val="left" w:pos="851"/>
          <w:tab w:val="left" w:pos="1134"/>
        </w:tabs>
        <w:spacing w:before="0" w:after="0" w:afterAutospacing="0"/>
        <w:ind w:left="938" w:leftChars="211" w:right="0" w:hanging="495" w:hangingChars="236"/>
        <w:jc w:val="left"/>
        <w:rPr>
          <w:color w:val="auto"/>
          <w:highlight w:val="none"/>
        </w:rPr>
      </w:pPr>
      <w:r>
        <w:rPr>
          <w:rFonts w:hint="eastAsia"/>
          <w:color w:val="auto"/>
          <w:highlight w:val="none"/>
        </w:rPr>
        <w:t>3.3.2.1</w:t>
      </w:r>
      <w:r>
        <w:rPr>
          <w:color w:val="auto"/>
          <w:highlight w:val="none"/>
        </w:rPr>
        <w:t>评审委员会</w:t>
      </w:r>
      <w:r>
        <w:rPr>
          <w:rFonts w:hint="eastAsia"/>
          <w:color w:val="auto"/>
          <w:highlight w:val="none"/>
        </w:rPr>
        <w:t>对通过初步评审的投标文件的报价文件进行详细评审。</w:t>
      </w:r>
    </w:p>
    <w:p w14:paraId="644E047F">
      <w:pPr>
        <w:tabs>
          <w:tab w:val="left" w:pos="851"/>
          <w:tab w:val="left" w:pos="1134"/>
        </w:tabs>
        <w:spacing w:before="0" w:after="0" w:afterAutospacing="0"/>
        <w:ind w:left="0" w:right="0" w:firstLine="420" w:firstLineChars="200"/>
        <w:jc w:val="left"/>
        <w:rPr>
          <w:color w:val="auto"/>
          <w:highlight w:val="none"/>
        </w:rPr>
      </w:pPr>
      <w:r>
        <w:rPr>
          <w:rFonts w:hint="eastAsia"/>
          <w:color w:val="auto"/>
          <w:highlight w:val="none"/>
        </w:rPr>
        <w:t>3.3.2.2投标报价有算术错误的，评标委员会按以下原则对投标报价进行修正，修正的价格经比选申请人书面确认后具有约束力。比选申请人不接受修正价格的，其投标作否决投标处理：</w:t>
      </w:r>
    </w:p>
    <w:p w14:paraId="6866C8A0">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 xml:space="preserve"> (1）比选申请</w:t>
      </w:r>
      <w:r>
        <w:rPr>
          <w:rFonts w:hint="eastAsia" w:cs="宋体"/>
          <w:color w:val="auto"/>
          <w:highlight w:val="none"/>
        </w:rPr>
        <w:t>文件中的大写金额与小写金额不一致的，以大写金额为准；</w:t>
      </w:r>
    </w:p>
    <w:p w14:paraId="4CD4179B">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（2）</w:t>
      </w:r>
      <w:r>
        <w:rPr>
          <w:rFonts w:hint="eastAsia" w:cs="宋体"/>
          <w:color w:val="auto"/>
          <w:highlight w:val="none"/>
        </w:rPr>
        <w:t>总价金额与依据单价计算出的结果不一致的，以单价金额为准修正总价，但单价金额小数点有明显错误的除外；</w:t>
      </w:r>
    </w:p>
    <w:p w14:paraId="262CF2C6">
      <w:pPr>
        <w:tabs>
          <w:tab w:val="left" w:pos="851"/>
          <w:tab w:val="left" w:pos="1134"/>
        </w:tabs>
        <w:spacing w:before="0" w:after="0" w:afterAutospacing="0"/>
        <w:ind w:left="105" w:leftChars="50" w:right="0" w:firstLine="210" w:firstLineChars="100"/>
        <w:jc w:val="left"/>
        <w:rPr>
          <w:color w:val="auto"/>
          <w:highlight w:val="none"/>
        </w:rPr>
      </w:pPr>
      <w:r>
        <w:rPr>
          <w:rFonts w:hint="eastAsia" w:cs="宋体"/>
          <w:color w:val="auto"/>
          <w:highlight w:val="none"/>
        </w:rPr>
        <w:t>(3)</w:t>
      </w:r>
      <w:r>
        <w:rPr>
          <w:rFonts w:hint="eastAsia"/>
          <w:color w:val="auto"/>
          <w:highlight w:val="none"/>
        </w:rPr>
        <w:t xml:space="preserve"> 修正后的最终比选申请报价超过上限控制价的比选申请文件作否决投标处理。修正后的分项报价超过分项控制价的比选申请文件作否决投标处理。如项目设有综合单价控制价的，修正后的综合单价超过综合单价控制价的比选申请文件作否决投标处理；</w:t>
      </w:r>
    </w:p>
    <w:p w14:paraId="70D1BDFC">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（4）若</w:t>
      </w:r>
      <w:r>
        <w:rPr>
          <w:color w:val="auto"/>
          <w:highlight w:val="none"/>
        </w:rPr>
        <w:t>修正后的总价</w:t>
      </w:r>
      <w:r>
        <w:rPr>
          <w:rFonts w:hint="eastAsia"/>
          <w:color w:val="auto"/>
          <w:highlight w:val="none"/>
        </w:rPr>
        <w:t>与</w:t>
      </w:r>
      <w:r>
        <w:rPr>
          <w:color w:val="auto"/>
          <w:highlight w:val="none"/>
        </w:rPr>
        <w:t>投标报价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如比选申请人不接受按以上规则确定的评标总价和中标价，则其投标将被拒绝。</w:t>
      </w:r>
    </w:p>
    <w:p w14:paraId="61E29D6C">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s="宋体"/>
          <w:color w:val="auto"/>
          <w:highlight w:val="none"/>
        </w:rPr>
        <w:t>3.3.3.3</w:t>
      </w:r>
      <w:r>
        <w:rPr>
          <w:rFonts w:hint="eastAsia"/>
          <w:color w:val="auto"/>
          <w:highlight w:val="none"/>
        </w:rPr>
        <w:t>出现下列情况的比选申请文件将予以否决：</w:t>
      </w:r>
    </w:p>
    <w:p w14:paraId="71C3ACFA">
      <w:pPr>
        <w:tabs>
          <w:tab w:val="left" w:pos="851"/>
          <w:tab w:val="left" w:pos="1134"/>
        </w:tabs>
        <w:spacing w:before="0" w:after="0" w:afterAutospacing="0"/>
        <w:ind w:left="105" w:leftChars="50" w:right="0" w:firstLine="105" w:firstLineChars="50"/>
        <w:jc w:val="left"/>
        <w:rPr>
          <w:bCs/>
          <w:color w:val="auto"/>
          <w:highlight w:val="none"/>
        </w:rPr>
      </w:pPr>
      <w:r>
        <w:rPr>
          <w:rFonts w:hint="eastAsia"/>
          <w:color w:val="auto"/>
          <w:highlight w:val="none"/>
        </w:rPr>
        <w:t>（1）</w:t>
      </w:r>
      <w:r>
        <w:rPr>
          <w:color w:val="auto"/>
          <w:highlight w:val="none"/>
        </w:rPr>
        <w:t>评审委员会</w:t>
      </w:r>
      <w:r>
        <w:rPr>
          <w:rFonts w:hint="eastAsia"/>
          <w:bCs/>
          <w:color w:val="auto"/>
          <w:highlight w:val="none"/>
        </w:rPr>
        <w:t>发现比选申请人的报价明显低于其他比选申请报价，使得其投标报价可能低于其个别成本的，应当要求该比选申请人作出书面说明并提供相应的证明材料。比选申请人不能合理说明或者不能提供相应证明材料的，</w:t>
      </w:r>
      <w:r>
        <w:rPr>
          <w:color w:val="auto"/>
          <w:highlight w:val="none"/>
        </w:rPr>
        <w:t>评审</w:t>
      </w:r>
      <w:r>
        <w:rPr>
          <w:rFonts w:hint="eastAsia"/>
          <w:bCs/>
          <w:color w:val="auto"/>
          <w:highlight w:val="none"/>
        </w:rPr>
        <w:t>委员会应当认定该比选申请人以低于成本报价投标，否决其投标。</w:t>
      </w:r>
    </w:p>
    <w:p w14:paraId="5B025A49">
      <w:pPr>
        <w:tabs>
          <w:tab w:val="left" w:pos="851"/>
          <w:tab w:val="left" w:pos="1134"/>
        </w:tabs>
        <w:spacing w:before="0" w:after="0" w:afterAutospacing="0"/>
        <w:ind w:left="105" w:leftChars="50" w:right="0" w:firstLine="105" w:firstLineChars="50"/>
        <w:jc w:val="left"/>
        <w:rPr>
          <w:b/>
          <w:bCs/>
          <w:color w:val="auto"/>
          <w:highlight w:val="none"/>
        </w:rPr>
      </w:pPr>
      <w:r>
        <w:rPr>
          <w:rFonts w:hint="eastAsia"/>
          <w:bCs/>
          <w:color w:val="auto"/>
          <w:highlight w:val="none"/>
        </w:rPr>
        <w:t>（2）</w:t>
      </w:r>
      <w:bookmarkStart w:id="1512" w:name="_Hlk36511445"/>
      <w:r>
        <w:rPr>
          <w:rFonts w:hint="eastAsia"/>
          <w:b/>
          <w:bCs/>
          <w:color w:val="auto"/>
          <w:highlight w:val="none"/>
        </w:rPr>
        <w:t>投标报价清单如有漏项的投标文件，将予以否决。</w:t>
      </w:r>
      <w:bookmarkEnd w:id="1512"/>
    </w:p>
    <w:p w14:paraId="700CC10D">
      <w:pPr>
        <w:tabs>
          <w:tab w:val="left" w:pos="851"/>
          <w:tab w:val="left" w:pos="1134"/>
        </w:tabs>
        <w:spacing w:before="0" w:after="0" w:afterAutospacing="0"/>
        <w:ind w:left="105" w:leftChars="50" w:right="0" w:firstLine="105" w:firstLineChars="50"/>
        <w:jc w:val="left"/>
        <w:rPr>
          <w:color w:val="auto"/>
          <w:highlight w:val="none"/>
        </w:rPr>
      </w:pPr>
      <w:r>
        <w:rPr>
          <w:rFonts w:hint="eastAsia"/>
          <w:bCs/>
          <w:color w:val="auto"/>
          <w:highlight w:val="none"/>
        </w:rPr>
        <w:t>3.3.2.4</w:t>
      </w:r>
      <w:r>
        <w:rPr>
          <w:color w:val="auto"/>
          <w:highlight w:val="none"/>
        </w:rPr>
        <w:t>评审委员会</w:t>
      </w:r>
      <w:r>
        <w:rPr>
          <w:rFonts w:hint="eastAsia"/>
          <w:color w:val="auto"/>
          <w:highlight w:val="none"/>
        </w:rPr>
        <w:t>按照附表四《比选报价评分表》规定的量化因素和分值，对各比选申请人的投标报价评审，并计算出价格得分（得分出现小数点，保留小数点后二位，第三位小数四舍五入）。</w:t>
      </w:r>
    </w:p>
    <w:p w14:paraId="63A68C93">
      <w:pPr>
        <w:tabs>
          <w:tab w:val="left" w:pos="567"/>
        </w:tabs>
        <w:spacing w:before="0" w:after="0" w:afterAutospacing="0"/>
        <w:ind w:left="422" w:right="0" w:firstLine="0"/>
        <w:rPr>
          <w:rFonts w:ascii="宋体" w:hAnsi="宋体"/>
          <w:b/>
          <w:color w:val="auto"/>
          <w:highlight w:val="none"/>
        </w:rPr>
      </w:pPr>
      <w:r>
        <w:rPr>
          <w:rFonts w:hint="eastAsia" w:ascii="宋体" w:hAnsi="宋体"/>
          <w:b/>
          <w:color w:val="auto"/>
          <w:highlight w:val="none"/>
        </w:rPr>
        <w:t>3.4</w:t>
      </w:r>
      <w:r>
        <w:rPr>
          <w:rFonts w:ascii="宋体" w:hAnsi="宋体"/>
          <w:b/>
          <w:color w:val="auto"/>
          <w:highlight w:val="none"/>
        </w:rPr>
        <w:t>澄清或补正</w:t>
      </w:r>
    </w:p>
    <w:p w14:paraId="594CD046">
      <w:pPr>
        <w:tabs>
          <w:tab w:val="left" w:pos="851"/>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3.4.1在评审阶段，评审委员会认为必要时，可书面通知比选申请人要求其澄清或补正比选申请文件中的问题，或者要求其补充某些资料。对此，比选申请人不得拒绝。</w:t>
      </w:r>
    </w:p>
    <w:p w14:paraId="36BBD567">
      <w:pPr>
        <w:tabs>
          <w:tab w:val="left" w:pos="851"/>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3.4.2</w:t>
      </w:r>
      <w:r>
        <w:rPr>
          <w:rFonts w:ascii="宋体" w:hAnsi="宋体"/>
          <w:color w:val="auto"/>
          <w:highlight w:val="none"/>
        </w:rPr>
        <w:t>比选申请人须以书面形式提供澄清或补正文件，经评审委员会确认方可作为比选申请文件的组成部分。</w:t>
      </w:r>
    </w:p>
    <w:p w14:paraId="1DD11D04">
      <w:pPr>
        <w:tabs>
          <w:tab w:val="left" w:pos="851"/>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3.4.3</w:t>
      </w:r>
      <w:r>
        <w:rPr>
          <w:rFonts w:ascii="宋体" w:hAnsi="宋体"/>
          <w:color w:val="auto"/>
          <w:highlight w:val="none"/>
        </w:rPr>
        <w:t>比选申请人能够合理说明或提供有效证明资料的，评审委员会将予以采信，取消该疑问事项及对应的比选申请报价偏差；不能合理说明或者不能提供有效证明材料的，评审委员会将不予采信，该疑问事项及对应的比选申请报价偏差将确认成立，但其比选申请总价保持不变。</w:t>
      </w:r>
    </w:p>
    <w:p w14:paraId="2782BBD0">
      <w:pPr>
        <w:tabs>
          <w:tab w:val="left" w:pos="851"/>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3.4.4</w:t>
      </w:r>
      <w:r>
        <w:rPr>
          <w:rFonts w:ascii="宋体" w:hAnsi="宋体"/>
          <w:color w:val="auto"/>
          <w:highlight w:val="none"/>
        </w:rPr>
        <w:t>如果评审委员会对比选申请人提交的澄清、说明或补正依然存有疑问，可以对比选申请人进一步质疑。比选申请人应当相应地进一步澄清、说明或补正，直至评审委员会认为全部质疑得到解答。</w:t>
      </w:r>
    </w:p>
    <w:p w14:paraId="5465E07D">
      <w:pPr>
        <w:tabs>
          <w:tab w:val="left" w:pos="851"/>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3.4.5</w:t>
      </w:r>
      <w:r>
        <w:rPr>
          <w:rFonts w:ascii="宋体" w:hAnsi="宋体"/>
          <w:color w:val="auto"/>
          <w:highlight w:val="none"/>
        </w:rPr>
        <w:t>比选申请人不得借澄清或补正问题的机会，与比选人及评审委员会私下接触或对原比选申请价和内容提出修改，但在评审中进行的初步修正，则不在此列。比选人不接受比选申请人主动提出的对比选申请文件的澄清或补正。</w:t>
      </w:r>
    </w:p>
    <w:p w14:paraId="5076244F">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3.5</w:t>
      </w:r>
      <w:r>
        <w:rPr>
          <w:rFonts w:ascii="宋体" w:hAnsi="宋体"/>
          <w:b/>
          <w:color w:val="auto"/>
          <w:highlight w:val="none"/>
        </w:rPr>
        <w:t>评审报告</w:t>
      </w:r>
    </w:p>
    <w:p w14:paraId="77CC43EC">
      <w:pPr>
        <w:tabs>
          <w:tab w:val="left" w:pos="993"/>
          <w:tab w:val="left" w:pos="1134"/>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评审委员会应根据评审情况和结果，向比选人提交评审报告。评审报告由评审委员会成员起草，按少数服从多数的原则通过。评审委员会全体成员应在评审报告上签字确认，评审专家如有保留意见可以在评审报告中阐明</w:t>
      </w:r>
      <w:r>
        <w:rPr>
          <w:rFonts w:ascii="宋体" w:hAnsi="宋体"/>
          <w:color w:val="auto"/>
          <w:highlight w:val="none"/>
        </w:rPr>
        <w:t>。</w:t>
      </w:r>
    </w:p>
    <w:p w14:paraId="2F6F02CF">
      <w:pPr>
        <w:tabs>
          <w:tab w:val="left" w:pos="851"/>
          <w:tab w:val="left" w:pos="993"/>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）评审委员会根据</w:t>
      </w:r>
      <w:r>
        <w:rPr>
          <w:rFonts w:hint="eastAsia" w:cs="宋体"/>
          <w:color w:val="auto"/>
          <w:highlight w:val="none"/>
        </w:rPr>
        <w:t>综合评分由高到低顺序推荐中选候选人。综合评分相同时，则技术得分较高的排名靠前；如技术得分也相同，则价格得分较高的排名靠前；如价格得分也相同，</w:t>
      </w:r>
      <w:bookmarkStart w:id="1513" w:name="_Hlk31877730"/>
      <w:r>
        <w:rPr>
          <w:rFonts w:hint="eastAsia" w:cs="宋体"/>
          <w:color w:val="auto"/>
          <w:highlight w:val="none"/>
        </w:rPr>
        <w:t>则由评审委员会采用记名投票方式确定</w:t>
      </w:r>
      <w:bookmarkEnd w:id="1513"/>
      <w:r>
        <w:rPr>
          <w:rFonts w:hint="eastAsia" w:ascii="宋体" w:hAnsi="宋体"/>
          <w:color w:val="auto"/>
          <w:highlight w:val="none"/>
        </w:rPr>
        <w:t>其排名顺序。</w:t>
      </w:r>
    </w:p>
    <w:p w14:paraId="20E2EA97">
      <w:pPr>
        <w:spacing w:before="0" w:after="0" w:afterAutospacing="0"/>
        <w:ind w:left="0" w:right="0" w:firstLine="422" w:firstLineChars="200"/>
        <w:rPr>
          <w:rFonts w:ascii="宋体" w:hAnsi="宋体"/>
          <w:b/>
          <w:color w:val="auto"/>
          <w:highlight w:val="none"/>
        </w:rPr>
      </w:pPr>
      <w:r>
        <w:rPr>
          <w:rFonts w:hint="eastAsia" w:ascii="宋体" w:hAnsi="宋体"/>
          <w:b/>
          <w:color w:val="auto"/>
          <w:highlight w:val="none"/>
        </w:rPr>
        <w:t>3.6</w:t>
      </w:r>
      <w:r>
        <w:rPr>
          <w:rFonts w:ascii="宋体" w:hAnsi="宋体"/>
          <w:b/>
          <w:color w:val="auto"/>
          <w:highlight w:val="none"/>
        </w:rPr>
        <w:t>否决比选申请条件</w:t>
      </w:r>
    </w:p>
    <w:p w14:paraId="0938B954">
      <w:pPr>
        <w:spacing w:before="0" w:after="0" w:afterAutospacing="0"/>
        <w:ind w:left="0" w:right="0" w:firstLine="420" w:firstLineChars="200"/>
        <w:rPr>
          <w:rFonts w:ascii="宋体" w:hAnsi="宋体"/>
          <w:color w:val="auto"/>
          <w:highlight w:val="none"/>
        </w:rPr>
      </w:pPr>
      <w:r>
        <w:rPr>
          <w:rFonts w:ascii="宋体" w:hAnsi="宋体"/>
          <w:color w:val="auto"/>
          <w:highlight w:val="none"/>
        </w:rPr>
        <w:t>比选申请文件有下列情形之一的，评审委员会应按否决比选申请处理：</w:t>
      </w:r>
    </w:p>
    <w:p w14:paraId="2AC50BCF">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（1）不符合附表一《资格审查表》规定的；</w:t>
      </w:r>
    </w:p>
    <w:p w14:paraId="0515D737">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（2）不符合附表二《符合性评审表》规定的；</w:t>
      </w:r>
    </w:p>
    <w:p w14:paraId="566BB977">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（3）法定代表人未按规定出具授权委托书的(采用委托代理人形式的)；</w:t>
      </w:r>
    </w:p>
    <w:p w14:paraId="29467FBF">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（4）在比选申请文件中有虚假文件和/或资料的；</w:t>
      </w:r>
    </w:p>
    <w:p w14:paraId="50781050">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（5）比选申请文件中附有比选人不能接受的条件；</w:t>
      </w:r>
    </w:p>
    <w:p w14:paraId="1460E6A1">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（6）比选申请文件实质上不响应比选文件的要求的；</w:t>
      </w:r>
    </w:p>
    <w:p w14:paraId="45947CC6">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 xml:space="preserve">（7）比选申请人以经评审委员会评审认定为低于成本的报价竞标； </w:t>
      </w:r>
    </w:p>
    <w:p w14:paraId="071BFE67">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（8）比选申请人扰乱会场秩序，经劝阻仍然无理取闹的；</w:t>
      </w:r>
    </w:p>
    <w:p w14:paraId="3341E9E7">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（9）比选申请人未能按照评审委员会要求，对其比选申请文件进行澄清、说明和补正的；</w:t>
      </w:r>
    </w:p>
    <w:p w14:paraId="09FF6FE7">
      <w:pPr>
        <w:tabs>
          <w:tab w:val="left" w:pos="1276"/>
        </w:tabs>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（10）比选申请人以他人的名义比选申请、串通比选申请、以行贿手段谋取中选或者以其他弄虚作假方式比选申请的。</w:t>
      </w:r>
    </w:p>
    <w:p w14:paraId="3C06962E">
      <w:pPr>
        <w:tabs>
          <w:tab w:val="left" w:pos="1276"/>
        </w:tabs>
        <w:spacing w:before="0" w:after="0"/>
        <w:ind w:left="420" w:right="0" w:firstLine="0"/>
        <w:jc w:val="left"/>
        <w:rPr>
          <w:rFonts w:ascii="宋体" w:hAnsi="宋体"/>
          <w:b/>
          <w:color w:val="auto"/>
          <w:highlight w:val="none"/>
        </w:rPr>
        <w:sectPr>
          <w:pgSz w:w="11905" w:h="16838"/>
          <w:pgMar w:top="1418" w:right="1418" w:bottom="1304" w:left="1418" w:header="454" w:footer="567" w:gutter="0"/>
          <w:cols w:space="720" w:num="1"/>
          <w:docGrid w:linePitch="312" w:charSpace="0"/>
        </w:sectPr>
      </w:pPr>
    </w:p>
    <w:p w14:paraId="2EC40D70">
      <w:pPr>
        <w:pStyle w:val="2"/>
        <w:spacing w:after="0" w:line="360" w:lineRule="auto"/>
        <w:ind w:right="-57" w:firstLine="0"/>
        <w:rPr>
          <w:color w:val="auto"/>
          <w:sz w:val="21"/>
          <w:szCs w:val="21"/>
          <w:highlight w:val="none"/>
        </w:rPr>
      </w:pPr>
      <w:bookmarkStart w:id="1514" w:name="_Toc492478849"/>
      <w:bookmarkStart w:id="1515" w:name="_Toc434"/>
      <w:bookmarkStart w:id="1516" w:name="_Toc25197"/>
      <w:bookmarkStart w:id="1517" w:name="_Toc9189"/>
      <w:bookmarkStart w:id="1518" w:name="_Toc29923"/>
      <w:bookmarkStart w:id="1519" w:name="_Toc18096"/>
      <w:bookmarkStart w:id="1520" w:name="_Toc28404"/>
      <w:bookmarkStart w:id="1521" w:name="_Toc15073"/>
      <w:bookmarkStart w:id="1522" w:name="_Toc23314"/>
      <w:bookmarkStart w:id="1523" w:name="_Toc9730"/>
      <w:bookmarkStart w:id="1524" w:name="_Toc114134688"/>
      <w:bookmarkStart w:id="1525" w:name="_Toc414290583"/>
      <w:bookmarkStart w:id="1526" w:name="_Toc19557"/>
      <w:bookmarkStart w:id="1527" w:name="_Toc25750694"/>
      <w:bookmarkStart w:id="1528" w:name="_Toc15224"/>
      <w:bookmarkStart w:id="1529" w:name="_Toc10968"/>
      <w:bookmarkStart w:id="1530" w:name="_Toc22464"/>
      <w:bookmarkStart w:id="1531" w:name="_Toc29245"/>
      <w:bookmarkStart w:id="1532" w:name="_Toc9588"/>
      <w:bookmarkStart w:id="1533" w:name="_Toc16364"/>
      <w:bookmarkStart w:id="1534" w:name="_Toc31611"/>
      <w:bookmarkStart w:id="1535" w:name="_Toc27271"/>
      <w:r>
        <w:rPr>
          <w:rFonts w:hint="eastAsia"/>
          <w:color w:val="auto"/>
          <w:sz w:val="21"/>
          <w:szCs w:val="21"/>
          <w:highlight w:val="none"/>
        </w:rPr>
        <w:t>附表一 资格审查表</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38D18F4">
      <w:pPr>
        <w:snapToGrid w:val="0"/>
        <w:spacing w:before="0" w:line="360" w:lineRule="exact"/>
        <w:ind w:left="420" w:right="24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资格审查表</w:t>
      </w:r>
    </w:p>
    <w:tbl>
      <w:tblPr>
        <w:tblStyle w:val="38"/>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14:paraId="093EAF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14:paraId="6D9E1830">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序号</w:t>
            </w:r>
          </w:p>
        </w:tc>
        <w:tc>
          <w:tcPr>
            <w:tcW w:w="741" w:type="dxa"/>
            <w:vAlign w:val="center"/>
          </w:tcPr>
          <w:p w14:paraId="2AD0B59F">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项目内容</w:t>
            </w:r>
          </w:p>
        </w:tc>
        <w:tc>
          <w:tcPr>
            <w:tcW w:w="3067" w:type="dxa"/>
            <w:vAlign w:val="center"/>
          </w:tcPr>
          <w:p w14:paraId="42ADD62B">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合格条件标准</w:t>
            </w:r>
          </w:p>
        </w:tc>
        <w:tc>
          <w:tcPr>
            <w:tcW w:w="1425" w:type="dxa"/>
            <w:vAlign w:val="center"/>
          </w:tcPr>
          <w:p w14:paraId="3149298E">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评审依据</w:t>
            </w:r>
          </w:p>
        </w:tc>
        <w:tc>
          <w:tcPr>
            <w:tcW w:w="1087" w:type="dxa"/>
            <w:vAlign w:val="center"/>
          </w:tcPr>
          <w:p w14:paraId="619A2035">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评审结果（合格</w:t>
            </w:r>
            <w:r>
              <w:rPr>
                <w:rFonts w:ascii="宋体" w:hAnsi="宋体"/>
                <w:color w:val="auto"/>
                <w:highlight w:val="none"/>
              </w:rPr>
              <w:t>/</w:t>
            </w:r>
            <w:r>
              <w:rPr>
                <w:rFonts w:hint="eastAsia" w:ascii="宋体" w:hAnsi="宋体"/>
                <w:color w:val="auto"/>
                <w:highlight w:val="none"/>
              </w:rPr>
              <w:t>不合格）</w:t>
            </w:r>
          </w:p>
        </w:tc>
        <w:tc>
          <w:tcPr>
            <w:tcW w:w="2503" w:type="dxa"/>
            <w:vAlign w:val="center"/>
          </w:tcPr>
          <w:p w14:paraId="3319A9F2">
            <w:pPr>
              <w:spacing w:before="0" w:after="0" w:afterAutospacing="0" w:line="240" w:lineRule="auto"/>
              <w:ind w:left="0" w:right="0" w:firstLine="0"/>
              <w:jc w:val="center"/>
              <w:rPr>
                <w:rFonts w:ascii="宋体" w:hAnsi="宋体"/>
                <w:color w:val="auto"/>
                <w:highlight w:val="none"/>
              </w:rPr>
            </w:pPr>
            <w:r>
              <w:rPr>
                <w:rFonts w:hint="eastAsia" w:ascii="宋体" w:hAnsi="宋体"/>
                <w:color w:val="auto"/>
                <w:highlight w:val="none"/>
              </w:rPr>
              <w:t>备注</w:t>
            </w:r>
          </w:p>
        </w:tc>
      </w:tr>
      <w:tr w14:paraId="04455ED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14:paraId="74C86D6A">
            <w:pPr>
              <w:spacing w:before="0" w:after="0" w:afterAutospacing="0"/>
              <w:ind w:left="0" w:right="0" w:firstLine="0"/>
              <w:rPr>
                <w:rFonts w:ascii="宋体" w:hAnsi="宋体"/>
                <w:color w:val="auto"/>
                <w:highlight w:val="none"/>
              </w:rPr>
            </w:pPr>
            <w:r>
              <w:rPr>
                <w:rFonts w:ascii="宋体" w:hAnsi="宋体"/>
                <w:color w:val="auto"/>
                <w:highlight w:val="none"/>
              </w:rPr>
              <w:t>1</w:t>
            </w:r>
          </w:p>
        </w:tc>
        <w:tc>
          <w:tcPr>
            <w:tcW w:w="741" w:type="dxa"/>
            <w:vAlign w:val="center"/>
          </w:tcPr>
          <w:p w14:paraId="2B9D698A">
            <w:pPr>
              <w:spacing w:before="0" w:after="0" w:afterAutospacing="0"/>
              <w:ind w:left="0" w:right="0" w:firstLine="0"/>
              <w:rPr>
                <w:rFonts w:ascii="宋体" w:hAnsi="宋体"/>
                <w:color w:val="auto"/>
                <w:highlight w:val="none"/>
              </w:rPr>
            </w:pPr>
            <w:r>
              <w:rPr>
                <w:rFonts w:hint="eastAsia" w:ascii="宋体" w:hAnsi="宋体"/>
                <w:color w:val="auto"/>
                <w:highlight w:val="none"/>
              </w:rPr>
              <w:t>身份</w:t>
            </w:r>
          </w:p>
          <w:p w14:paraId="657FE8C8">
            <w:pPr>
              <w:spacing w:before="0" w:after="0" w:afterAutospacing="0"/>
              <w:ind w:left="0" w:right="0" w:firstLine="0"/>
              <w:rPr>
                <w:rFonts w:ascii="宋体" w:hAnsi="宋体"/>
                <w:color w:val="auto"/>
                <w:highlight w:val="none"/>
              </w:rPr>
            </w:pPr>
            <w:r>
              <w:rPr>
                <w:rFonts w:hint="eastAsia" w:ascii="宋体" w:hAnsi="宋体"/>
                <w:color w:val="auto"/>
                <w:highlight w:val="none"/>
              </w:rPr>
              <w:t>证明</w:t>
            </w:r>
          </w:p>
          <w:p w14:paraId="36E845B4">
            <w:pPr>
              <w:spacing w:before="0" w:after="0" w:afterAutospacing="0"/>
              <w:ind w:left="0" w:right="0" w:firstLine="0"/>
              <w:rPr>
                <w:rFonts w:ascii="宋体" w:hAnsi="宋体"/>
                <w:color w:val="auto"/>
                <w:highlight w:val="none"/>
              </w:rPr>
            </w:pPr>
            <w:r>
              <w:rPr>
                <w:rFonts w:hint="eastAsia" w:ascii="宋体" w:hAnsi="宋体"/>
                <w:color w:val="auto"/>
                <w:highlight w:val="none"/>
              </w:rPr>
              <w:t>材料</w:t>
            </w:r>
          </w:p>
        </w:tc>
        <w:tc>
          <w:tcPr>
            <w:tcW w:w="3067" w:type="dxa"/>
            <w:vAlign w:val="center"/>
          </w:tcPr>
          <w:p w14:paraId="28F179E5">
            <w:pPr>
              <w:spacing w:before="0" w:after="0" w:afterAutospacing="0"/>
              <w:ind w:left="0" w:right="0" w:firstLine="0"/>
              <w:rPr>
                <w:rFonts w:ascii="宋体" w:hAnsi="宋体"/>
                <w:color w:val="auto"/>
                <w:highlight w:val="none"/>
              </w:rPr>
            </w:pPr>
            <w:r>
              <w:rPr>
                <w:rFonts w:hint="eastAsia" w:ascii="宋体" w:hAnsi="宋体"/>
                <w:color w:val="auto"/>
                <w:highlight w:val="none"/>
              </w:rPr>
              <w:t>法定代表人授权书及法定代表人资格证明书（如无授权时，只需提供法定代表人资格证明书）、法定代表人及被授权人身份证复印件。</w:t>
            </w:r>
          </w:p>
        </w:tc>
        <w:tc>
          <w:tcPr>
            <w:tcW w:w="1425" w:type="dxa"/>
            <w:vAlign w:val="center"/>
          </w:tcPr>
          <w:p w14:paraId="4C5FA868">
            <w:pPr>
              <w:spacing w:before="0" w:after="0" w:afterAutospacing="0"/>
              <w:ind w:left="0" w:right="0" w:firstLine="0"/>
              <w:rPr>
                <w:rFonts w:ascii="宋体" w:hAnsi="宋体"/>
                <w:color w:val="auto"/>
                <w:highlight w:val="none"/>
              </w:rPr>
            </w:pPr>
            <w:r>
              <w:rPr>
                <w:rFonts w:hint="eastAsia" w:ascii="宋体" w:hAnsi="宋体"/>
                <w:color w:val="auto"/>
                <w:highlight w:val="none"/>
              </w:rPr>
              <w:t>法定代表人授权书，法定代表人资格证明书和身份证复印件</w:t>
            </w:r>
          </w:p>
        </w:tc>
        <w:tc>
          <w:tcPr>
            <w:tcW w:w="1087" w:type="dxa"/>
            <w:vAlign w:val="center"/>
          </w:tcPr>
          <w:p w14:paraId="062462FF">
            <w:pPr>
              <w:spacing w:before="0" w:after="0" w:afterAutospacing="0"/>
              <w:ind w:left="0" w:right="0" w:firstLine="0"/>
              <w:rPr>
                <w:rFonts w:ascii="宋体" w:hAnsi="宋体"/>
                <w:color w:val="auto"/>
                <w:highlight w:val="none"/>
              </w:rPr>
            </w:pPr>
          </w:p>
        </w:tc>
        <w:tc>
          <w:tcPr>
            <w:tcW w:w="2503" w:type="dxa"/>
            <w:vAlign w:val="center"/>
          </w:tcPr>
          <w:p w14:paraId="654F4149">
            <w:pPr>
              <w:spacing w:before="0" w:after="0" w:afterAutospacing="0"/>
              <w:ind w:left="0" w:right="0" w:firstLine="0"/>
              <w:rPr>
                <w:rFonts w:ascii="宋体" w:hAnsi="宋体"/>
                <w:color w:val="auto"/>
                <w:highlight w:val="none"/>
              </w:rPr>
            </w:pPr>
            <w:r>
              <w:rPr>
                <w:rFonts w:hint="eastAsia" w:ascii="宋体" w:hAnsi="宋体"/>
                <w:color w:val="auto"/>
                <w:highlight w:val="none"/>
              </w:rPr>
              <w:t>提供法定代表人授权书及法定代表人资格证明书（如无授权时，只需提供法定代表人资格证明书），法人及被授权人身份证复印件加盖公章。</w:t>
            </w:r>
          </w:p>
        </w:tc>
      </w:tr>
      <w:tr w14:paraId="61CF35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2E762D23">
            <w:pPr>
              <w:spacing w:before="0" w:after="0" w:afterAutospacing="0"/>
              <w:ind w:left="0" w:right="0" w:firstLine="0"/>
              <w:rPr>
                <w:rFonts w:ascii="宋体" w:hAnsi="宋体"/>
                <w:color w:val="auto"/>
                <w:highlight w:val="none"/>
              </w:rPr>
            </w:pPr>
            <w:r>
              <w:rPr>
                <w:rFonts w:ascii="宋体" w:hAnsi="宋体"/>
                <w:color w:val="auto"/>
                <w:highlight w:val="none"/>
              </w:rPr>
              <w:t>2</w:t>
            </w:r>
          </w:p>
        </w:tc>
        <w:tc>
          <w:tcPr>
            <w:tcW w:w="741" w:type="dxa"/>
            <w:vAlign w:val="center"/>
          </w:tcPr>
          <w:p w14:paraId="7906CB9C">
            <w:pPr>
              <w:spacing w:before="0" w:after="0" w:afterAutospacing="0"/>
              <w:ind w:left="0" w:right="0" w:firstLine="0"/>
              <w:rPr>
                <w:rFonts w:ascii="宋体" w:hAnsi="宋体"/>
                <w:color w:val="auto"/>
                <w:highlight w:val="none"/>
              </w:rPr>
            </w:pPr>
            <w:r>
              <w:rPr>
                <w:rFonts w:hint="eastAsia" w:ascii="宋体" w:hAnsi="宋体"/>
                <w:color w:val="auto"/>
                <w:highlight w:val="none"/>
              </w:rPr>
              <w:t>比选</w:t>
            </w:r>
          </w:p>
          <w:p w14:paraId="0F2110DF">
            <w:pPr>
              <w:spacing w:before="0" w:after="0" w:afterAutospacing="0"/>
              <w:ind w:left="0" w:right="0" w:firstLine="0"/>
              <w:rPr>
                <w:rFonts w:ascii="宋体" w:hAnsi="宋体"/>
                <w:color w:val="auto"/>
                <w:highlight w:val="none"/>
              </w:rPr>
            </w:pPr>
            <w:r>
              <w:rPr>
                <w:rFonts w:hint="eastAsia" w:ascii="宋体" w:hAnsi="宋体"/>
                <w:color w:val="auto"/>
                <w:highlight w:val="none"/>
              </w:rPr>
              <w:t>申请人资格</w:t>
            </w:r>
          </w:p>
        </w:tc>
        <w:tc>
          <w:tcPr>
            <w:tcW w:w="3067" w:type="dxa"/>
            <w:vAlign w:val="center"/>
          </w:tcPr>
          <w:p w14:paraId="606E2B48">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比选申请人为中华人民共和国境内依法设立的法人或其他组织。</w:t>
            </w:r>
          </w:p>
        </w:tc>
        <w:tc>
          <w:tcPr>
            <w:tcW w:w="1425" w:type="dxa"/>
            <w:vAlign w:val="center"/>
          </w:tcPr>
          <w:p w14:paraId="2C8847DD">
            <w:pPr>
              <w:spacing w:before="0" w:after="0" w:afterAutospacing="0"/>
              <w:ind w:left="0" w:right="0" w:firstLine="0"/>
              <w:rPr>
                <w:rFonts w:ascii="宋体" w:hAnsi="宋体"/>
                <w:color w:val="auto"/>
                <w:highlight w:val="none"/>
              </w:rPr>
            </w:pPr>
            <w:r>
              <w:rPr>
                <w:rFonts w:hint="eastAsia" w:ascii="宋体" w:hAnsi="宋体"/>
                <w:color w:val="auto"/>
                <w:highlight w:val="none"/>
              </w:rPr>
              <w:t>营业执照副本或事业单位法人证书等证明文件复印件</w:t>
            </w:r>
          </w:p>
        </w:tc>
        <w:tc>
          <w:tcPr>
            <w:tcW w:w="1087" w:type="dxa"/>
            <w:vAlign w:val="center"/>
          </w:tcPr>
          <w:p w14:paraId="6186941D">
            <w:pPr>
              <w:spacing w:before="0" w:after="0" w:afterAutospacing="0"/>
              <w:ind w:left="0" w:right="0" w:firstLine="0"/>
              <w:rPr>
                <w:rFonts w:ascii="宋体" w:hAnsi="宋体"/>
                <w:color w:val="auto"/>
                <w:highlight w:val="none"/>
              </w:rPr>
            </w:pPr>
          </w:p>
        </w:tc>
        <w:tc>
          <w:tcPr>
            <w:tcW w:w="2503" w:type="dxa"/>
            <w:vAlign w:val="center"/>
          </w:tcPr>
          <w:p w14:paraId="73F7C138">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比选申请人有效的营业执照或事业单位法人证书复印件等证明文件，并加盖公章。</w:t>
            </w:r>
          </w:p>
        </w:tc>
      </w:tr>
      <w:tr w14:paraId="66D378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3ACC1E22">
            <w:pPr>
              <w:spacing w:before="0" w:after="0" w:afterAutospacing="0"/>
              <w:ind w:left="0" w:right="0" w:firstLine="0"/>
              <w:rPr>
                <w:rFonts w:hint="eastAsia" w:ascii="宋体" w:hAnsi="宋体" w:eastAsia="宋体"/>
                <w:color w:val="auto"/>
                <w:highlight w:val="none"/>
                <w:lang w:val="en-US" w:eastAsia="zh-CN"/>
              </w:rPr>
            </w:pPr>
            <w:r>
              <w:rPr>
                <w:rFonts w:hint="eastAsia" w:ascii="宋体" w:hAnsi="宋体"/>
                <w:color w:val="auto"/>
                <w:highlight w:val="none"/>
                <w:lang w:val="en-US" w:eastAsia="zh-CN"/>
              </w:rPr>
              <w:t>3</w:t>
            </w:r>
          </w:p>
        </w:tc>
        <w:tc>
          <w:tcPr>
            <w:tcW w:w="741" w:type="dxa"/>
            <w:vAlign w:val="center"/>
          </w:tcPr>
          <w:p w14:paraId="5EC71D8D">
            <w:pPr>
              <w:spacing w:before="0" w:after="0" w:afterAutospacing="0"/>
              <w:ind w:left="0" w:right="0" w:firstLine="0"/>
              <w:rPr>
                <w:rFonts w:hint="default" w:ascii="宋体" w:hAnsi="宋体" w:eastAsia="宋体"/>
                <w:color w:val="auto"/>
                <w:highlight w:val="none"/>
                <w:lang w:val="en-US" w:eastAsia="zh-CN"/>
              </w:rPr>
            </w:pPr>
            <w:r>
              <w:rPr>
                <w:rFonts w:hint="eastAsia" w:ascii="宋体" w:hAnsi="宋体"/>
                <w:color w:val="auto"/>
                <w:highlight w:val="none"/>
                <w:lang w:val="en-US" w:eastAsia="zh-CN"/>
              </w:rPr>
              <w:t>资质要求</w:t>
            </w:r>
          </w:p>
        </w:tc>
        <w:tc>
          <w:tcPr>
            <w:tcW w:w="3067" w:type="dxa"/>
            <w:vAlign w:val="center"/>
          </w:tcPr>
          <w:p w14:paraId="17954361">
            <w:pPr>
              <w:spacing w:before="0" w:after="0" w:afterAutospacing="0"/>
              <w:ind w:left="0" w:right="0" w:firstLine="0"/>
              <w:rPr>
                <w:rFonts w:hint="eastAsia" w:ascii="宋体" w:hAnsi="宋体"/>
                <w:color w:val="auto"/>
                <w:highlight w:val="yellow"/>
              </w:rPr>
            </w:pPr>
            <w:r>
              <w:rPr>
                <w:rFonts w:hint="eastAsia" w:ascii="宋体" w:hAnsi="宋体" w:cs="宋体"/>
                <w:bCs/>
                <w:color w:val="auto"/>
                <w:highlight w:val="none"/>
                <w:lang w:val="en-US" w:eastAsia="zh-CN"/>
              </w:rPr>
              <w:t>本次</w:t>
            </w:r>
            <w:r>
              <w:rPr>
                <w:rFonts w:hint="eastAsia" w:ascii="宋体" w:hAnsi="宋体" w:cs="宋体"/>
                <w:bCs/>
                <w:color w:val="auto"/>
                <w:highlight w:val="none"/>
              </w:rPr>
              <w:t>比选申请</w:t>
            </w:r>
            <w:r>
              <w:rPr>
                <w:rFonts w:hint="eastAsia" w:ascii="宋体" w:hAnsi="宋体" w:cs="宋体"/>
                <w:bCs/>
                <w:color w:val="auto"/>
                <w:highlight w:val="none"/>
                <w:lang w:val="zh-CN"/>
              </w:rPr>
              <w:t>人须具备建设主管部门颁发的以下资质之一：①工程勘察专业类（岩土工程勘察）甲级资质；②工程勘察专业类（岩土工程）甲级资质；③工程勘察综合类甲级资质。</w:t>
            </w:r>
          </w:p>
        </w:tc>
        <w:tc>
          <w:tcPr>
            <w:tcW w:w="1425" w:type="dxa"/>
            <w:vAlign w:val="center"/>
          </w:tcPr>
          <w:p w14:paraId="7EE594B7">
            <w:pPr>
              <w:spacing w:before="0" w:after="0" w:afterAutospacing="0"/>
              <w:ind w:left="0" w:right="0" w:firstLine="0"/>
              <w:rPr>
                <w:rFonts w:hint="eastAsia" w:ascii="宋体" w:hAnsi="宋体"/>
                <w:color w:val="auto"/>
                <w:highlight w:val="none"/>
              </w:rPr>
            </w:pPr>
            <w:r>
              <w:rPr>
                <w:rFonts w:hint="eastAsia" w:ascii="宋体" w:hAnsi="宋体"/>
                <w:color w:val="auto"/>
                <w:highlight w:val="none"/>
                <w:lang w:eastAsia="zh-CN"/>
              </w:rPr>
              <w:t>比选申请人</w:t>
            </w:r>
            <w:r>
              <w:rPr>
                <w:rFonts w:hint="eastAsia" w:ascii="宋体" w:hAnsi="宋体"/>
                <w:color w:val="auto"/>
                <w:highlight w:val="none"/>
                <w:lang w:val="en-US" w:eastAsia="zh-CN"/>
              </w:rPr>
              <w:t>的</w:t>
            </w:r>
            <w:bookmarkStart w:id="1536" w:name="OLE_LINK41"/>
            <w:r>
              <w:rPr>
                <w:rFonts w:hint="eastAsia" w:ascii="宋体" w:hAnsi="宋体"/>
                <w:color w:val="auto"/>
                <w:highlight w:val="none"/>
                <w:lang w:eastAsia="zh-CN"/>
              </w:rPr>
              <w:t>资质证书证明</w:t>
            </w:r>
            <w:bookmarkStart w:id="1537" w:name="OLE_LINK44"/>
            <w:r>
              <w:rPr>
                <w:rFonts w:hint="eastAsia" w:ascii="宋体" w:hAnsi="宋体"/>
                <w:color w:val="auto"/>
                <w:highlight w:val="none"/>
                <w:lang w:eastAsia="zh-CN"/>
              </w:rPr>
              <w:t>文件复印件</w:t>
            </w:r>
            <w:r>
              <w:rPr>
                <w:rFonts w:hint="eastAsia" w:ascii="宋体" w:hAnsi="宋体" w:cs="宋体"/>
                <w:bCs/>
                <w:color w:val="auto"/>
                <w:highlight w:val="none"/>
              </w:rPr>
              <w:t>（复印件加盖公章）</w:t>
            </w:r>
            <w:bookmarkEnd w:id="1536"/>
            <w:bookmarkEnd w:id="1537"/>
          </w:p>
        </w:tc>
        <w:tc>
          <w:tcPr>
            <w:tcW w:w="1087" w:type="dxa"/>
            <w:vAlign w:val="center"/>
          </w:tcPr>
          <w:p w14:paraId="7D99E3BA">
            <w:pPr>
              <w:spacing w:before="0" w:after="0" w:afterAutospacing="0"/>
              <w:ind w:left="0" w:right="0" w:firstLine="0"/>
              <w:rPr>
                <w:rFonts w:ascii="宋体" w:hAnsi="宋体"/>
                <w:color w:val="auto"/>
                <w:highlight w:val="none"/>
              </w:rPr>
            </w:pPr>
          </w:p>
        </w:tc>
        <w:tc>
          <w:tcPr>
            <w:tcW w:w="2503" w:type="dxa"/>
            <w:vAlign w:val="center"/>
          </w:tcPr>
          <w:p w14:paraId="67EA618F">
            <w:pPr>
              <w:spacing w:before="0" w:after="0" w:afterAutospacing="0"/>
              <w:ind w:left="0" w:right="0" w:firstLine="0"/>
              <w:rPr>
                <w:rFonts w:hint="eastAsia" w:ascii="宋体" w:hAnsi="宋体"/>
                <w:color w:val="auto"/>
                <w:highlight w:val="none"/>
              </w:rPr>
            </w:pPr>
            <w:bookmarkStart w:id="1538" w:name="OLE_LINK43"/>
            <w:r>
              <w:rPr>
                <w:rFonts w:hint="eastAsia" w:ascii="宋体" w:hAnsi="宋体"/>
                <w:color w:val="auto"/>
                <w:highlight w:val="none"/>
                <w:lang w:eastAsia="zh-CN"/>
              </w:rPr>
              <w:t>比选申请人</w:t>
            </w:r>
            <w:r>
              <w:rPr>
                <w:rFonts w:hint="eastAsia" w:ascii="宋体" w:hAnsi="宋体"/>
                <w:color w:val="auto"/>
                <w:highlight w:val="none"/>
                <w:lang w:val="en-US" w:eastAsia="zh-CN"/>
              </w:rPr>
              <w:t>有效的</w:t>
            </w:r>
            <w:r>
              <w:rPr>
                <w:rFonts w:hint="eastAsia" w:ascii="宋体" w:hAnsi="宋体"/>
                <w:color w:val="auto"/>
                <w:highlight w:val="none"/>
                <w:lang w:eastAsia="zh-CN"/>
              </w:rPr>
              <w:t>资质证书证明文件复印件，</w:t>
            </w:r>
            <w:r>
              <w:rPr>
                <w:rFonts w:hint="eastAsia" w:ascii="宋体" w:hAnsi="宋体"/>
                <w:color w:val="auto"/>
                <w:highlight w:val="none"/>
              </w:rPr>
              <w:t>并加盖公章。</w:t>
            </w:r>
            <w:bookmarkEnd w:id="1538"/>
          </w:p>
        </w:tc>
      </w:tr>
      <w:tr w14:paraId="2B14883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6DD6CC95">
            <w:pPr>
              <w:spacing w:before="0" w:after="0" w:afterAutospacing="0"/>
              <w:ind w:left="0" w:right="0" w:firstLine="0"/>
              <w:rPr>
                <w:rFonts w:hint="default" w:ascii="宋体" w:hAnsi="宋体"/>
                <w:color w:val="auto"/>
                <w:highlight w:val="none"/>
                <w:lang w:val="en-US" w:eastAsia="zh-CN"/>
              </w:rPr>
            </w:pPr>
            <w:r>
              <w:rPr>
                <w:rFonts w:hint="eastAsia" w:ascii="宋体" w:hAnsi="宋体"/>
                <w:color w:val="auto"/>
                <w:highlight w:val="none"/>
                <w:lang w:val="en-US" w:eastAsia="zh-CN"/>
              </w:rPr>
              <w:t>4</w:t>
            </w:r>
          </w:p>
        </w:tc>
        <w:tc>
          <w:tcPr>
            <w:tcW w:w="741" w:type="dxa"/>
            <w:vAlign w:val="center"/>
          </w:tcPr>
          <w:p w14:paraId="13FC5C37">
            <w:pPr>
              <w:spacing w:before="0" w:after="0" w:afterAutospacing="0"/>
              <w:ind w:left="0" w:right="0" w:firstLine="0"/>
              <w:rPr>
                <w:rFonts w:hint="default" w:ascii="宋体" w:hAnsi="宋体"/>
                <w:color w:val="auto"/>
                <w:highlight w:val="none"/>
                <w:lang w:val="en-US" w:eastAsia="zh-CN"/>
              </w:rPr>
            </w:pPr>
            <w:r>
              <w:rPr>
                <w:rFonts w:hint="eastAsia" w:ascii="宋体" w:hAnsi="宋体"/>
                <w:color w:val="auto"/>
                <w:highlight w:val="none"/>
                <w:lang w:val="en-US" w:eastAsia="zh-CN"/>
              </w:rPr>
              <w:t>人员要求</w:t>
            </w:r>
          </w:p>
        </w:tc>
        <w:tc>
          <w:tcPr>
            <w:tcW w:w="3067" w:type="dxa"/>
            <w:vAlign w:val="center"/>
          </w:tcPr>
          <w:p w14:paraId="72183BC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项目负责人具有注册土木工程师（岩土）执业资格</w:t>
            </w:r>
            <w:r>
              <w:rPr>
                <w:rFonts w:hint="eastAsia" w:ascii="宋体" w:hAnsi="宋体"/>
                <w:color w:val="auto"/>
                <w:highlight w:val="none"/>
                <w:lang w:eastAsia="zh-CN"/>
              </w:rPr>
              <w:t>。</w:t>
            </w:r>
          </w:p>
        </w:tc>
        <w:tc>
          <w:tcPr>
            <w:tcW w:w="1425" w:type="dxa"/>
            <w:vAlign w:val="center"/>
          </w:tcPr>
          <w:p w14:paraId="5EEAF9D1">
            <w:pPr>
              <w:spacing w:before="0" w:after="0" w:afterAutospacing="0"/>
              <w:ind w:left="0" w:right="0" w:firstLine="0"/>
              <w:rPr>
                <w:rFonts w:hint="eastAsia" w:ascii="宋体" w:hAnsi="宋体"/>
                <w:color w:val="auto"/>
                <w:highlight w:val="none"/>
                <w:lang w:eastAsia="zh-CN"/>
              </w:rPr>
            </w:pPr>
            <w:r>
              <w:rPr>
                <w:rFonts w:hint="eastAsia" w:ascii="宋体" w:hAnsi="宋体"/>
                <w:color w:val="auto"/>
                <w:highlight w:val="none"/>
              </w:rPr>
              <w:t>执业资格</w:t>
            </w:r>
            <w:r>
              <w:rPr>
                <w:rFonts w:hint="eastAsia" w:ascii="宋体" w:hAnsi="宋体"/>
                <w:color w:val="auto"/>
                <w:highlight w:val="none"/>
                <w:lang w:eastAsia="zh-CN"/>
              </w:rPr>
              <w:t>文件复印件</w:t>
            </w:r>
            <w:r>
              <w:rPr>
                <w:rFonts w:hint="eastAsia" w:ascii="宋体" w:hAnsi="宋体" w:cs="宋体"/>
                <w:bCs/>
                <w:color w:val="auto"/>
                <w:highlight w:val="none"/>
              </w:rPr>
              <w:t>（复印件加盖公章）</w:t>
            </w:r>
          </w:p>
        </w:tc>
        <w:tc>
          <w:tcPr>
            <w:tcW w:w="1087" w:type="dxa"/>
            <w:vAlign w:val="center"/>
          </w:tcPr>
          <w:p w14:paraId="7E19FE54">
            <w:pPr>
              <w:spacing w:before="0" w:after="0" w:afterAutospacing="0"/>
              <w:ind w:left="0" w:right="0" w:firstLine="0"/>
              <w:rPr>
                <w:rFonts w:ascii="宋体" w:hAnsi="宋体"/>
                <w:color w:val="auto"/>
                <w:highlight w:val="none"/>
              </w:rPr>
            </w:pPr>
          </w:p>
        </w:tc>
        <w:tc>
          <w:tcPr>
            <w:tcW w:w="2503" w:type="dxa"/>
            <w:vAlign w:val="center"/>
          </w:tcPr>
          <w:p w14:paraId="3E1A5AC2">
            <w:pPr>
              <w:spacing w:before="0" w:after="0" w:afterAutospacing="0"/>
              <w:ind w:left="0" w:right="0" w:firstLine="0"/>
              <w:rPr>
                <w:rFonts w:hint="eastAsia" w:ascii="宋体" w:hAnsi="宋体"/>
                <w:color w:val="auto"/>
                <w:highlight w:val="none"/>
                <w:lang w:eastAsia="zh-CN"/>
              </w:rPr>
            </w:pPr>
            <w:r>
              <w:rPr>
                <w:rFonts w:hint="eastAsia" w:ascii="宋体" w:hAnsi="宋体"/>
                <w:color w:val="auto"/>
                <w:highlight w:val="none"/>
                <w:lang w:eastAsia="zh-CN"/>
              </w:rPr>
              <w:t>比选申请人</w:t>
            </w:r>
            <w:r>
              <w:rPr>
                <w:rFonts w:hint="eastAsia" w:ascii="宋体" w:hAnsi="宋体"/>
                <w:color w:val="auto"/>
                <w:highlight w:val="none"/>
                <w:lang w:val="en-US" w:eastAsia="zh-CN"/>
              </w:rPr>
              <w:t>有效的</w:t>
            </w:r>
            <w:r>
              <w:rPr>
                <w:rFonts w:hint="eastAsia" w:ascii="宋体" w:hAnsi="宋体"/>
                <w:color w:val="auto"/>
                <w:highlight w:val="none"/>
                <w:lang w:eastAsia="zh-CN"/>
              </w:rPr>
              <w:t>资质证书证明文件复印件，</w:t>
            </w:r>
            <w:r>
              <w:rPr>
                <w:rFonts w:hint="eastAsia" w:ascii="宋体" w:hAnsi="宋体"/>
                <w:color w:val="auto"/>
                <w:highlight w:val="none"/>
              </w:rPr>
              <w:t>并加盖公章。</w:t>
            </w:r>
          </w:p>
        </w:tc>
      </w:tr>
      <w:tr w14:paraId="56D9B0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06DAF864">
            <w:pPr>
              <w:spacing w:before="0" w:after="0" w:afterAutospacing="0"/>
              <w:ind w:left="0" w:right="0" w:firstLine="0"/>
              <w:rPr>
                <w:rFonts w:hint="eastAsia" w:ascii="宋体" w:hAnsi="宋体" w:eastAsia="宋体"/>
                <w:color w:val="auto"/>
                <w:highlight w:val="none"/>
                <w:lang w:val="en-US" w:eastAsia="zh-CN"/>
              </w:rPr>
            </w:pPr>
            <w:r>
              <w:rPr>
                <w:rFonts w:hint="eastAsia" w:ascii="宋体" w:hAnsi="宋体"/>
                <w:color w:val="auto"/>
                <w:highlight w:val="none"/>
                <w:lang w:val="en-US" w:eastAsia="zh-CN"/>
              </w:rPr>
              <w:t>5</w:t>
            </w:r>
          </w:p>
        </w:tc>
        <w:tc>
          <w:tcPr>
            <w:tcW w:w="741" w:type="dxa"/>
            <w:vAlign w:val="center"/>
          </w:tcPr>
          <w:p w14:paraId="0C340EBA">
            <w:pPr>
              <w:spacing w:before="0" w:after="0" w:afterAutospacing="0"/>
              <w:ind w:left="0" w:right="0" w:firstLine="0"/>
              <w:rPr>
                <w:rFonts w:ascii="宋体" w:hAnsi="宋体"/>
                <w:color w:val="auto"/>
                <w:highlight w:val="none"/>
              </w:rPr>
            </w:pPr>
            <w:r>
              <w:rPr>
                <w:rFonts w:hint="eastAsia" w:ascii="宋体" w:hAnsi="宋体"/>
                <w:color w:val="auto"/>
                <w:highlight w:val="none"/>
              </w:rPr>
              <w:t>业绩</w:t>
            </w:r>
          </w:p>
          <w:p w14:paraId="64357CB8">
            <w:pPr>
              <w:spacing w:before="0" w:after="0" w:afterAutospacing="0"/>
              <w:ind w:left="0" w:right="0" w:firstLine="0"/>
              <w:rPr>
                <w:rFonts w:ascii="宋体" w:hAnsi="宋体"/>
                <w:color w:val="auto"/>
                <w:highlight w:val="none"/>
              </w:rPr>
            </w:pPr>
            <w:r>
              <w:rPr>
                <w:rFonts w:hint="eastAsia" w:ascii="宋体" w:hAnsi="宋体"/>
                <w:color w:val="auto"/>
                <w:highlight w:val="none"/>
              </w:rPr>
              <w:t>证明</w:t>
            </w:r>
          </w:p>
          <w:p w14:paraId="5C5FB60B">
            <w:pPr>
              <w:spacing w:before="0" w:after="0" w:afterAutospacing="0"/>
              <w:ind w:left="0" w:right="0" w:firstLine="0"/>
              <w:rPr>
                <w:rFonts w:ascii="宋体" w:hAnsi="宋体"/>
                <w:color w:val="auto"/>
                <w:highlight w:val="none"/>
              </w:rPr>
            </w:pPr>
          </w:p>
        </w:tc>
        <w:tc>
          <w:tcPr>
            <w:tcW w:w="3067" w:type="dxa"/>
            <w:vAlign w:val="center"/>
          </w:tcPr>
          <w:p w14:paraId="424C7FE1">
            <w:pPr>
              <w:spacing w:before="0" w:after="0" w:afterAutospacing="0"/>
              <w:ind w:left="0" w:right="0" w:firstLine="0"/>
              <w:rPr>
                <w:rFonts w:ascii="宋体" w:hAnsi="宋体"/>
                <w:color w:val="auto"/>
                <w:highlight w:val="yellow"/>
              </w:rPr>
            </w:pPr>
            <w:r>
              <w:rPr>
                <w:rFonts w:hint="eastAsia"/>
                <w:color w:val="auto"/>
                <w:sz w:val="21"/>
                <w:szCs w:val="21"/>
                <w:highlight w:val="none"/>
                <w:lang w:eastAsia="zh-CN"/>
              </w:rPr>
              <w:t>比选申请人自</w:t>
            </w:r>
            <w:r>
              <w:rPr>
                <w:rFonts w:hint="eastAsia" w:ascii="宋体" w:hAnsi="宋体"/>
                <w:color w:val="auto"/>
                <w:highlight w:val="none"/>
              </w:rPr>
              <w:t>202</w:t>
            </w:r>
            <w:r>
              <w:rPr>
                <w:rFonts w:hint="eastAsia" w:ascii="宋体" w:hAnsi="宋体"/>
                <w:color w:val="auto"/>
                <w:highlight w:val="none"/>
                <w:lang w:val="en-US" w:eastAsia="zh-CN"/>
              </w:rPr>
              <w:t>1</w:t>
            </w:r>
            <w:r>
              <w:rPr>
                <w:rFonts w:hint="eastAsia" w:ascii="宋体" w:hAnsi="宋体"/>
                <w:color w:val="auto"/>
                <w:highlight w:val="none"/>
              </w:rPr>
              <w:t>年1月1日至今承接过</w:t>
            </w:r>
            <w:r>
              <w:rPr>
                <w:rFonts w:hint="eastAsia" w:ascii="宋体" w:hAnsi="宋体"/>
                <w:color w:val="auto"/>
                <w:highlight w:val="none"/>
                <w:lang w:eastAsia="zh-CN"/>
              </w:rPr>
              <w:t>1个单项合同金额20万</w:t>
            </w:r>
            <w:r>
              <w:rPr>
                <w:rFonts w:hint="eastAsia" w:ascii="宋体" w:hAnsi="宋体"/>
                <w:color w:val="auto"/>
                <w:highlight w:val="none"/>
              </w:rPr>
              <w:t>以上（含</w:t>
            </w:r>
            <w:r>
              <w:rPr>
                <w:rFonts w:hint="eastAsia" w:ascii="宋体" w:hAnsi="宋体"/>
                <w:color w:val="auto"/>
                <w:highlight w:val="none"/>
                <w:lang w:val="en-US" w:eastAsia="zh-CN"/>
              </w:rPr>
              <w:t>20</w:t>
            </w:r>
            <w:r>
              <w:rPr>
                <w:rFonts w:hint="eastAsia" w:ascii="宋体" w:hAnsi="宋体"/>
                <w:color w:val="auto"/>
                <w:highlight w:val="none"/>
              </w:rPr>
              <w:t>万）</w:t>
            </w:r>
            <w:r>
              <w:rPr>
                <w:rFonts w:hint="eastAsia" w:ascii="宋体" w:hAnsi="宋体"/>
                <w:color w:val="auto"/>
                <w:highlight w:val="none"/>
                <w:lang w:val="en-US" w:eastAsia="zh-CN"/>
              </w:rPr>
              <w:t>勘察</w:t>
            </w:r>
            <w:r>
              <w:rPr>
                <w:rFonts w:hint="eastAsia" w:ascii="宋体" w:hAnsi="宋体"/>
                <w:color w:val="auto"/>
                <w:highlight w:val="none"/>
              </w:rPr>
              <w:t>服务项目</w:t>
            </w:r>
            <w:r>
              <w:rPr>
                <w:rFonts w:hint="eastAsia" w:ascii="宋体" w:hAnsi="宋体"/>
                <w:color w:val="auto"/>
                <w:highlight w:val="none"/>
                <w:lang w:eastAsia="zh-CN"/>
              </w:rPr>
              <w:t>。</w:t>
            </w:r>
          </w:p>
        </w:tc>
        <w:tc>
          <w:tcPr>
            <w:tcW w:w="1425" w:type="dxa"/>
            <w:vAlign w:val="center"/>
          </w:tcPr>
          <w:p w14:paraId="4CB4BEA5">
            <w:pPr>
              <w:spacing w:before="0" w:after="0" w:afterAutospacing="0"/>
              <w:ind w:left="0" w:right="0" w:firstLine="0"/>
              <w:rPr>
                <w:rFonts w:ascii="宋体" w:hAnsi="宋体"/>
                <w:color w:val="auto"/>
                <w:highlight w:val="none"/>
              </w:rPr>
            </w:pPr>
            <w:r>
              <w:rPr>
                <w:rFonts w:hint="eastAsia" w:ascii="宋体" w:hAnsi="宋体"/>
                <w:color w:val="auto"/>
                <w:highlight w:val="none"/>
              </w:rPr>
              <w:t>相应的业绩证明材料</w:t>
            </w:r>
          </w:p>
        </w:tc>
        <w:tc>
          <w:tcPr>
            <w:tcW w:w="1087" w:type="dxa"/>
            <w:vAlign w:val="center"/>
          </w:tcPr>
          <w:p w14:paraId="67BBC348">
            <w:pPr>
              <w:spacing w:before="0" w:after="0" w:afterAutospacing="0"/>
              <w:ind w:left="0" w:right="0" w:firstLine="0"/>
              <w:rPr>
                <w:rFonts w:ascii="宋体" w:hAnsi="宋体"/>
                <w:color w:val="auto"/>
                <w:highlight w:val="none"/>
              </w:rPr>
            </w:pPr>
          </w:p>
        </w:tc>
        <w:tc>
          <w:tcPr>
            <w:tcW w:w="2503" w:type="dxa"/>
            <w:vAlign w:val="center"/>
          </w:tcPr>
          <w:p w14:paraId="7ACE67A1">
            <w:pPr>
              <w:spacing w:before="0" w:after="0" w:afterAutospacing="0"/>
              <w:ind w:left="0" w:right="0" w:firstLine="0"/>
              <w:rPr>
                <w:rFonts w:ascii="宋体" w:hAnsi="宋体"/>
                <w:color w:val="auto"/>
                <w:highlight w:val="none"/>
              </w:rPr>
            </w:pPr>
            <w:r>
              <w:rPr>
                <w:rFonts w:hint="eastAsia" w:ascii="宋体" w:hAnsi="宋体"/>
                <w:color w:val="auto"/>
                <w:highlight w:val="none"/>
              </w:rPr>
              <w:t>提供下述材料之一即可：①合同文件；②中标通知书。</w:t>
            </w:r>
          </w:p>
          <w:p w14:paraId="2514000A">
            <w:pPr>
              <w:spacing w:before="0" w:after="0" w:afterAutospacing="0"/>
              <w:ind w:left="0" w:right="0" w:firstLine="0"/>
              <w:rPr>
                <w:rFonts w:ascii="宋体" w:hAnsi="宋体"/>
                <w:color w:val="auto"/>
                <w:highlight w:val="none"/>
              </w:rPr>
            </w:pPr>
            <w:r>
              <w:rPr>
                <w:rFonts w:hint="eastAsia" w:ascii="宋体" w:hAnsi="宋体"/>
                <w:color w:val="auto"/>
                <w:highlight w:val="none"/>
              </w:rPr>
              <w:t>所提供的材料须能明确反映类似项目特征，复印件加盖比选申请人公章。</w:t>
            </w:r>
          </w:p>
        </w:tc>
      </w:tr>
      <w:tr w14:paraId="648403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3FB35911">
            <w:pPr>
              <w:spacing w:before="0" w:after="0" w:afterAutospacing="0"/>
              <w:ind w:left="0" w:right="0" w:firstLine="0"/>
              <w:rPr>
                <w:rFonts w:hint="eastAsia" w:ascii="宋体" w:hAnsi="宋体" w:eastAsia="宋体"/>
                <w:color w:val="auto"/>
                <w:highlight w:val="none"/>
                <w:lang w:val="en-US" w:eastAsia="zh-CN"/>
              </w:rPr>
            </w:pPr>
            <w:r>
              <w:rPr>
                <w:rFonts w:hint="eastAsia" w:ascii="宋体" w:hAnsi="宋体"/>
                <w:color w:val="auto"/>
                <w:highlight w:val="none"/>
                <w:lang w:val="en-US" w:eastAsia="zh-CN"/>
              </w:rPr>
              <w:t>6</w:t>
            </w:r>
          </w:p>
        </w:tc>
        <w:tc>
          <w:tcPr>
            <w:tcW w:w="741" w:type="dxa"/>
            <w:vAlign w:val="center"/>
          </w:tcPr>
          <w:p w14:paraId="5CCB1CF7">
            <w:pPr>
              <w:spacing w:before="0" w:after="0" w:afterAutospacing="0"/>
              <w:ind w:left="0" w:right="0" w:firstLine="0"/>
              <w:rPr>
                <w:rFonts w:ascii="宋体" w:hAnsi="宋体"/>
                <w:color w:val="auto"/>
                <w:highlight w:val="none"/>
              </w:rPr>
            </w:pPr>
            <w:r>
              <w:rPr>
                <w:rFonts w:hint="eastAsia" w:ascii="宋体" w:hAnsi="宋体"/>
                <w:color w:val="auto"/>
                <w:highlight w:val="none"/>
              </w:rPr>
              <w:t>承诺书</w:t>
            </w:r>
          </w:p>
        </w:tc>
        <w:tc>
          <w:tcPr>
            <w:tcW w:w="3067" w:type="dxa"/>
            <w:vAlign w:val="center"/>
          </w:tcPr>
          <w:p w14:paraId="49E37684">
            <w:pPr>
              <w:spacing w:before="0" w:after="0" w:afterAutospacing="0"/>
              <w:ind w:left="0" w:right="0" w:firstLine="0"/>
              <w:rPr>
                <w:rFonts w:ascii="宋体" w:hAnsi="宋体"/>
                <w:color w:val="auto"/>
                <w:highlight w:val="none"/>
              </w:rPr>
            </w:pPr>
            <w:r>
              <w:rPr>
                <w:rFonts w:hint="eastAsia" w:ascii="宋体" w:hAnsi="宋体"/>
                <w:color w:val="auto"/>
                <w:highlight w:val="none"/>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14:paraId="23453597">
            <w:pPr>
              <w:spacing w:before="0" w:after="0" w:afterAutospacing="0"/>
              <w:ind w:left="0" w:right="0" w:firstLine="0"/>
              <w:rPr>
                <w:rFonts w:ascii="宋体" w:hAnsi="宋体"/>
                <w:color w:val="auto"/>
                <w:highlight w:val="none"/>
              </w:rPr>
            </w:pPr>
            <w:r>
              <w:rPr>
                <w:rFonts w:hint="eastAsia" w:ascii="宋体" w:hAnsi="宋体"/>
                <w:color w:val="auto"/>
                <w:highlight w:val="none"/>
              </w:rPr>
              <w:t>承诺书原件</w:t>
            </w:r>
          </w:p>
        </w:tc>
        <w:tc>
          <w:tcPr>
            <w:tcW w:w="1087" w:type="dxa"/>
            <w:vAlign w:val="center"/>
          </w:tcPr>
          <w:p w14:paraId="34D196F7">
            <w:pPr>
              <w:spacing w:before="0" w:after="0" w:afterAutospacing="0"/>
              <w:ind w:left="0" w:right="0" w:firstLine="0"/>
              <w:rPr>
                <w:rFonts w:ascii="宋体" w:hAnsi="宋体"/>
                <w:color w:val="auto"/>
                <w:highlight w:val="none"/>
              </w:rPr>
            </w:pPr>
          </w:p>
        </w:tc>
        <w:tc>
          <w:tcPr>
            <w:tcW w:w="2503" w:type="dxa"/>
            <w:vAlign w:val="center"/>
          </w:tcPr>
          <w:p w14:paraId="683EA2EF">
            <w:pPr>
              <w:spacing w:before="0" w:after="0" w:afterAutospacing="0"/>
              <w:ind w:left="0" w:right="0" w:firstLine="0"/>
              <w:rPr>
                <w:rFonts w:ascii="宋体" w:hAnsi="宋体"/>
                <w:color w:val="auto"/>
                <w:highlight w:val="none"/>
              </w:rPr>
            </w:pPr>
            <w:r>
              <w:rPr>
                <w:rFonts w:hint="eastAsia" w:ascii="宋体" w:hAnsi="宋体"/>
                <w:color w:val="auto"/>
                <w:highlight w:val="none"/>
              </w:rPr>
              <w:t>按规定格式提供承诺书</w:t>
            </w:r>
          </w:p>
          <w:p w14:paraId="3A56BDAC">
            <w:pPr>
              <w:spacing w:before="0" w:after="0" w:afterAutospacing="0"/>
              <w:ind w:left="0" w:right="0" w:firstLine="0"/>
              <w:rPr>
                <w:rFonts w:ascii="宋体" w:hAnsi="宋体"/>
                <w:color w:val="auto"/>
                <w:highlight w:val="none"/>
              </w:rPr>
            </w:pPr>
          </w:p>
        </w:tc>
      </w:tr>
    </w:tbl>
    <w:p w14:paraId="30579461">
      <w:pPr>
        <w:ind w:left="0" w:leftChars="0" w:firstLine="0" w:firstLineChars="0"/>
        <w:rPr>
          <w:color w:val="auto"/>
          <w:highlight w:val="none"/>
        </w:rPr>
      </w:pPr>
    </w:p>
    <w:p w14:paraId="1E1C1B5B">
      <w:pPr>
        <w:snapToGrid w:val="0"/>
        <w:spacing w:before="0" w:after="0" w:afterAutospacing="0" w:line="240" w:lineRule="auto"/>
        <w:ind w:left="0" w:right="0" w:firstLine="0"/>
        <w:rPr>
          <w:rFonts w:ascii="宋体" w:hAnsi="宋体"/>
          <w:b/>
          <w:color w:val="auto"/>
          <w:highlight w:val="none"/>
        </w:rPr>
      </w:pPr>
      <w:r>
        <w:rPr>
          <w:rFonts w:hint="eastAsia" w:ascii="宋体" w:hAnsi="宋体"/>
          <w:b/>
          <w:color w:val="auto"/>
          <w:highlight w:val="none"/>
        </w:rPr>
        <w:t>注：</w:t>
      </w:r>
    </w:p>
    <w:p w14:paraId="67C5E871">
      <w:pPr>
        <w:snapToGrid w:val="0"/>
        <w:spacing w:before="0" w:after="0" w:afterAutospacing="0" w:line="240" w:lineRule="auto"/>
        <w:ind w:left="0" w:right="0" w:firstLine="0"/>
        <w:rPr>
          <w:rFonts w:ascii="宋体" w:hAnsi="宋体"/>
          <w:b/>
          <w:color w:val="auto"/>
          <w:highlight w:val="none"/>
        </w:rPr>
      </w:pPr>
      <w:r>
        <w:rPr>
          <w:rFonts w:hint="eastAsia" w:ascii="宋体" w:hAnsi="宋体"/>
          <w:b/>
          <w:color w:val="auto"/>
          <w:highlight w:val="none"/>
        </w:rPr>
        <w:t>1.以上所有证明资料原件备查。</w:t>
      </w:r>
    </w:p>
    <w:p w14:paraId="4911ED2A">
      <w:pPr>
        <w:snapToGrid w:val="0"/>
        <w:spacing w:before="0" w:after="0" w:afterAutospacing="0" w:line="240" w:lineRule="auto"/>
        <w:ind w:left="0" w:right="0" w:firstLine="0"/>
        <w:rPr>
          <w:rFonts w:ascii="宋体" w:hAnsi="宋体"/>
          <w:b/>
          <w:color w:val="auto"/>
          <w:highlight w:val="none"/>
        </w:rPr>
      </w:pPr>
      <w:r>
        <w:rPr>
          <w:rFonts w:hint="eastAsia" w:ascii="宋体" w:hAnsi="宋体"/>
          <w:b/>
          <w:color w:val="auto"/>
          <w:highlight w:val="none"/>
        </w:rPr>
        <w:t>2.比选申请人如未通过上述资格审查，则作比选申请被否决处理并不得进入下一阶段评审。</w:t>
      </w:r>
    </w:p>
    <w:p w14:paraId="3AAD682B">
      <w:pPr>
        <w:pStyle w:val="2"/>
        <w:spacing w:after="0" w:line="360" w:lineRule="auto"/>
        <w:ind w:right="-57" w:firstLine="0"/>
        <w:rPr>
          <w:color w:val="auto"/>
          <w:sz w:val="24"/>
          <w:szCs w:val="24"/>
          <w:highlight w:val="none"/>
        </w:rPr>
      </w:pPr>
      <w:r>
        <w:rPr>
          <w:rFonts w:ascii="宋体" w:hAnsi="宋体"/>
          <w:color w:val="auto"/>
          <w:highlight w:val="none"/>
        </w:rPr>
        <w:br w:type="page"/>
      </w:r>
      <w:bookmarkStart w:id="1539" w:name="_Toc25750695"/>
      <w:bookmarkStart w:id="1540" w:name="_Toc32348"/>
      <w:bookmarkStart w:id="1541" w:name="_Toc114134689"/>
      <w:bookmarkStart w:id="1542" w:name="_Toc20215"/>
      <w:bookmarkStart w:id="1543" w:name="_Toc15103"/>
      <w:bookmarkStart w:id="1544" w:name="_Toc5737"/>
      <w:bookmarkStart w:id="1545" w:name="_Toc6102"/>
      <w:bookmarkStart w:id="1546" w:name="_Toc12984826"/>
      <w:bookmarkStart w:id="1547" w:name="_Toc5811"/>
      <w:bookmarkStart w:id="1548" w:name="_Toc12983557"/>
      <w:bookmarkStart w:id="1549" w:name="_Toc19299"/>
      <w:bookmarkStart w:id="1550" w:name="_Toc191"/>
      <w:bookmarkStart w:id="1551" w:name="_Toc1459"/>
      <w:bookmarkStart w:id="1552" w:name="_Toc6612"/>
      <w:bookmarkStart w:id="1553" w:name="_Toc7852"/>
      <w:bookmarkStart w:id="1554" w:name="_Toc31487"/>
      <w:bookmarkStart w:id="1555" w:name="_Toc29670"/>
      <w:bookmarkStart w:id="1556" w:name="_Toc492478850"/>
      <w:bookmarkStart w:id="1557" w:name="_Toc22635"/>
      <w:bookmarkStart w:id="1558" w:name="_Toc8945"/>
      <w:bookmarkStart w:id="1559" w:name="_Toc25123"/>
      <w:bookmarkStart w:id="1560" w:name="_Toc3409"/>
      <w:bookmarkStart w:id="1561" w:name="_Toc9343"/>
      <w:r>
        <w:rPr>
          <w:color w:val="auto"/>
          <w:sz w:val="21"/>
          <w:szCs w:val="21"/>
          <w:highlight w:val="none"/>
        </w:rPr>
        <w:t>附表二</w:t>
      </w:r>
      <w:r>
        <w:rPr>
          <w:rFonts w:hint="eastAsia"/>
          <w:color w:val="auto"/>
          <w:sz w:val="21"/>
          <w:szCs w:val="21"/>
          <w:highlight w:val="none"/>
        </w:rPr>
        <w:t xml:space="preserve"> 符合性</w:t>
      </w:r>
      <w:r>
        <w:rPr>
          <w:color w:val="auto"/>
          <w:sz w:val="21"/>
          <w:szCs w:val="21"/>
          <w:highlight w:val="none"/>
        </w:rPr>
        <w:t>评审表</w:t>
      </w:r>
      <w:bookmarkEnd w:id="1539"/>
      <w:bookmarkEnd w:id="1540"/>
      <w:bookmarkEnd w:id="1541"/>
    </w:p>
    <w:p w14:paraId="490215B9">
      <w:pPr>
        <w:spacing w:before="0"/>
        <w:ind w:right="0" w:firstLine="0"/>
        <w:jc w:val="center"/>
        <w:rPr>
          <w:b/>
          <w:color w:val="auto"/>
          <w:sz w:val="24"/>
          <w:szCs w:val="24"/>
          <w:highlight w:val="none"/>
        </w:rPr>
      </w:pPr>
      <w:r>
        <w:rPr>
          <w:rFonts w:hint="eastAsia" w:hAnsi="宋体"/>
          <w:b/>
          <w:color w:val="auto"/>
          <w:sz w:val="24"/>
          <w:szCs w:val="24"/>
          <w:highlight w:val="none"/>
        </w:rPr>
        <w:t>符合性</w:t>
      </w:r>
      <w:r>
        <w:rPr>
          <w:rFonts w:hAnsi="宋体"/>
          <w:b/>
          <w:color w:val="auto"/>
          <w:sz w:val="24"/>
          <w:szCs w:val="24"/>
          <w:highlight w:val="none"/>
        </w:rPr>
        <w:t>评审表</w:t>
      </w:r>
    </w:p>
    <w:tbl>
      <w:tblPr>
        <w:tblStyle w:val="38"/>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24525CF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14:paraId="156620FA">
            <w:pPr>
              <w:ind w:left="0" w:firstLine="0"/>
              <w:rPr>
                <w:color w:val="auto"/>
                <w:highlight w:val="none"/>
              </w:rPr>
            </w:pPr>
            <w:r>
              <w:rPr>
                <w:color w:val="auto"/>
                <w:highlight w:val="none"/>
              </w:rPr>
              <w:t>序号</w:t>
            </w:r>
          </w:p>
        </w:tc>
        <w:tc>
          <w:tcPr>
            <w:tcW w:w="6096" w:type="dxa"/>
            <w:tcBorders>
              <w:top w:val="single" w:color="auto" w:sz="12" w:space="0"/>
            </w:tcBorders>
            <w:vAlign w:val="center"/>
          </w:tcPr>
          <w:p w14:paraId="174A2E45">
            <w:pPr>
              <w:ind w:left="0" w:firstLine="0"/>
              <w:rPr>
                <w:color w:val="auto"/>
                <w:highlight w:val="none"/>
              </w:rPr>
            </w:pPr>
            <w:r>
              <w:rPr>
                <w:rFonts w:hint="eastAsia"/>
                <w:color w:val="auto"/>
                <w:highlight w:val="none"/>
              </w:rPr>
              <w:t>评审项目</w:t>
            </w:r>
          </w:p>
        </w:tc>
        <w:tc>
          <w:tcPr>
            <w:tcW w:w="1134" w:type="dxa"/>
            <w:tcBorders>
              <w:top w:val="single" w:color="auto" w:sz="12" w:space="0"/>
            </w:tcBorders>
          </w:tcPr>
          <w:p w14:paraId="52D6433D">
            <w:pPr>
              <w:ind w:left="0" w:firstLine="0"/>
              <w:rPr>
                <w:color w:val="auto"/>
                <w:highlight w:val="none"/>
              </w:rPr>
            </w:pPr>
            <w:r>
              <w:rPr>
                <w:rFonts w:hint="eastAsia"/>
                <w:color w:val="auto"/>
                <w:highlight w:val="none"/>
              </w:rPr>
              <w:t>评审结果</w:t>
            </w:r>
          </w:p>
        </w:tc>
        <w:tc>
          <w:tcPr>
            <w:tcW w:w="1098" w:type="dxa"/>
            <w:tcBorders>
              <w:top w:val="single" w:color="auto" w:sz="12" w:space="0"/>
            </w:tcBorders>
            <w:vAlign w:val="center"/>
          </w:tcPr>
          <w:p w14:paraId="5F1AF190">
            <w:pPr>
              <w:ind w:left="0" w:firstLine="0"/>
              <w:rPr>
                <w:color w:val="auto"/>
                <w:highlight w:val="none"/>
              </w:rPr>
            </w:pPr>
            <w:r>
              <w:rPr>
                <w:rFonts w:hint="eastAsia"/>
                <w:color w:val="auto"/>
                <w:highlight w:val="none"/>
              </w:rPr>
              <w:t>结论</w:t>
            </w:r>
          </w:p>
        </w:tc>
      </w:tr>
      <w:tr w14:paraId="036FF0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14:paraId="0D6347E9">
            <w:pPr>
              <w:ind w:left="0" w:firstLine="0"/>
              <w:jc w:val="center"/>
              <w:rPr>
                <w:color w:val="auto"/>
                <w:highlight w:val="none"/>
              </w:rPr>
            </w:pPr>
            <w:r>
              <w:rPr>
                <w:color w:val="auto"/>
                <w:highlight w:val="none"/>
              </w:rPr>
              <w:t>1</w:t>
            </w:r>
          </w:p>
        </w:tc>
        <w:tc>
          <w:tcPr>
            <w:tcW w:w="6096" w:type="dxa"/>
            <w:vAlign w:val="center"/>
          </w:tcPr>
          <w:p w14:paraId="079D47E8">
            <w:pPr>
              <w:ind w:left="0" w:firstLine="0"/>
              <w:rPr>
                <w:color w:val="auto"/>
                <w:highlight w:val="none"/>
              </w:rPr>
            </w:pPr>
            <w:r>
              <w:rPr>
                <w:rFonts w:hint="eastAsia"/>
                <w:color w:val="auto"/>
                <w:highlight w:val="none"/>
              </w:rPr>
              <w:t>比选申请文件按要求在规定的位置签字（或盖章）并加盖比选申请人单位公章的</w:t>
            </w:r>
          </w:p>
        </w:tc>
        <w:tc>
          <w:tcPr>
            <w:tcW w:w="1134" w:type="dxa"/>
          </w:tcPr>
          <w:p w14:paraId="4DC39B6B">
            <w:pPr>
              <w:ind w:left="0" w:firstLine="0"/>
              <w:rPr>
                <w:color w:val="auto"/>
                <w:highlight w:val="none"/>
              </w:rPr>
            </w:pPr>
          </w:p>
        </w:tc>
        <w:tc>
          <w:tcPr>
            <w:tcW w:w="1098" w:type="dxa"/>
            <w:vMerge w:val="restart"/>
            <w:vAlign w:val="center"/>
          </w:tcPr>
          <w:p w14:paraId="6C994099">
            <w:pPr>
              <w:ind w:left="0" w:firstLine="0"/>
              <w:rPr>
                <w:color w:val="auto"/>
                <w:highlight w:val="none"/>
              </w:rPr>
            </w:pPr>
          </w:p>
        </w:tc>
      </w:tr>
      <w:tr w14:paraId="7CD10C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28035127">
            <w:pPr>
              <w:ind w:left="0" w:firstLine="0"/>
              <w:jc w:val="center"/>
              <w:rPr>
                <w:color w:val="auto"/>
                <w:highlight w:val="none"/>
              </w:rPr>
            </w:pPr>
            <w:r>
              <w:rPr>
                <w:color w:val="auto"/>
                <w:highlight w:val="none"/>
              </w:rPr>
              <w:t>2</w:t>
            </w:r>
          </w:p>
        </w:tc>
        <w:tc>
          <w:tcPr>
            <w:tcW w:w="6096" w:type="dxa"/>
            <w:vAlign w:val="center"/>
          </w:tcPr>
          <w:p w14:paraId="4B3A47EF">
            <w:pPr>
              <w:ind w:left="0" w:firstLine="0"/>
              <w:rPr>
                <w:color w:val="auto"/>
                <w:highlight w:val="none"/>
              </w:rPr>
            </w:pPr>
            <w:r>
              <w:rPr>
                <w:rFonts w:hint="eastAsia"/>
                <w:color w:val="auto"/>
                <w:highlight w:val="none"/>
              </w:rPr>
              <w:t>比选申请文件的实质性内容按规定填写、内容齐全的；（按比选文件第四章节规定格式填写的）</w:t>
            </w:r>
          </w:p>
        </w:tc>
        <w:tc>
          <w:tcPr>
            <w:tcW w:w="1134" w:type="dxa"/>
          </w:tcPr>
          <w:p w14:paraId="1907DDB9">
            <w:pPr>
              <w:ind w:left="0" w:firstLine="0"/>
              <w:rPr>
                <w:color w:val="auto"/>
                <w:highlight w:val="none"/>
              </w:rPr>
            </w:pPr>
          </w:p>
        </w:tc>
        <w:tc>
          <w:tcPr>
            <w:tcW w:w="1098" w:type="dxa"/>
            <w:vMerge w:val="continue"/>
            <w:vAlign w:val="center"/>
          </w:tcPr>
          <w:p w14:paraId="5D0289DD">
            <w:pPr>
              <w:ind w:left="0" w:firstLine="0"/>
              <w:rPr>
                <w:color w:val="auto"/>
                <w:highlight w:val="none"/>
              </w:rPr>
            </w:pPr>
          </w:p>
        </w:tc>
      </w:tr>
      <w:tr w14:paraId="00DCB36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06A41B2F">
            <w:pPr>
              <w:ind w:left="0" w:firstLine="0"/>
              <w:jc w:val="center"/>
              <w:rPr>
                <w:color w:val="auto"/>
                <w:highlight w:val="none"/>
              </w:rPr>
            </w:pPr>
            <w:r>
              <w:rPr>
                <w:rFonts w:hint="eastAsia"/>
                <w:color w:val="auto"/>
                <w:highlight w:val="none"/>
              </w:rPr>
              <w:t>3</w:t>
            </w:r>
          </w:p>
        </w:tc>
        <w:tc>
          <w:tcPr>
            <w:tcW w:w="6096" w:type="dxa"/>
            <w:vAlign w:val="center"/>
          </w:tcPr>
          <w:p w14:paraId="3D7B3B10">
            <w:pPr>
              <w:ind w:left="0" w:firstLine="0"/>
              <w:rPr>
                <w:color w:val="auto"/>
                <w:highlight w:val="none"/>
              </w:rPr>
            </w:pPr>
            <w:r>
              <w:rPr>
                <w:rFonts w:hint="eastAsia"/>
                <w:color w:val="auto"/>
                <w:highlight w:val="none"/>
              </w:rPr>
              <w:t>比选申请人在资格审查文件或技术文件中未透露有关报价的信息</w:t>
            </w:r>
          </w:p>
        </w:tc>
        <w:tc>
          <w:tcPr>
            <w:tcW w:w="1134" w:type="dxa"/>
          </w:tcPr>
          <w:p w14:paraId="70D1D2D4">
            <w:pPr>
              <w:ind w:left="0" w:firstLine="0"/>
              <w:rPr>
                <w:color w:val="auto"/>
                <w:highlight w:val="none"/>
              </w:rPr>
            </w:pPr>
          </w:p>
        </w:tc>
        <w:tc>
          <w:tcPr>
            <w:tcW w:w="1098" w:type="dxa"/>
            <w:vMerge w:val="continue"/>
            <w:vAlign w:val="center"/>
          </w:tcPr>
          <w:p w14:paraId="0BBA70D1">
            <w:pPr>
              <w:ind w:left="0" w:firstLine="0"/>
              <w:rPr>
                <w:color w:val="auto"/>
                <w:highlight w:val="none"/>
              </w:rPr>
            </w:pPr>
          </w:p>
        </w:tc>
      </w:tr>
      <w:tr w14:paraId="2BDE62D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4C2BF7CC">
            <w:pPr>
              <w:ind w:left="0" w:firstLine="0"/>
              <w:jc w:val="center"/>
              <w:rPr>
                <w:color w:val="auto"/>
                <w:highlight w:val="none"/>
              </w:rPr>
            </w:pPr>
            <w:r>
              <w:rPr>
                <w:rFonts w:hint="eastAsia"/>
                <w:color w:val="auto"/>
                <w:highlight w:val="none"/>
              </w:rPr>
              <w:t>4</w:t>
            </w:r>
          </w:p>
        </w:tc>
        <w:tc>
          <w:tcPr>
            <w:tcW w:w="6096" w:type="dxa"/>
            <w:vAlign w:val="center"/>
          </w:tcPr>
          <w:p w14:paraId="1EB0457B">
            <w:pPr>
              <w:ind w:left="0" w:firstLine="0"/>
              <w:rPr>
                <w:color w:val="auto"/>
                <w:highlight w:val="none"/>
              </w:rPr>
            </w:pPr>
            <w:r>
              <w:rPr>
                <w:rFonts w:hint="eastAsia"/>
                <w:color w:val="auto"/>
                <w:highlight w:val="none"/>
              </w:rPr>
              <w:t>在比选申请文件中无虚假资料的</w:t>
            </w:r>
          </w:p>
        </w:tc>
        <w:tc>
          <w:tcPr>
            <w:tcW w:w="1134" w:type="dxa"/>
          </w:tcPr>
          <w:p w14:paraId="09161DAA">
            <w:pPr>
              <w:ind w:left="0" w:firstLine="0"/>
              <w:rPr>
                <w:color w:val="auto"/>
                <w:highlight w:val="none"/>
              </w:rPr>
            </w:pPr>
          </w:p>
        </w:tc>
        <w:tc>
          <w:tcPr>
            <w:tcW w:w="1098" w:type="dxa"/>
            <w:vMerge w:val="continue"/>
            <w:vAlign w:val="center"/>
          </w:tcPr>
          <w:p w14:paraId="5E0A9A2A">
            <w:pPr>
              <w:ind w:left="0" w:firstLine="0"/>
              <w:rPr>
                <w:color w:val="auto"/>
                <w:highlight w:val="none"/>
              </w:rPr>
            </w:pPr>
          </w:p>
        </w:tc>
      </w:tr>
      <w:tr w14:paraId="7D9BEF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7D7448E2">
            <w:pPr>
              <w:ind w:left="0" w:firstLine="0"/>
              <w:jc w:val="center"/>
              <w:rPr>
                <w:color w:val="auto"/>
                <w:highlight w:val="none"/>
              </w:rPr>
            </w:pPr>
            <w:r>
              <w:rPr>
                <w:rFonts w:hint="eastAsia"/>
                <w:color w:val="auto"/>
                <w:highlight w:val="none"/>
              </w:rPr>
              <w:t>5</w:t>
            </w:r>
          </w:p>
        </w:tc>
        <w:tc>
          <w:tcPr>
            <w:tcW w:w="6096" w:type="dxa"/>
            <w:vAlign w:val="center"/>
          </w:tcPr>
          <w:p w14:paraId="042E99CC">
            <w:pPr>
              <w:ind w:left="0" w:firstLine="0"/>
              <w:rPr>
                <w:color w:val="auto"/>
                <w:highlight w:val="none"/>
              </w:rPr>
            </w:pPr>
            <w:r>
              <w:rPr>
                <w:rFonts w:hint="eastAsia"/>
                <w:color w:val="auto"/>
                <w:highlight w:val="none"/>
              </w:rPr>
              <w:t>技术部分响应无负偏离的</w:t>
            </w:r>
          </w:p>
        </w:tc>
        <w:tc>
          <w:tcPr>
            <w:tcW w:w="1134" w:type="dxa"/>
            <w:tcBorders>
              <w:bottom w:val="single" w:color="auto" w:sz="4" w:space="0"/>
            </w:tcBorders>
          </w:tcPr>
          <w:p w14:paraId="347EBB66">
            <w:pPr>
              <w:ind w:left="0" w:firstLine="0"/>
              <w:rPr>
                <w:color w:val="auto"/>
                <w:highlight w:val="none"/>
              </w:rPr>
            </w:pPr>
          </w:p>
        </w:tc>
        <w:tc>
          <w:tcPr>
            <w:tcW w:w="1098" w:type="dxa"/>
            <w:vMerge w:val="continue"/>
            <w:vAlign w:val="center"/>
          </w:tcPr>
          <w:p w14:paraId="3A9B4C37">
            <w:pPr>
              <w:ind w:left="0" w:firstLine="0"/>
              <w:rPr>
                <w:color w:val="auto"/>
                <w:highlight w:val="none"/>
              </w:rPr>
            </w:pPr>
          </w:p>
        </w:tc>
      </w:tr>
      <w:tr w14:paraId="2887BD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70348D53">
            <w:pPr>
              <w:ind w:left="0" w:firstLine="0"/>
              <w:jc w:val="center"/>
              <w:rPr>
                <w:color w:val="auto"/>
                <w:highlight w:val="none"/>
              </w:rPr>
            </w:pPr>
            <w:r>
              <w:rPr>
                <w:rFonts w:hint="eastAsia"/>
                <w:color w:val="auto"/>
                <w:highlight w:val="none"/>
              </w:rPr>
              <w:t>6</w:t>
            </w:r>
          </w:p>
        </w:tc>
        <w:tc>
          <w:tcPr>
            <w:tcW w:w="6096" w:type="dxa"/>
            <w:vAlign w:val="center"/>
          </w:tcPr>
          <w:p w14:paraId="471560F4">
            <w:pPr>
              <w:ind w:left="0" w:firstLine="0"/>
              <w:rPr>
                <w:color w:val="auto"/>
                <w:highlight w:val="none"/>
              </w:rPr>
            </w:pPr>
            <w:r>
              <w:rPr>
                <w:rFonts w:hint="eastAsia"/>
                <w:color w:val="auto"/>
                <w:highlight w:val="none"/>
              </w:rPr>
              <w:t>商务响应表无负偏离的</w:t>
            </w:r>
          </w:p>
        </w:tc>
        <w:tc>
          <w:tcPr>
            <w:tcW w:w="1134" w:type="dxa"/>
            <w:tcBorders>
              <w:bottom w:val="single" w:color="auto" w:sz="4" w:space="0"/>
            </w:tcBorders>
          </w:tcPr>
          <w:p w14:paraId="5AF81383">
            <w:pPr>
              <w:ind w:left="0" w:firstLine="0"/>
              <w:rPr>
                <w:color w:val="auto"/>
                <w:highlight w:val="none"/>
              </w:rPr>
            </w:pPr>
          </w:p>
        </w:tc>
        <w:tc>
          <w:tcPr>
            <w:tcW w:w="1098" w:type="dxa"/>
            <w:vMerge w:val="continue"/>
            <w:vAlign w:val="center"/>
          </w:tcPr>
          <w:p w14:paraId="1134303F">
            <w:pPr>
              <w:ind w:left="0" w:firstLine="0"/>
              <w:rPr>
                <w:color w:val="auto"/>
                <w:highlight w:val="none"/>
              </w:rPr>
            </w:pPr>
          </w:p>
        </w:tc>
      </w:tr>
      <w:tr w14:paraId="40D6F7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Height w:val="437" w:hRule="atLeast"/>
          <w:jc w:val="center"/>
        </w:trPr>
        <w:tc>
          <w:tcPr>
            <w:tcW w:w="675" w:type="dxa"/>
            <w:vAlign w:val="center"/>
          </w:tcPr>
          <w:p w14:paraId="56F9F9E8">
            <w:pPr>
              <w:ind w:left="0" w:firstLine="0"/>
              <w:jc w:val="center"/>
              <w:rPr>
                <w:color w:val="auto"/>
                <w:highlight w:val="none"/>
              </w:rPr>
            </w:pPr>
            <w:r>
              <w:rPr>
                <w:rFonts w:hint="eastAsia"/>
                <w:color w:val="auto"/>
                <w:highlight w:val="none"/>
              </w:rPr>
              <w:t>7</w:t>
            </w:r>
          </w:p>
        </w:tc>
        <w:tc>
          <w:tcPr>
            <w:tcW w:w="6096" w:type="dxa"/>
            <w:vAlign w:val="center"/>
          </w:tcPr>
          <w:p w14:paraId="646CE341">
            <w:pPr>
              <w:ind w:left="0" w:firstLine="0"/>
              <w:rPr>
                <w:color w:val="auto"/>
                <w:highlight w:val="none"/>
              </w:rPr>
            </w:pPr>
            <w:r>
              <w:rPr>
                <w:rFonts w:hint="eastAsia"/>
                <w:color w:val="auto"/>
                <w:highlight w:val="none"/>
              </w:rPr>
              <w:t>无比选文件、法律、法规规定的其他否决比选申请条件</w:t>
            </w:r>
          </w:p>
        </w:tc>
        <w:tc>
          <w:tcPr>
            <w:tcW w:w="1134" w:type="dxa"/>
          </w:tcPr>
          <w:p w14:paraId="339D948E">
            <w:pPr>
              <w:ind w:left="0" w:firstLine="0"/>
              <w:rPr>
                <w:color w:val="auto"/>
                <w:highlight w:val="none"/>
              </w:rPr>
            </w:pPr>
          </w:p>
        </w:tc>
        <w:tc>
          <w:tcPr>
            <w:tcW w:w="1098" w:type="dxa"/>
            <w:vMerge w:val="continue"/>
            <w:vAlign w:val="center"/>
          </w:tcPr>
          <w:p w14:paraId="525899CC">
            <w:pPr>
              <w:ind w:left="0" w:firstLine="0"/>
              <w:rPr>
                <w:color w:val="auto"/>
                <w:highlight w:val="none"/>
              </w:rPr>
            </w:pPr>
          </w:p>
        </w:tc>
      </w:tr>
    </w:tbl>
    <w:p w14:paraId="6E91F29A">
      <w:pPr>
        <w:spacing w:before="0" w:after="0" w:afterAutospacing="0"/>
        <w:ind w:left="0" w:right="0" w:firstLine="0"/>
        <w:jc w:val="left"/>
        <w:rPr>
          <w:color w:val="auto"/>
          <w:sz w:val="24"/>
          <w:szCs w:val="24"/>
          <w:highlight w:val="none"/>
        </w:rPr>
      </w:pPr>
      <w:r>
        <w:rPr>
          <w:rFonts w:hAnsi="宋体"/>
          <w:color w:val="auto"/>
          <w:highlight w:val="none"/>
        </w:rPr>
        <w:t>注：</w:t>
      </w:r>
      <w:r>
        <w:rPr>
          <w:rFonts w:hint="eastAsia" w:hAnsi="宋体"/>
          <w:color w:val="auto"/>
          <w:highlight w:val="none"/>
        </w:rPr>
        <w:t>1.</w:t>
      </w:r>
      <w:r>
        <w:rPr>
          <w:rFonts w:hAnsi="宋体"/>
          <w:color w:val="auto"/>
          <w:highlight w:val="none"/>
        </w:rPr>
        <w:t>评审结果填写合格打</w:t>
      </w:r>
      <w:r>
        <w:rPr>
          <w:color w:val="auto"/>
          <w:highlight w:val="none"/>
        </w:rPr>
        <w:t>√</w:t>
      </w:r>
      <w:r>
        <w:rPr>
          <w:rFonts w:hAnsi="宋体"/>
          <w:color w:val="auto"/>
          <w:highlight w:val="none"/>
        </w:rPr>
        <w:t>，不合格打</w:t>
      </w:r>
      <w:r>
        <w:rPr>
          <w:color w:val="auto"/>
          <w:highlight w:val="none"/>
        </w:rPr>
        <w:t>×</w:t>
      </w:r>
      <w:r>
        <w:rPr>
          <w:rFonts w:hAnsi="宋体"/>
          <w:color w:val="auto"/>
          <w:highlight w:val="none"/>
        </w:rPr>
        <w:t>，凡评审结果有一项不合格者，结论为不通过。</w:t>
      </w:r>
    </w:p>
    <w:p w14:paraId="79312A86">
      <w:pPr>
        <w:pStyle w:val="5"/>
        <w:ind w:firstLine="480"/>
        <w:rPr>
          <w:rFonts w:eastAsiaTheme="minorEastAsia"/>
          <w:color w:val="auto"/>
          <w:highlight w:val="none"/>
        </w:rPr>
      </w:pPr>
    </w:p>
    <w:p w14:paraId="1FCEDF43">
      <w:pPr>
        <w:spacing w:before="0" w:after="0"/>
        <w:ind w:left="0" w:right="0" w:firstLine="0"/>
        <w:rPr>
          <w:b/>
          <w:bCs/>
          <w:color w:val="auto"/>
          <w:highlight w:val="none"/>
        </w:rPr>
      </w:pPr>
    </w:p>
    <w:p w14:paraId="1E046C63">
      <w:pPr>
        <w:spacing w:before="0" w:after="0"/>
        <w:ind w:left="0" w:right="0" w:firstLine="0"/>
        <w:rPr>
          <w:b/>
          <w:bCs/>
          <w:color w:val="auto"/>
          <w:highlight w:val="none"/>
        </w:rPr>
      </w:pPr>
    </w:p>
    <w:p w14:paraId="35305B78">
      <w:pPr>
        <w:spacing w:before="0" w:after="0"/>
        <w:ind w:left="0" w:right="0" w:firstLine="0"/>
        <w:rPr>
          <w:b/>
          <w:bCs/>
          <w:color w:val="auto"/>
          <w:highlight w:val="none"/>
        </w:rPr>
      </w:pPr>
    </w:p>
    <w:p w14:paraId="1665946B">
      <w:pPr>
        <w:spacing w:before="0" w:after="0"/>
        <w:ind w:left="0" w:right="0" w:firstLine="0"/>
        <w:rPr>
          <w:b/>
          <w:bCs/>
          <w:color w:val="auto"/>
          <w:highlight w:val="none"/>
        </w:rPr>
      </w:pPr>
    </w:p>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14:paraId="0FF3D9CC">
      <w:pPr>
        <w:spacing w:before="0"/>
        <w:ind w:left="0" w:right="0" w:firstLine="0"/>
        <w:rPr>
          <w:b/>
          <w:bCs/>
          <w:color w:val="auto"/>
          <w:highlight w:val="none"/>
        </w:rPr>
        <w:sectPr>
          <w:headerReference r:id="rId12" w:type="default"/>
          <w:footerReference r:id="rId13" w:type="default"/>
          <w:pgSz w:w="11905" w:h="16838"/>
          <w:pgMar w:top="1417" w:right="1417" w:bottom="1417" w:left="1417" w:header="454" w:footer="567" w:gutter="0"/>
          <w:cols w:space="0" w:num="1"/>
          <w:docGrid w:linePitch="319" w:charSpace="0"/>
        </w:sectPr>
      </w:pPr>
    </w:p>
    <w:p w14:paraId="620D2B60">
      <w:pPr>
        <w:spacing w:before="0"/>
        <w:ind w:left="0" w:right="0" w:firstLine="0"/>
        <w:rPr>
          <w:b/>
          <w:bCs/>
          <w:color w:val="auto"/>
          <w:highlight w:val="none"/>
        </w:rPr>
      </w:pPr>
      <w:r>
        <w:rPr>
          <w:rFonts w:hint="eastAsia"/>
          <w:b/>
          <w:bCs/>
          <w:color w:val="auto"/>
          <w:highlight w:val="none"/>
        </w:rPr>
        <w:t>附表三《技术文件评分表》</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1"/>
        <w:gridCol w:w="2327"/>
        <w:gridCol w:w="2085"/>
        <w:gridCol w:w="6180"/>
        <w:gridCol w:w="1977"/>
      </w:tblGrid>
      <w:tr w14:paraId="1A9FF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80" w:type="pct"/>
            <w:tcBorders>
              <w:bottom w:val="single" w:color="auto" w:sz="4" w:space="0"/>
            </w:tcBorders>
            <w:vAlign w:val="center"/>
          </w:tcPr>
          <w:p w14:paraId="1583E17A">
            <w:pPr>
              <w:spacing w:line="288" w:lineRule="auto"/>
              <w:ind w:right="-57"/>
              <w:jc w:val="center"/>
              <w:rPr>
                <w:rFonts w:ascii="宋体" w:hAnsi="宋体"/>
                <w:b/>
                <w:color w:val="auto"/>
                <w:highlight w:val="none"/>
              </w:rPr>
            </w:pPr>
            <w:r>
              <w:rPr>
                <w:rFonts w:hint="eastAsia" w:ascii="宋体" w:hAnsi="宋体"/>
                <w:b/>
                <w:color w:val="auto"/>
                <w:highlight w:val="none"/>
              </w:rPr>
              <w:t>序号</w:t>
            </w:r>
          </w:p>
        </w:tc>
        <w:tc>
          <w:tcPr>
            <w:tcW w:w="818" w:type="pct"/>
            <w:tcBorders>
              <w:bottom w:val="single" w:color="auto" w:sz="4" w:space="0"/>
            </w:tcBorders>
            <w:vAlign w:val="center"/>
          </w:tcPr>
          <w:p w14:paraId="66377689">
            <w:pPr>
              <w:spacing w:line="288" w:lineRule="auto"/>
              <w:ind w:left="0" w:right="-57" w:firstLine="0"/>
              <w:rPr>
                <w:rFonts w:ascii="宋体" w:hAnsi="宋体"/>
                <w:b/>
                <w:color w:val="auto"/>
                <w:highlight w:val="none"/>
              </w:rPr>
            </w:pPr>
            <w:r>
              <w:rPr>
                <w:rFonts w:hint="eastAsia" w:ascii="宋体" w:hAnsi="宋体"/>
                <w:b/>
                <w:color w:val="auto"/>
                <w:highlight w:val="none"/>
              </w:rPr>
              <w:t>评审项目和内容</w:t>
            </w:r>
          </w:p>
        </w:tc>
        <w:tc>
          <w:tcPr>
            <w:tcW w:w="733" w:type="pct"/>
            <w:tcBorders>
              <w:bottom w:val="single" w:color="auto" w:sz="4" w:space="0"/>
            </w:tcBorders>
            <w:vAlign w:val="center"/>
          </w:tcPr>
          <w:p w14:paraId="6AC945A9">
            <w:pPr>
              <w:spacing w:line="288" w:lineRule="auto"/>
              <w:ind w:right="-57"/>
              <w:jc w:val="center"/>
              <w:rPr>
                <w:rFonts w:ascii="宋体" w:hAnsi="宋体"/>
                <w:b/>
                <w:bCs/>
                <w:color w:val="auto"/>
                <w:highlight w:val="none"/>
              </w:rPr>
            </w:pPr>
            <w:r>
              <w:rPr>
                <w:rFonts w:hint="eastAsia" w:ascii="宋体" w:hAnsi="宋体"/>
                <w:b/>
                <w:bCs/>
                <w:color w:val="auto"/>
                <w:highlight w:val="none"/>
              </w:rPr>
              <w:t>标准分</w:t>
            </w:r>
          </w:p>
        </w:tc>
        <w:tc>
          <w:tcPr>
            <w:tcW w:w="2172" w:type="pct"/>
            <w:tcBorders>
              <w:bottom w:val="single" w:color="auto" w:sz="4" w:space="0"/>
            </w:tcBorders>
            <w:vAlign w:val="center"/>
          </w:tcPr>
          <w:p w14:paraId="78682643">
            <w:pPr>
              <w:spacing w:line="288" w:lineRule="auto"/>
              <w:ind w:left="751" w:leftChars="20" w:right="113"/>
              <w:jc w:val="center"/>
              <w:rPr>
                <w:rFonts w:ascii="宋体" w:hAnsi="宋体"/>
                <w:b/>
                <w:bCs/>
                <w:color w:val="auto"/>
                <w:highlight w:val="none"/>
              </w:rPr>
            </w:pPr>
            <w:r>
              <w:rPr>
                <w:rFonts w:hint="eastAsia" w:ascii="宋体" w:hAnsi="宋体"/>
                <w:b/>
                <w:bCs/>
                <w:color w:val="auto"/>
                <w:highlight w:val="none"/>
              </w:rPr>
              <w:t>评审标准</w:t>
            </w:r>
          </w:p>
        </w:tc>
        <w:tc>
          <w:tcPr>
            <w:tcW w:w="695" w:type="pct"/>
            <w:tcBorders>
              <w:bottom w:val="single" w:color="auto" w:sz="4" w:space="0"/>
            </w:tcBorders>
          </w:tcPr>
          <w:p w14:paraId="1E0B1D23">
            <w:pPr>
              <w:spacing w:line="288" w:lineRule="auto"/>
              <w:ind w:left="751" w:leftChars="20" w:right="113"/>
              <w:jc w:val="center"/>
              <w:rPr>
                <w:rFonts w:ascii="宋体" w:hAnsi="宋体"/>
                <w:b/>
                <w:bCs/>
                <w:color w:val="auto"/>
                <w:highlight w:val="none"/>
              </w:rPr>
            </w:pPr>
            <w:r>
              <w:rPr>
                <w:rFonts w:hint="eastAsia" w:ascii="宋体" w:hAnsi="宋体"/>
                <w:b/>
                <w:bCs/>
                <w:color w:val="auto"/>
                <w:highlight w:val="none"/>
              </w:rPr>
              <w:t>得分</w:t>
            </w:r>
          </w:p>
        </w:tc>
      </w:tr>
      <w:tr w14:paraId="6360B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580" w:type="pct"/>
            <w:vMerge w:val="restart"/>
            <w:vAlign w:val="center"/>
          </w:tcPr>
          <w:p w14:paraId="55BA2282">
            <w:pPr>
              <w:spacing w:line="288" w:lineRule="auto"/>
              <w:jc w:val="center"/>
              <w:rPr>
                <w:rFonts w:ascii="宋体" w:hAnsi="宋体" w:cs="宋体"/>
                <w:color w:val="auto"/>
                <w:highlight w:val="none"/>
              </w:rPr>
            </w:pPr>
            <w:r>
              <w:rPr>
                <w:rFonts w:hint="eastAsia" w:ascii="宋体" w:hAnsi="宋体" w:cs="宋体"/>
                <w:color w:val="auto"/>
                <w:highlight w:val="none"/>
              </w:rPr>
              <w:t>1</w:t>
            </w:r>
          </w:p>
        </w:tc>
        <w:tc>
          <w:tcPr>
            <w:tcW w:w="818" w:type="pct"/>
            <w:vMerge w:val="restart"/>
            <w:vAlign w:val="center"/>
          </w:tcPr>
          <w:p w14:paraId="4805AD07">
            <w:pPr>
              <w:spacing w:before="0" w:after="0" w:afterAutospacing="0"/>
              <w:ind w:left="0" w:right="0" w:firstLine="0"/>
              <w:jc w:val="center"/>
              <w:rPr>
                <w:rFonts w:hint="eastAsia" w:ascii="宋体" w:hAnsi="宋体" w:eastAsia="宋体" w:cs="宋体"/>
                <w:b/>
                <w:bCs/>
                <w:color w:val="auto"/>
                <w:sz w:val="18"/>
                <w:szCs w:val="18"/>
                <w:highlight w:val="none"/>
                <w:lang w:eastAsia="zh-CN"/>
              </w:rPr>
            </w:pPr>
            <w:r>
              <w:rPr>
                <w:rFonts w:hint="eastAsia" w:ascii="宋体" w:hAnsi="宋体" w:cs="宋体"/>
                <w:b/>
                <w:bCs/>
                <w:color w:val="auto"/>
                <w:sz w:val="18"/>
                <w:szCs w:val="18"/>
                <w:highlight w:val="none"/>
                <w:lang w:eastAsia="zh-CN"/>
              </w:rPr>
              <w:t>技术</w:t>
            </w:r>
            <w:r>
              <w:rPr>
                <w:rFonts w:hint="eastAsia" w:ascii="宋体" w:hAnsi="宋体" w:eastAsia="宋体" w:cs="宋体"/>
                <w:b/>
                <w:bCs/>
                <w:color w:val="auto"/>
                <w:sz w:val="18"/>
                <w:szCs w:val="18"/>
                <w:highlight w:val="none"/>
                <w:lang w:eastAsia="zh-CN"/>
              </w:rPr>
              <w:t>服务方案</w:t>
            </w:r>
          </w:p>
          <w:p w14:paraId="2E06286D">
            <w:pPr>
              <w:spacing w:before="0" w:after="0" w:afterAutospacing="0"/>
              <w:ind w:left="0" w:leftChars="0" w:right="0" w:rightChars="0" w:firstLine="0" w:firstLineChars="0"/>
              <w:jc w:val="center"/>
              <w:rPr>
                <w:rFonts w:ascii="宋体" w:hAnsi="宋体" w:cs="宋体"/>
                <w:color w:val="auto"/>
                <w:highlight w:val="none"/>
              </w:rPr>
            </w:pPr>
            <w:r>
              <w:rPr>
                <w:rFonts w:hint="eastAsia" w:ascii="宋体" w:hAnsi="宋体" w:eastAsia="宋体" w:cs="宋体"/>
                <w:b/>
                <w:bCs/>
                <w:color w:val="auto"/>
                <w:sz w:val="18"/>
                <w:szCs w:val="18"/>
                <w:highlight w:val="none"/>
                <w:lang w:eastAsia="zh-CN"/>
              </w:rPr>
              <w:t>（</w:t>
            </w:r>
            <w:r>
              <w:rPr>
                <w:rFonts w:hint="eastAsia" w:ascii="宋体" w:hAnsi="宋体" w:cs="宋体"/>
                <w:b/>
                <w:bCs/>
                <w:color w:val="auto"/>
                <w:sz w:val="18"/>
                <w:szCs w:val="18"/>
                <w:highlight w:val="none"/>
                <w:lang w:val="en-US" w:eastAsia="zh-CN"/>
              </w:rPr>
              <w:t>10</w:t>
            </w:r>
            <w:r>
              <w:rPr>
                <w:rFonts w:hint="eastAsia" w:ascii="宋体" w:hAnsi="宋体" w:eastAsia="宋体" w:cs="宋体"/>
                <w:b/>
                <w:bCs/>
                <w:color w:val="auto"/>
                <w:sz w:val="18"/>
                <w:szCs w:val="18"/>
                <w:highlight w:val="none"/>
                <w:lang w:eastAsia="zh-CN"/>
              </w:rPr>
              <w:t>分）</w:t>
            </w:r>
          </w:p>
        </w:tc>
        <w:tc>
          <w:tcPr>
            <w:tcW w:w="733" w:type="pct"/>
            <w:vAlign w:val="center"/>
          </w:tcPr>
          <w:p w14:paraId="041D490C">
            <w:pPr>
              <w:ind w:left="709" w:leftChars="0" w:right="-27" w:rightChars="0" w:hanging="709" w:firstLineChars="0"/>
              <w:jc w:val="center"/>
              <w:textAlignment w:val="center"/>
              <w:rPr>
                <w:rFonts w:ascii="宋体" w:hAnsi="宋体" w:cs="Arial"/>
                <w:color w:val="auto"/>
                <w:highlight w:val="none"/>
              </w:rPr>
            </w:pPr>
            <w:r>
              <w:rPr>
                <w:rFonts w:hint="eastAsia" w:ascii="宋体" w:hAnsi="宋体" w:cs="宋体"/>
                <w:color w:val="auto"/>
                <w:highlight w:val="none"/>
                <w:lang w:val="en-US" w:eastAsia="zh-CN" w:bidi="ar"/>
              </w:rPr>
              <w:t>7</w:t>
            </w:r>
            <w:r>
              <w:rPr>
                <w:rFonts w:hint="eastAsia" w:ascii="宋体" w:hAnsi="宋体" w:eastAsia="宋体" w:cs="宋体"/>
                <w:color w:val="auto"/>
                <w:highlight w:val="none"/>
                <w:lang w:eastAsia="zh-CN" w:bidi="ar"/>
              </w:rPr>
              <w:t>＜</w:t>
            </w:r>
            <w:r>
              <w:rPr>
                <w:rFonts w:hint="eastAsia" w:ascii="宋体" w:hAnsi="宋体" w:eastAsia="宋体" w:cs="宋体"/>
                <w:color w:val="auto"/>
                <w:highlight w:val="none"/>
                <w:lang w:bidi="ar"/>
              </w:rPr>
              <w:t>m≤</w:t>
            </w:r>
            <w:r>
              <w:rPr>
                <w:rFonts w:hint="eastAsia" w:ascii="宋体" w:hAnsi="宋体" w:cs="宋体"/>
                <w:color w:val="auto"/>
                <w:highlight w:val="none"/>
                <w:lang w:val="en-US" w:eastAsia="zh-CN" w:bidi="ar"/>
              </w:rPr>
              <w:t>10</w:t>
            </w:r>
          </w:p>
        </w:tc>
        <w:tc>
          <w:tcPr>
            <w:tcW w:w="2172" w:type="pct"/>
            <w:vAlign w:val="center"/>
          </w:tcPr>
          <w:p w14:paraId="649E97DC">
            <w:pPr>
              <w:spacing w:before="0" w:after="0" w:afterAutospacing="0"/>
              <w:ind w:left="0" w:leftChars="0" w:right="0" w:rightChars="0" w:firstLine="0" w:firstLineChars="0"/>
              <w:jc w:val="left"/>
              <w:textAlignment w:val="center"/>
              <w:rPr>
                <w:rFonts w:hint="default" w:ascii="宋体" w:hAnsi="宋体" w:eastAsia="宋体" w:cs="宋体"/>
                <w:color w:val="auto"/>
                <w:highlight w:val="none"/>
                <w:lang w:val="en-US" w:eastAsia="zh-CN"/>
              </w:rPr>
            </w:pPr>
            <w:r>
              <w:rPr>
                <w:rStyle w:val="40"/>
                <w:rFonts w:ascii="宋体" w:hAnsi="宋体" w:eastAsia="宋体" w:cs="宋体"/>
                <w:b w:val="0"/>
                <w:color w:val="auto"/>
                <w:sz w:val="21"/>
                <w:szCs w:val="24"/>
                <w:highlight w:val="none"/>
              </w:rPr>
              <w:t>工作思路清晰，对项目特点把握准确；方案具体，内容齐全，能满足本</w:t>
            </w:r>
            <w:r>
              <w:rPr>
                <w:rStyle w:val="40"/>
                <w:rFonts w:hint="eastAsia" w:ascii="宋体" w:hAnsi="宋体" w:eastAsia="宋体" w:cs="宋体"/>
                <w:b w:val="0"/>
                <w:color w:val="auto"/>
                <w:sz w:val="21"/>
                <w:szCs w:val="24"/>
                <w:highlight w:val="none"/>
                <w:lang w:eastAsia="zh-CN"/>
              </w:rPr>
              <w:t>项目</w:t>
            </w:r>
            <w:r>
              <w:rPr>
                <w:rStyle w:val="40"/>
                <w:rFonts w:ascii="宋体" w:hAnsi="宋体" w:eastAsia="宋体" w:cs="宋体"/>
                <w:b w:val="0"/>
                <w:color w:val="auto"/>
                <w:sz w:val="21"/>
                <w:szCs w:val="24"/>
                <w:highlight w:val="none"/>
              </w:rPr>
              <w:t>提出的所有内容；方法针对性强，工艺先进、措施切实可行，能较好指导具体工作并确保安全。</w:t>
            </w:r>
          </w:p>
        </w:tc>
        <w:tc>
          <w:tcPr>
            <w:tcW w:w="695" w:type="pct"/>
            <w:vAlign w:val="top"/>
          </w:tcPr>
          <w:p w14:paraId="6C0B6867">
            <w:pPr>
              <w:snapToGrid w:val="0"/>
              <w:spacing w:line="288" w:lineRule="auto"/>
              <w:ind w:left="709" w:leftChars="0" w:right="-27" w:rightChars="0" w:hanging="709" w:firstLineChars="0"/>
              <w:rPr>
                <w:rFonts w:ascii="宋体" w:hAnsi="宋体"/>
                <w:color w:val="auto"/>
                <w:highlight w:val="none"/>
              </w:rPr>
            </w:pPr>
          </w:p>
        </w:tc>
      </w:tr>
      <w:tr w14:paraId="4BAE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580" w:type="pct"/>
            <w:vMerge w:val="continue"/>
            <w:vAlign w:val="center"/>
          </w:tcPr>
          <w:p w14:paraId="232F0C58">
            <w:pPr>
              <w:spacing w:line="288" w:lineRule="auto"/>
              <w:jc w:val="center"/>
              <w:rPr>
                <w:rFonts w:ascii="宋体" w:hAnsi="宋体" w:cs="宋体"/>
                <w:color w:val="auto"/>
                <w:highlight w:val="none"/>
              </w:rPr>
            </w:pPr>
          </w:p>
        </w:tc>
        <w:tc>
          <w:tcPr>
            <w:tcW w:w="818" w:type="pct"/>
            <w:vMerge w:val="continue"/>
            <w:vAlign w:val="center"/>
          </w:tcPr>
          <w:p w14:paraId="40D4BBB8">
            <w:pPr>
              <w:spacing w:before="0" w:after="0" w:afterAutospacing="0"/>
              <w:ind w:left="0" w:leftChars="0" w:right="0" w:rightChars="0" w:firstLine="0" w:firstLineChars="0"/>
              <w:jc w:val="center"/>
              <w:rPr>
                <w:rFonts w:ascii="宋体" w:hAnsi="宋体" w:cs="宋体"/>
                <w:color w:val="auto"/>
                <w:highlight w:val="none"/>
              </w:rPr>
            </w:pPr>
          </w:p>
        </w:tc>
        <w:tc>
          <w:tcPr>
            <w:tcW w:w="733" w:type="pct"/>
            <w:vAlign w:val="center"/>
          </w:tcPr>
          <w:p w14:paraId="7683FB78">
            <w:pPr>
              <w:ind w:left="709" w:leftChars="0" w:right="-27" w:rightChars="0" w:hanging="709" w:firstLineChars="0"/>
              <w:jc w:val="center"/>
              <w:textAlignment w:val="center"/>
              <w:rPr>
                <w:rFonts w:ascii="宋体" w:hAnsi="宋体"/>
                <w:color w:val="auto"/>
                <w:highlight w:val="none"/>
              </w:rPr>
            </w:pPr>
            <w:r>
              <w:rPr>
                <w:rFonts w:hint="eastAsia" w:ascii="宋体" w:hAnsi="宋体" w:cs="宋体"/>
                <w:color w:val="auto"/>
                <w:highlight w:val="none"/>
                <w:lang w:val="en-US" w:eastAsia="zh-CN" w:bidi="ar"/>
              </w:rPr>
              <w:t>3</w:t>
            </w:r>
            <w:r>
              <w:rPr>
                <w:rFonts w:hint="eastAsia" w:ascii="宋体" w:hAnsi="宋体" w:eastAsia="宋体" w:cs="宋体"/>
                <w:color w:val="auto"/>
                <w:highlight w:val="none"/>
                <w:lang w:bidi="ar"/>
              </w:rPr>
              <w:t>≤m≤</w:t>
            </w:r>
            <w:r>
              <w:rPr>
                <w:rFonts w:hint="eastAsia" w:ascii="宋体" w:hAnsi="宋体" w:cs="宋体"/>
                <w:color w:val="auto"/>
                <w:highlight w:val="none"/>
                <w:lang w:val="en-US" w:eastAsia="zh-CN" w:bidi="ar"/>
              </w:rPr>
              <w:t>7</w:t>
            </w:r>
          </w:p>
        </w:tc>
        <w:tc>
          <w:tcPr>
            <w:tcW w:w="2172" w:type="pct"/>
            <w:vAlign w:val="center"/>
          </w:tcPr>
          <w:p w14:paraId="38926989">
            <w:pPr>
              <w:spacing w:before="0" w:after="0" w:afterAutospacing="0"/>
              <w:ind w:left="0" w:leftChars="0" w:right="0" w:rightChars="0" w:firstLine="0" w:firstLineChars="0"/>
              <w:jc w:val="left"/>
              <w:textAlignment w:val="center"/>
              <w:rPr>
                <w:rFonts w:hint="default" w:ascii="宋体" w:hAnsi="宋体" w:eastAsia="宋体" w:cs="宋体"/>
                <w:color w:val="auto"/>
                <w:highlight w:val="none"/>
                <w:lang w:val="en-US" w:eastAsia="zh-CN"/>
              </w:rPr>
            </w:pPr>
            <w:r>
              <w:rPr>
                <w:rStyle w:val="40"/>
                <w:rFonts w:ascii="宋体" w:hAnsi="宋体" w:eastAsia="宋体" w:cs="宋体"/>
                <w:b w:val="0"/>
                <w:color w:val="auto"/>
                <w:sz w:val="21"/>
                <w:szCs w:val="24"/>
                <w:highlight w:val="none"/>
              </w:rPr>
              <w:t>工作思路较清晰，方案较具体，内容充实，能满足本</w:t>
            </w:r>
            <w:r>
              <w:rPr>
                <w:rStyle w:val="40"/>
                <w:rFonts w:hint="eastAsia" w:ascii="宋体" w:hAnsi="宋体" w:eastAsia="宋体" w:cs="宋体"/>
                <w:b w:val="0"/>
                <w:color w:val="auto"/>
                <w:sz w:val="21"/>
                <w:szCs w:val="24"/>
                <w:highlight w:val="none"/>
                <w:lang w:eastAsia="zh-CN"/>
              </w:rPr>
              <w:t>项目</w:t>
            </w:r>
            <w:r>
              <w:rPr>
                <w:rStyle w:val="40"/>
                <w:rFonts w:ascii="宋体" w:hAnsi="宋体" w:eastAsia="宋体" w:cs="宋体"/>
                <w:b w:val="0"/>
                <w:color w:val="auto"/>
                <w:sz w:val="21"/>
                <w:szCs w:val="24"/>
                <w:highlight w:val="none"/>
              </w:rPr>
              <w:t>提出的所有内容；方法完善，措施切实可行，能较好指导具体工作并确保安全</w:t>
            </w:r>
            <w:r>
              <w:rPr>
                <w:rStyle w:val="40"/>
                <w:rFonts w:hint="eastAsia" w:ascii="宋体" w:hAnsi="宋体" w:eastAsia="宋体" w:cs="宋体"/>
                <w:b w:val="0"/>
                <w:color w:val="auto"/>
                <w:sz w:val="21"/>
                <w:szCs w:val="24"/>
                <w:highlight w:val="none"/>
                <w:lang w:eastAsia="zh-CN"/>
              </w:rPr>
              <w:t>。</w:t>
            </w:r>
          </w:p>
        </w:tc>
        <w:tc>
          <w:tcPr>
            <w:tcW w:w="695" w:type="pct"/>
            <w:vAlign w:val="top"/>
          </w:tcPr>
          <w:p w14:paraId="0961675B">
            <w:pPr>
              <w:snapToGrid w:val="0"/>
              <w:spacing w:line="288" w:lineRule="auto"/>
              <w:ind w:left="709" w:leftChars="0" w:right="-27" w:rightChars="0" w:hanging="709" w:firstLineChars="0"/>
              <w:rPr>
                <w:rFonts w:ascii="宋体" w:hAnsi="宋体"/>
                <w:color w:val="auto"/>
                <w:highlight w:val="none"/>
              </w:rPr>
            </w:pPr>
          </w:p>
        </w:tc>
      </w:tr>
      <w:tr w14:paraId="0711B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580" w:type="pct"/>
            <w:vMerge w:val="continue"/>
            <w:vAlign w:val="center"/>
          </w:tcPr>
          <w:p w14:paraId="731502BB">
            <w:pPr>
              <w:spacing w:line="288" w:lineRule="auto"/>
              <w:jc w:val="center"/>
              <w:rPr>
                <w:rFonts w:ascii="宋体" w:hAnsi="宋体" w:cs="宋体"/>
                <w:color w:val="auto"/>
                <w:highlight w:val="none"/>
              </w:rPr>
            </w:pPr>
          </w:p>
        </w:tc>
        <w:tc>
          <w:tcPr>
            <w:tcW w:w="818" w:type="pct"/>
            <w:vMerge w:val="continue"/>
            <w:vAlign w:val="center"/>
          </w:tcPr>
          <w:p w14:paraId="7F83AA86">
            <w:pPr>
              <w:spacing w:before="0" w:after="0" w:afterAutospacing="0"/>
              <w:ind w:left="0" w:leftChars="0" w:right="0" w:rightChars="0" w:firstLine="0" w:firstLineChars="0"/>
              <w:jc w:val="center"/>
              <w:rPr>
                <w:rFonts w:ascii="宋体" w:hAnsi="宋体" w:cs="宋体"/>
                <w:color w:val="auto"/>
                <w:highlight w:val="none"/>
              </w:rPr>
            </w:pPr>
          </w:p>
        </w:tc>
        <w:tc>
          <w:tcPr>
            <w:tcW w:w="733" w:type="pct"/>
            <w:vAlign w:val="center"/>
          </w:tcPr>
          <w:p w14:paraId="05D4EBD5">
            <w:pPr>
              <w:ind w:left="709" w:leftChars="0" w:right="-27" w:rightChars="0" w:hanging="709" w:firstLineChars="0"/>
              <w:jc w:val="center"/>
              <w:textAlignment w:val="center"/>
              <w:rPr>
                <w:rFonts w:ascii="宋体" w:hAnsi="宋体"/>
                <w:color w:val="auto"/>
                <w:highlight w:val="none"/>
              </w:rPr>
            </w:pPr>
            <w:r>
              <w:rPr>
                <w:rFonts w:hint="eastAsia" w:ascii="宋体" w:hAnsi="宋体" w:cs="宋体"/>
                <w:color w:val="auto"/>
                <w:highlight w:val="none"/>
                <w:lang w:bidi="ar"/>
              </w:rPr>
              <w:t>0</w:t>
            </w:r>
            <w:r>
              <w:rPr>
                <w:rFonts w:hint="eastAsia" w:ascii="宋体" w:hAnsi="宋体" w:eastAsia="宋体" w:cs="宋体"/>
                <w:color w:val="auto"/>
                <w:highlight w:val="none"/>
                <w:lang w:bidi="ar"/>
              </w:rPr>
              <w:t>≤m</w:t>
            </w:r>
            <w:r>
              <w:rPr>
                <w:rFonts w:hint="eastAsia" w:ascii="宋体" w:hAnsi="宋体" w:eastAsia="宋体" w:cs="宋体"/>
                <w:color w:val="auto"/>
                <w:highlight w:val="none"/>
                <w:lang w:eastAsia="zh-CN" w:bidi="ar"/>
              </w:rPr>
              <w:t>＜</w:t>
            </w:r>
            <w:r>
              <w:rPr>
                <w:rFonts w:hint="eastAsia" w:ascii="宋体" w:hAnsi="宋体" w:cs="宋体"/>
                <w:color w:val="auto"/>
                <w:highlight w:val="none"/>
                <w:lang w:val="en-US" w:eastAsia="zh-CN" w:bidi="ar"/>
              </w:rPr>
              <w:t>3</w:t>
            </w:r>
          </w:p>
        </w:tc>
        <w:tc>
          <w:tcPr>
            <w:tcW w:w="2172" w:type="pct"/>
            <w:vAlign w:val="center"/>
          </w:tcPr>
          <w:p w14:paraId="58307777">
            <w:pPr>
              <w:spacing w:before="0" w:after="0" w:afterAutospacing="0"/>
              <w:ind w:left="0" w:leftChars="0" w:right="0" w:rightChars="0" w:firstLine="0" w:firstLineChars="0"/>
              <w:jc w:val="left"/>
              <w:textAlignment w:val="center"/>
              <w:rPr>
                <w:rFonts w:hint="default" w:ascii="宋体" w:hAnsi="宋体" w:eastAsia="宋体" w:cs="宋体"/>
                <w:color w:val="auto"/>
                <w:highlight w:val="none"/>
                <w:lang w:val="en-US" w:eastAsia="zh-CN"/>
              </w:rPr>
            </w:pPr>
            <w:r>
              <w:rPr>
                <w:rStyle w:val="40"/>
                <w:rFonts w:hint="eastAsia" w:ascii="宋体" w:hAnsi="宋体" w:eastAsia="宋体" w:cs="宋体"/>
                <w:b w:val="0"/>
                <w:color w:val="auto"/>
                <w:sz w:val="21"/>
                <w:szCs w:val="24"/>
                <w:highlight w:val="none"/>
              </w:rPr>
              <w:t>工作思路不清晰，方案不具体，内容不能满足本</w:t>
            </w:r>
            <w:r>
              <w:rPr>
                <w:rStyle w:val="40"/>
                <w:rFonts w:hint="eastAsia" w:ascii="宋体" w:hAnsi="宋体" w:eastAsia="宋体" w:cs="宋体"/>
                <w:b w:val="0"/>
                <w:color w:val="auto"/>
                <w:sz w:val="21"/>
                <w:szCs w:val="24"/>
                <w:highlight w:val="none"/>
                <w:lang w:eastAsia="zh-CN"/>
              </w:rPr>
              <w:t>项目</w:t>
            </w:r>
            <w:r>
              <w:rPr>
                <w:rStyle w:val="40"/>
                <w:rFonts w:hint="eastAsia" w:ascii="宋体" w:hAnsi="宋体" w:eastAsia="宋体" w:cs="宋体"/>
                <w:b w:val="0"/>
                <w:color w:val="auto"/>
                <w:sz w:val="21"/>
                <w:szCs w:val="24"/>
                <w:highlight w:val="none"/>
              </w:rPr>
              <w:t>提出的所有内容；方法不完善，措施不能指导具体工作</w:t>
            </w:r>
            <w:r>
              <w:rPr>
                <w:rStyle w:val="40"/>
                <w:rFonts w:hint="eastAsia" w:ascii="宋体" w:hAnsi="宋体" w:eastAsia="宋体" w:cs="宋体"/>
                <w:b w:val="0"/>
                <w:color w:val="auto"/>
                <w:sz w:val="21"/>
                <w:szCs w:val="24"/>
                <w:highlight w:val="none"/>
                <w:lang w:eastAsia="zh-CN"/>
              </w:rPr>
              <w:t>。</w:t>
            </w:r>
          </w:p>
        </w:tc>
        <w:tc>
          <w:tcPr>
            <w:tcW w:w="695" w:type="pct"/>
            <w:vAlign w:val="top"/>
          </w:tcPr>
          <w:p w14:paraId="2748B20D">
            <w:pPr>
              <w:snapToGrid w:val="0"/>
              <w:spacing w:line="288" w:lineRule="auto"/>
              <w:ind w:left="709" w:leftChars="0" w:right="-27" w:rightChars="0" w:hanging="709" w:firstLineChars="0"/>
              <w:rPr>
                <w:rFonts w:ascii="宋体" w:hAnsi="宋体"/>
                <w:color w:val="auto"/>
                <w:highlight w:val="none"/>
              </w:rPr>
            </w:pPr>
          </w:p>
        </w:tc>
      </w:tr>
      <w:tr w14:paraId="7CD0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580" w:type="pct"/>
            <w:vMerge w:val="restart"/>
            <w:vAlign w:val="center"/>
          </w:tcPr>
          <w:p w14:paraId="59499550">
            <w:pPr>
              <w:spacing w:line="288" w:lineRule="auto"/>
              <w:jc w:val="center"/>
              <w:rPr>
                <w:rFonts w:ascii="宋体" w:hAnsi="宋体" w:cs="宋体"/>
                <w:color w:val="auto"/>
                <w:highlight w:val="none"/>
              </w:rPr>
            </w:pPr>
            <w:r>
              <w:rPr>
                <w:rFonts w:hint="eastAsia" w:ascii="宋体" w:hAnsi="宋体" w:cs="宋体"/>
                <w:color w:val="auto"/>
                <w:highlight w:val="none"/>
              </w:rPr>
              <w:t>2</w:t>
            </w:r>
          </w:p>
        </w:tc>
        <w:tc>
          <w:tcPr>
            <w:tcW w:w="818" w:type="pct"/>
            <w:vMerge w:val="restart"/>
            <w:vAlign w:val="center"/>
          </w:tcPr>
          <w:p w14:paraId="0F97D20D">
            <w:pPr>
              <w:spacing w:before="0" w:after="0" w:afterAutospacing="0"/>
              <w:ind w:left="0" w:right="0" w:firstLine="0"/>
              <w:jc w:val="center"/>
              <w:rPr>
                <w:rFonts w:hint="eastAsia" w:ascii="宋体" w:hAnsi="宋体" w:eastAsia="宋体" w:cs="宋体"/>
                <w:b/>
                <w:bCs/>
                <w:color w:val="auto"/>
                <w:sz w:val="18"/>
                <w:szCs w:val="18"/>
                <w:highlight w:val="none"/>
                <w:lang w:eastAsia="zh-CN"/>
              </w:rPr>
            </w:pPr>
            <w:r>
              <w:rPr>
                <w:rFonts w:hint="eastAsia" w:ascii="宋体" w:hAnsi="宋体" w:eastAsia="宋体" w:cs="宋体"/>
                <w:b/>
                <w:bCs/>
                <w:color w:val="auto"/>
                <w:sz w:val="18"/>
                <w:szCs w:val="18"/>
                <w:highlight w:val="none"/>
                <w:lang w:eastAsia="zh-CN"/>
              </w:rPr>
              <w:t>质量控制方案</w:t>
            </w:r>
          </w:p>
          <w:p w14:paraId="62DCC90C">
            <w:pPr>
              <w:spacing w:before="0" w:after="0" w:afterAutospacing="0"/>
              <w:ind w:left="0" w:leftChars="0" w:right="0" w:rightChars="0" w:firstLine="0" w:firstLineChars="0"/>
              <w:jc w:val="center"/>
              <w:rPr>
                <w:rFonts w:ascii="宋体" w:hAnsi="宋体" w:cs="宋体"/>
                <w:color w:val="auto"/>
                <w:highlight w:val="none"/>
              </w:rPr>
            </w:pPr>
            <w:r>
              <w:rPr>
                <w:rFonts w:hint="eastAsia" w:ascii="宋体" w:hAnsi="宋体" w:eastAsia="宋体" w:cs="宋体"/>
                <w:b/>
                <w:bCs/>
                <w:color w:val="auto"/>
                <w:sz w:val="18"/>
                <w:szCs w:val="18"/>
                <w:highlight w:val="none"/>
                <w:lang w:eastAsia="zh-CN"/>
              </w:rPr>
              <w:t>（</w:t>
            </w:r>
            <w:r>
              <w:rPr>
                <w:rFonts w:hint="eastAsia" w:ascii="宋体" w:hAnsi="宋体" w:eastAsia="宋体" w:cs="宋体"/>
                <w:b/>
                <w:bCs/>
                <w:color w:val="auto"/>
                <w:sz w:val="18"/>
                <w:szCs w:val="18"/>
                <w:highlight w:val="none"/>
                <w:lang w:val="en-US" w:eastAsia="zh-CN"/>
              </w:rPr>
              <w:t>10分</w:t>
            </w:r>
            <w:r>
              <w:rPr>
                <w:rFonts w:hint="eastAsia" w:ascii="宋体" w:hAnsi="宋体" w:eastAsia="宋体" w:cs="宋体"/>
                <w:b/>
                <w:bCs/>
                <w:color w:val="auto"/>
                <w:sz w:val="18"/>
                <w:szCs w:val="18"/>
                <w:highlight w:val="none"/>
                <w:lang w:eastAsia="zh-CN"/>
              </w:rPr>
              <w:t>）</w:t>
            </w:r>
          </w:p>
        </w:tc>
        <w:tc>
          <w:tcPr>
            <w:tcW w:w="733" w:type="pct"/>
            <w:vAlign w:val="center"/>
          </w:tcPr>
          <w:p w14:paraId="09B66559">
            <w:pPr>
              <w:ind w:left="709" w:leftChars="0" w:right="-27" w:rightChars="0" w:hanging="709" w:firstLineChars="0"/>
              <w:jc w:val="center"/>
              <w:textAlignment w:val="center"/>
              <w:rPr>
                <w:rFonts w:hint="default" w:ascii="宋体" w:hAnsi="宋体" w:eastAsia="宋体"/>
                <w:color w:val="auto"/>
                <w:highlight w:val="none"/>
                <w:lang w:val="en-US" w:eastAsia="zh-CN"/>
              </w:rPr>
            </w:pPr>
            <w:r>
              <w:rPr>
                <w:rFonts w:hint="eastAsia" w:ascii="宋体" w:hAnsi="宋体" w:cs="宋体"/>
                <w:color w:val="auto"/>
                <w:highlight w:val="none"/>
                <w:lang w:val="en-US" w:eastAsia="zh-CN" w:bidi="ar"/>
              </w:rPr>
              <w:t>7</w:t>
            </w:r>
            <w:r>
              <w:rPr>
                <w:rFonts w:hint="eastAsia" w:ascii="宋体" w:hAnsi="宋体" w:eastAsia="宋体" w:cs="宋体"/>
                <w:color w:val="auto"/>
                <w:highlight w:val="none"/>
                <w:lang w:eastAsia="zh-CN" w:bidi="ar"/>
              </w:rPr>
              <w:t>＜</w:t>
            </w:r>
            <w:r>
              <w:rPr>
                <w:rFonts w:hint="eastAsia" w:ascii="宋体" w:hAnsi="宋体" w:eastAsia="宋体" w:cs="宋体"/>
                <w:color w:val="auto"/>
                <w:highlight w:val="none"/>
                <w:lang w:bidi="ar"/>
              </w:rPr>
              <w:t>m≤</w:t>
            </w:r>
            <w:r>
              <w:rPr>
                <w:rFonts w:hint="eastAsia" w:ascii="宋体" w:hAnsi="宋体" w:cs="宋体"/>
                <w:color w:val="auto"/>
                <w:highlight w:val="none"/>
                <w:lang w:val="en-US" w:eastAsia="zh-CN" w:bidi="ar"/>
              </w:rPr>
              <w:t>10</w:t>
            </w:r>
          </w:p>
        </w:tc>
        <w:tc>
          <w:tcPr>
            <w:tcW w:w="2172" w:type="pct"/>
            <w:vAlign w:val="center"/>
          </w:tcPr>
          <w:p w14:paraId="6FD9F9BD">
            <w:pPr>
              <w:spacing w:before="0" w:after="0" w:afterAutospacing="0"/>
              <w:ind w:left="0" w:leftChars="0" w:right="0" w:rightChars="0" w:firstLine="0" w:firstLineChars="0"/>
              <w:jc w:val="left"/>
              <w:textAlignment w:val="center"/>
              <w:rPr>
                <w:rFonts w:hAnsi="宋体"/>
                <w:color w:val="auto"/>
                <w:sz w:val="21"/>
                <w:szCs w:val="21"/>
                <w:highlight w:val="none"/>
              </w:rPr>
            </w:pPr>
            <w:r>
              <w:rPr>
                <w:rStyle w:val="40"/>
                <w:rFonts w:ascii="宋体" w:hAnsi="宋体" w:eastAsia="宋体" w:cs="宋体"/>
                <w:b w:val="0"/>
                <w:color w:val="auto"/>
                <w:sz w:val="21"/>
                <w:szCs w:val="24"/>
                <w:highlight w:val="none"/>
              </w:rPr>
              <w:t>质量控制方案满足本项目要求；质量控制重点分析到位、明确；质量目标分解、规划合理，质量控制体系健全，质量控制措施有效可靠，控制手段先进完善</w:t>
            </w:r>
          </w:p>
        </w:tc>
        <w:tc>
          <w:tcPr>
            <w:tcW w:w="695" w:type="pct"/>
            <w:vAlign w:val="top"/>
          </w:tcPr>
          <w:p w14:paraId="54E19A85">
            <w:pPr>
              <w:snapToGrid w:val="0"/>
              <w:spacing w:line="288" w:lineRule="auto"/>
              <w:ind w:left="709" w:leftChars="0" w:right="-27" w:rightChars="0" w:hanging="709" w:firstLineChars="0"/>
              <w:rPr>
                <w:rFonts w:ascii="宋体" w:hAnsi="宋体"/>
                <w:color w:val="auto"/>
                <w:highlight w:val="none"/>
              </w:rPr>
            </w:pPr>
          </w:p>
        </w:tc>
      </w:tr>
      <w:tr w14:paraId="39E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580" w:type="pct"/>
            <w:vMerge w:val="continue"/>
            <w:vAlign w:val="center"/>
          </w:tcPr>
          <w:p w14:paraId="5FBB1557">
            <w:pPr>
              <w:spacing w:line="288" w:lineRule="auto"/>
              <w:jc w:val="center"/>
              <w:rPr>
                <w:rFonts w:ascii="宋体" w:hAnsi="宋体" w:cs="宋体"/>
                <w:color w:val="auto"/>
                <w:highlight w:val="none"/>
              </w:rPr>
            </w:pPr>
          </w:p>
        </w:tc>
        <w:tc>
          <w:tcPr>
            <w:tcW w:w="818" w:type="pct"/>
            <w:vMerge w:val="continue"/>
            <w:vAlign w:val="center"/>
          </w:tcPr>
          <w:p w14:paraId="20902791">
            <w:pPr>
              <w:spacing w:before="0" w:after="0" w:afterAutospacing="0"/>
              <w:ind w:left="0" w:leftChars="0" w:right="0" w:rightChars="0" w:firstLine="0" w:firstLineChars="0"/>
              <w:jc w:val="center"/>
              <w:rPr>
                <w:rFonts w:ascii="宋体" w:hAnsi="宋体" w:cs="宋体"/>
                <w:color w:val="auto"/>
                <w:highlight w:val="none"/>
              </w:rPr>
            </w:pPr>
          </w:p>
        </w:tc>
        <w:tc>
          <w:tcPr>
            <w:tcW w:w="733" w:type="pct"/>
            <w:vAlign w:val="center"/>
          </w:tcPr>
          <w:p w14:paraId="015DC5D0">
            <w:pPr>
              <w:ind w:left="709" w:leftChars="0" w:right="-27" w:rightChars="0" w:hanging="709" w:firstLineChars="0"/>
              <w:jc w:val="center"/>
              <w:textAlignment w:val="center"/>
              <w:rPr>
                <w:rFonts w:hint="default" w:ascii="宋体" w:hAnsi="宋体" w:eastAsia="宋体"/>
                <w:color w:val="auto"/>
                <w:highlight w:val="none"/>
                <w:lang w:val="en-US" w:eastAsia="zh-CN"/>
              </w:rPr>
            </w:pPr>
            <w:r>
              <w:rPr>
                <w:rFonts w:hint="eastAsia" w:ascii="宋体" w:hAnsi="宋体" w:cs="宋体"/>
                <w:color w:val="auto"/>
                <w:highlight w:val="none"/>
                <w:lang w:val="en-US" w:eastAsia="zh-CN" w:bidi="ar"/>
              </w:rPr>
              <w:t>3</w:t>
            </w:r>
            <w:r>
              <w:rPr>
                <w:rFonts w:hint="eastAsia" w:ascii="宋体" w:hAnsi="宋体" w:eastAsia="宋体" w:cs="宋体"/>
                <w:color w:val="auto"/>
                <w:highlight w:val="none"/>
                <w:lang w:bidi="ar"/>
              </w:rPr>
              <w:t>≤m≤</w:t>
            </w:r>
            <w:r>
              <w:rPr>
                <w:rFonts w:hint="eastAsia" w:ascii="宋体" w:hAnsi="宋体" w:cs="宋体"/>
                <w:color w:val="auto"/>
                <w:highlight w:val="none"/>
                <w:lang w:val="en-US" w:eastAsia="zh-CN" w:bidi="ar"/>
              </w:rPr>
              <w:t>7</w:t>
            </w:r>
          </w:p>
        </w:tc>
        <w:tc>
          <w:tcPr>
            <w:tcW w:w="2172" w:type="pct"/>
            <w:vAlign w:val="center"/>
          </w:tcPr>
          <w:p w14:paraId="7EE6349A">
            <w:pPr>
              <w:spacing w:before="0" w:after="0" w:afterAutospacing="0"/>
              <w:ind w:left="0" w:leftChars="0" w:right="0" w:rightChars="0" w:firstLine="0" w:firstLineChars="0"/>
              <w:jc w:val="left"/>
              <w:textAlignment w:val="center"/>
              <w:rPr>
                <w:rFonts w:hAnsi="宋体"/>
                <w:color w:val="auto"/>
                <w:highlight w:val="none"/>
              </w:rPr>
            </w:pPr>
            <w:r>
              <w:rPr>
                <w:rStyle w:val="40"/>
                <w:rFonts w:ascii="宋体" w:hAnsi="宋体" w:eastAsia="宋体" w:cs="宋体"/>
                <w:b w:val="0"/>
                <w:color w:val="auto"/>
                <w:sz w:val="21"/>
                <w:szCs w:val="24"/>
                <w:highlight w:val="none"/>
              </w:rPr>
              <w:t>质量控制方案较大程度满足本项目要求；质量控制重点分析可行；质量目标分解、规划较合理，质量控制体系较健全，质量控制措施较有效可靠，控制手段完善</w:t>
            </w:r>
          </w:p>
        </w:tc>
        <w:tc>
          <w:tcPr>
            <w:tcW w:w="695" w:type="pct"/>
            <w:vAlign w:val="top"/>
          </w:tcPr>
          <w:p w14:paraId="4250EDB6">
            <w:pPr>
              <w:snapToGrid w:val="0"/>
              <w:spacing w:line="288" w:lineRule="auto"/>
              <w:ind w:left="709" w:leftChars="0" w:right="-27" w:rightChars="0" w:hanging="709" w:firstLineChars="0"/>
              <w:rPr>
                <w:rFonts w:ascii="宋体" w:hAnsi="宋体"/>
                <w:color w:val="auto"/>
                <w:highlight w:val="none"/>
              </w:rPr>
            </w:pPr>
          </w:p>
        </w:tc>
      </w:tr>
      <w:tr w14:paraId="301CB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312F9493">
            <w:pPr>
              <w:spacing w:line="288" w:lineRule="auto"/>
              <w:jc w:val="center"/>
              <w:rPr>
                <w:rFonts w:ascii="宋体" w:hAnsi="宋体" w:cs="宋体"/>
                <w:color w:val="auto"/>
                <w:highlight w:val="none"/>
              </w:rPr>
            </w:pPr>
          </w:p>
        </w:tc>
        <w:tc>
          <w:tcPr>
            <w:tcW w:w="818" w:type="pct"/>
            <w:vMerge w:val="continue"/>
            <w:vAlign w:val="center"/>
          </w:tcPr>
          <w:p w14:paraId="1AC87238">
            <w:pPr>
              <w:spacing w:before="0" w:after="0" w:afterAutospacing="0"/>
              <w:ind w:left="0" w:leftChars="0" w:right="0" w:rightChars="0" w:firstLine="0" w:firstLineChars="0"/>
              <w:jc w:val="center"/>
              <w:rPr>
                <w:rFonts w:ascii="宋体" w:hAnsi="宋体" w:cs="宋体"/>
                <w:color w:val="auto"/>
                <w:highlight w:val="none"/>
              </w:rPr>
            </w:pPr>
          </w:p>
        </w:tc>
        <w:tc>
          <w:tcPr>
            <w:tcW w:w="733" w:type="pct"/>
            <w:vAlign w:val="center"/>
          </w:tcPr>
          <w:p w14:paraId="3C2521C8">
            <w:pPr>
              <w:ind w:left="709" w:leftChars="0" w:right="-27" w:rightChars="0" w:hanging="709" w:firstLineChars="0"/>
              <w:jc w:val="center"/>
              <w:textAlignment w:val="center"/>
              <w:rPr>
                <w:rFonts w:ascii="宋体" w:hAnsi="宋体"/>
                <w:color w:val="auto"/>
                <w:highlight w:val="none"/>
              </w:rPr>
            </w:pPr>
            <w:r>
              <w:rPr>
                <w:rFonts w:hint="eastAsia" w:ascii="宋体" w:hAnsi="宋体" w:cs="宋体"/>
                <w:color w:val="auto"/>
                <w:highlight w:val="none"/>
                <w:lang w:bidi="ar"/>
              </w:rPr>
              <w:t>0</w:t>
            </w:r>
            <w:r>
              <w:rPr>
                <w:rFonts w:hint="eastAsia" w:ascii="宋体" w:hAnsi="宋体" w:eastAsia="宋体" w:cs="宋体"/>
                <w:color w:val="auto"/>
                <w:highlight w:val="none"/>
                <w:lang w:bidi="ar"/>
              </w:rPr>
              <w:t>≤m</w:t>
            </w:r>
            <w:r>
              <w:rPr>
                <w:rFonts w:hint="eastAsia" w:ascii="宋体" w:hAnsi="宋体" w:eastAsia="宋体" w:cs="宋体"/>
                <w:color w:val="auto"/>
                <w:highlight w:val="none"/>
                <w:lang w:eastAsia="zh-CN" w:bidi="ar"/>
              </w:rPr>
              <w:t>＜</w:t>
            </w:r>
            <w:r>
              <w:rPr>
                <w:rFonts w:hint="eastAsia" w:ascii="宋体" w:hAnsi="宋体" w:cs="宋体"/>
                <w:color w:val="auto"/>
                <w:highlight w:val="none"/>
                <w:lang w:val="en-US" w:eastAsia="zh-CN" w:bidi="ar"/>
              </w:rPr>
              <w:t>3</w:t>
            </w:r>
          </w:p>
        </w:tc>
        <w:tc>
          <w:tcPr>
            <w:tcW w:w="2172" w:type="pct"/>
            <w:vAlign w:val="center"/>
          </w:tcPr>
          <w:p w14:paraId="48296C8D">
            <w:pPr>
              <w:spacing w:before="0" w:after="0" w:afterAutospacing="0"/>
              <w:ind w:left="0" w:leftChars="0" w:right="0" w:rightChars="0" w:firstLine="0" w:firstLineChars="0"/>
              <w:jc w:val="left"/>
              <w:textAlignment w:val="center"/>
              <w:rPr>
                <w:rFonts w:hAnsi="宋体"/>
                <w:color w:val="auto"/>
                <w:sz w:val="21"/>
                <w:szCs w:val="21"/>
                <w:highlight w:val="none"/>
              </w:rPr>
            </w:pPr>
            <w:r>
              <w:rPr>
                <w:rStyle w:val="40"/>
                <w:rFonts w:ascii="宋体" w:hAnsi="宋体" w:eastAsia="宋体" w:cs="宋体"/>
                <w:b w:val="0"/>
                <w:color w:val="auto"/>
                <w:sz w:val="21"/>
                <w:szCs w:val="24"/>
                <w:highlight w:val="none"/>
              </w:rPr>
              <w:t>质量控制方案勉强满足本项目要求；质量控制重点分析简单；质量目标分解、规划基本合理，有简单的质量控制体系，质量控制措施、控制手段较差</w:t>
            </w:r>
          </w:p>
        </w:tc>
        <w:tc>
          <w:tcPr>
            <w:tcW w:w="695" w:type="pct"/>
            <w:vAlign w:val="top"/>
          </w:tcPr>
          <w:p w14:paraId="54DFBAC9">
            <w:pPr>
              <w:snapToGrid w:val="0"/>
              <w:spacing w:line="288" w:lineRule="auto"/>
              <w:ind w:left="709" w:leftChars="0" w:right="-27" w:rightChars="0" w:hanging="709" w:firstLineChars="0"/>
              <w:rPr>
                <w:rFonts w:ascii="宋体" w:hAnsi="宋体"/>
                <w:color w:val="auto"/>
                <w:highlight w:val="none"/>
              </w:rPr>
            </w:pPr>
          </w:p>
        </w:tc>
      </w:tr>
      <w:tr w14:paraId="1F8B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restart"/>
            <w:vAlign w:val="center"/>
          </w:tcPr>
          <w:p w14:paraId="3A338B73">
            <w:pPr>
              <w:spacing w:line="288" w:lineRule="auto"/>
              <w:jc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w:t>
            </w:r>
          </w:p>
        </w:tc>
        <w:tc>
          <w:tcPr>
            <w:tcW w:w="818" w:type="pct"/>
            <w:vMerge w:val="restart"/>
            <w:vAlign w:val="center"/>
          </w:tcPr>
          <w:p w14:paraId="78DBB679">
            <w:pPr>
              <w:spacing w:before="0" w:after="0" w:afterAutospacing="0"/>
              <w:ind w:left="0" w:leftChars="0" w:right="0" w:rightChars="0" w:firstLine="0" w:firstLineChars="0"/>
              <w:jc w:val="center"/>
              <w:rPr>
                <w:rFonts w:hint="eastAsia" w:ascii="宋体" w:hAnsi="宋体" w:eastAsia="宋体" w:cs="宋体"/>
                <w:b/>
                <w:bCs/>
                <w:color w:val="auto"/>
                <w:sz w:val="18"/>
                <w:szCs w:val="18"/>
                <w:highlight w:val="none"/>
                <w:lang w:eastAsia="zh-CN"/>
              </w:rPr>
            </w:pPr>
            <w:r>
              <w:rPr>
                <w:rFonts w:hint="eastAsia" w:ascii="宋体" w:hAnsi="宋体" w:eastAsia="宋体" w:cs="宋体"/>
                <w:b/>
                <w:bCs/>
                <w:color w:val="auto"/>
                <w:sz w:val="18"/>
                <w:szCs w:val="18"/>
                <w:highlight w:val="none"/>
                <w:lang w:eastAsia="zh-CN"/>
              </w:rPr>
              <w:t>进度控制方案</w:t>
            </w:r>
          </w:p>
          <w:p w14:paraId="0D0C3B71">
            <w:pPr>
              <w:spacing w:before="0" w:after="0" w:afterAutospacing="0"/>
              <w:ind w:left="0" w:leftChars="0" w:right="0" w:rightChars="0" w:firstLine="0" w:firstLineChars="0"/>
              <w:jc w:val="center"/>
              <w:rPr>
                <w:rFonts w:ascii="宋体" w:hAnsi="宋体" w:cs="宋体"/>
                <w:color w:val="auto"/>
                <w:highlight w:val="none"/>
              </w:rPr>
            </w:pPr>
            <w:r>
              <w:rPr>
                <w:rFonts w:hint="eastAsia" w:ascii="宋体" w:hAnsi="宋体" w:eastAsia="宋体" w:cs="宋体"/>
                <w:b/>
                <w:bCs/>
                <w:color w:val="auto"/>
                <w:sz w:val="18"/>
                <w:szCs w:val="18"/>
                <w:highlight w:val="none"/>
                <w:lang w:eastAsia="zh-CN"/>
              </w:rPr>
              <w:t>（</w:t>
            </w:r>
            <w:r>
              <w:rPr>
                <w:rFonts w:hint="eastAsia" w:ascii="宋体" w:hAnsi="宋体" w:eastAsia="宋体" w:cs="宋体"/>
                <w:b/>
                <w:bCs/>
                <w:color w:val="auto"/>
                <w:sz w:val="18"/>
                <w:szCs w:val="18"/>
                <w:highlight w:val="none"/>
                <w:lang w:val="en-US" w:eastAsia="zh-CN"/>
              </w:rPr>
              <w:t>10分</w:t>
            </w:r>
            <w:r>
              <w:rPr>
                <w:rFonts w:hint="eastAsia" w:ascii="宋体" w:hAnsi="宋体" w:eastAsia="宋体" w:cs="宋体"/>
                <w:b/>
                <w:bCs/>
                <w:color w:val="auto"/>
                <w:sz w:val="18"/>
                <w:szCs w:val="18"/>
                <w:highlight w:val="none"/>
                <w:lang w:eastAsia="zh-CN"/>
              </w:rPr>
              <w:t>）</w:t>
            </w:r>
          </w:p>
        </w:tc>
        <w:tc>
          <w:tcPr>
            <w:tcW w:w="733" w:type="pct"/>
            <w:vAlign w:val="center"/>
          </w:tcPr>
          <w:p w14:paraId="29E9A6D0">
            <w:pPr>
              <w:ind w:left="709" w:leftChars="0" w:right="-27" w:rightChars="0" w:hanging="709" w:firstLineChars="0"/>
              <w:jc w:val="center"/>
              <w:textAlignment w:val="center"/>
              <w:rPr>
                <w:rFonts w:hint="eastAsia" w:ascii="宋体" w:hAnsi="宋体"/>
                <w:color w:val="auto"/>
                <w:highlight w:val="none"/>
              </w:rPr>
            </w:pPr>
            <w:r>
              <w:rPr>
                <w:rFonts w:hint="eastAsia" w:ascii="宋体" w:hAnsi="宋体" w:cs="宋体"/>
                <w:color w:val="auto"/>
                <w:highlight w:val="none"/>
                <w:lang w:val="en-US" w:eastAsia="zh-CN" w:bidi="ar"/>
              </w:rPr>
              <w:t>7</w:t>
            </w:r>
            <w:r>
              <w:rPr>
                <w:rFonts w:hint="eastAsia" w:ascii="宋体" w:hAnsi="宋体" w:eastAsia="宋体" w:cs="宋体"/>
                <w:color w:val="auto"/>
                <w:highlight w:val="none"/>
                <w:lang w:eastAsia="zh-CN" w:bidi="ar"/>
              </w:rPr>
              <w:t>＜</w:t>
            </w:r>
            <w:r>
              <w:rPr>
                <w:rFonts w:hint="eastAsia" w:ascii="宋体" w:hAnsi="宋体" w:eastAsia="宋体" w:cs="宋体"/>
                <w:color w:val="auto"/>
                <w:highlight w:val="none"/>
                <w:lang w:bidi="ar"/>
              </w:rPr>
              <w:t>m≤</w:t>
            </w:r>
            <w:r>
              <w:rPr>
                <w:rFonts w:hint="eastAsia" w:ascii="宋体" w:hAnsi="宋体" w:cs="宋体"/>
                <w:color w:val="auto"/>
                <w:highlight w:val="none"/>
                <w:lang w:val="en-US" w:eastAsia="zh-CN" w:bidi="ar"/>
              </w:rPr>
              <w:t>10</w:t>
            </w:r>
          </w:p>
        </w:tc>
        <w:tc>
          <w:tcPr>
            <w:tcW w:w="2172" w:type="pct"/>
            <w:vAlign w:val="center"/>
          </w:tcPr>
          <w:p w14:paraId="6D57EC90">
            <w:pPr>
              <w:spacing w:before="0" w:after="0" w:afterAutospacing="0"/>
              <w:ind w:left="0" w:leftChars="0" w:right="0" w:rightChars="0" w:firstLine="0" w:firstLineChars="0"/>
              <w:jc w:val="left"/>
              <w:textAlignment w:val="center"/>
              <w:rPr>
                <w:rFonts w:hint="eastAsia" w:hAnsi="宋体"/>
                <w:color w:val="auto"/>
                <w:sz w:val="21"/>
                <w:szCs w:val="21"/>
                <w:highlight w:val="none"/>
              </w:rPr>
            </w:pPr>
            <w:r>
              <w:rPr>
                <w:rStyle w:val="40"/>
                <w:rFonts w:ascii="宋体" w:hAnsi="宋体" w:eastAsia="宋体" w:cs="宋体"/>
                <w:b w:val="0"/>
                <w:color w:val="auto"/>
                <w:sz w:val="21"/>
                <w:szCs w:val="24"/>
                <w:highlight w:val="none"/>
              </w:rPr>
              <w:t>进度控制方案满足本项目要求；进度计划科学合理；节点或阶段进度目标明确;进度控制点设置科学切合实际，重点明确，控制措施与手段可靠有力</w:t>
            </w:r>
          </w:p>
        </w:tc>
        <w:tc>
          <w:tcPr>
            <w:tcW w:w="695" w:type="pct"/>
            <w:vAlign w:val="top"/>
          </w:tcPr>
          <w:p w14:paraId="02CCDDB8">
            <w:pPr>
              <w:snapToGrid w:val="0"/>
              <w:spacing w:line="288" w:lineRule="auto"/>
              <w:ind w:left="709" w:leftChars="0" w:right="-27" w:rightChars="0" w:hanging="709" w:firstLineChars="0"/>
              <w:rPr>
                <w:rFonts w:ascii="宋体" w:hAnsi="宋体"/>
                <w:color w:val="auto"/>
                <w:highlight w:val="none"/>
              </w:rPr>
            </w:pPr>
          </w:p>
        </w:tc>
      </w:tr>
      <w:tr w14:paraId="286D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59C24443">
            <w:pPr>
              <w:spacing w:line="288" w:lineRule="auto"/>
              <w:jc w:val="center"/>
              <w:rPr>
                <w:rFonts w:ascii="宋体" w:hAnsi="宋体" w:cs="宋体"/>
                <w:color w:val="auto"/>
                <w:highlight w:val="none"/>
              </w:rPr>
            </w:pPr>
          </w:p>
        </w:tc>
        <w:tc>
          <w:tcPr>
            <w:tcW w:w="818" w:type="pct"/>
            <w:vMerge w:val="continue"/>
            <w:vAlign w:val="center"/>
          </w:tcPr>
          <w:p w14:paraId="767DB595">
            <w:pPr>
              <w:spacing w:before="0" w:after="0" w:afterAutospacing="0"/>
              <w:ind w:left="0" w:leftChars="0" w:right="0" w:rightChars="0" w:firstLine="0" w:firstLineChars="0"/>
              <w:jc w:val="center"/>
              <w:rPr>
                <w:rFonts w:ascii="宋体" w:hAnsi="宋体" w:cs="宋体"/>
                <w:color w:val="auto"/>
                <w:highlight w:val="none"/>
              </w:rPr>
            </w:pPr>
          </w:p>
        </w:tc>
        <w:tc>
          <w:tcPr>
            <w:tcW w:w="733" w:type="pct"/>
            <w:vAlign w:val="center"/>
          </w:tcPr>
          <w:p w14:paraId="49178F41">
            <w:pPr>
              <w:ind w:left="709" w:leftChars="0" w:right="-27" w:rightChars="0" w:hanging="709" w:firstLineChars="0"/>
              <w:jc w:val="center"/>
              <w:textAlignment w:val="center"/>
              <w:rPr>
                <w:rFonts w:hint="eastAsia" w:ascii="宋体" w:hAnsi="宋体"/>
                <w:color w:val="auto"/>
                <w:highlight w:val="none"/>
              </w:rPr>
            </w:pPr>
            <w:r>
              <w:rPr>
                <w:rFonts w:hint="eastAsia" w:ascii="宋体" w:hAnsi="宋体" w:cs="宋体"/>
                <w:color w:val="auto"/>
                <w:highlight w:val="none"/>
                <w:lang w:val="en-US" w:eastAsia="zh-CN" w:bidi="ar"/>
              </w:rPr>
              <w:t>3</w:t>
            </w:r>
            <w:r>
              <w:rPr>
                <w:rFonts w:hint="eastAsia" w:ascii="宋体" w:hAnsi="宋体" w:eastAsia="宋体" w:cs="宋体"/>
                <w:color w:val="auto"/>
                <w:highlight w:val="none"/>
                <w:lang w:bidi="ar"/>
              </w:rPr>
              <w:t>≤m≤</w:t>
            </w:r>
            <w:r>
              <w:rPr>
                <w:rFonts w:hint="eastAsia" w:ascii="宋体" w:hAnsi="宋体" w:cs="宋体"/>
                <w:color w:val="auto"/>
                <w:highlight w:val="none"/>
                <w:lang w:val="en-US" w:eastAsia="zh-CN" w:bidi="ar"/>
              </w:rPr>
              <w:t>7</w:t>
            </w:r>
          </w:p>
        </w:tc>
        <w:tc>
          <w:tcPr>
            <w:tcW w:w="2172" w:type="pct"/>
            <w:vAlign w:val="center"/>
          </w:tcPr>
          <w:p w14:paraId="3A160F77">
            <w:pPr>
              <w:spacing w:before="0" w:after="0" w:afterAutospacing="0"/>
              <w:ind w:left="0" w:leftChars="0" w:right="0" w:rightChars="0" w:firstLine="0" w:firstLineChars="0"/>
              <w:jc w:val="left"/>
              <w:textAlignment w:val="center"/>
              <w:rPr>
                <w:rFonts w:hint="eastAsia" w:hAnsi="宋体"/>
                <w:color w:val="auto"/>
                <w:sz w:val="21"/>
                <w:szCs w:val="21"/>
                <w:highlight w:val="none"/>
              </w:rPr>
            </w:pPr>
            <w:r>
              <w:rPr>
                <w:rStyle w:val="40"/>
                <w:rFonts w:ascii="宋体" w:hAnsi="宋体" w:eastAsia="宋体" w:cs="宋体"/>
                <w:b w:val="0"/>
                <w:color w:val="auto"/>
                <w:sz w:val="21"/>
                <w:szCs w:val="24"/>
                <w:highlight w:val="none"/>
              </w:rPr>
              <w:t>进度控制方案较大程度满足本项目要求；进度计划较为合理；节点或阶段进度目标较明确；进度控制点设置合理，重点表述一般，控制措施与手段较可靠</w:t>
            </w:r>
          </w:p>
        </w:tc>
        <w:tc>
          <w:tcPr>
            <w:tcW w:w="695" w:type="pct"/>
            <w:vAlign w:val="top"/>
          </w:tcPr>
          <w:p w14:paraId="4FB2870E">
            <w:pPr>
              <w:snapToGrid w:val="0"/>
              <w:spacing w:line="288" w:lineRule="auto"/>
              <w:ind w:left="709" w:leftChars="0" w:right="-27" w:rightChars="0" w:hanging="709" w:firstLineChars="0"/>
              <w:rPr>
                <w:rFonts w:ascii="宋体" w:hAnsi="宋体"/>
                <w:color w:val="auto"/>
                <w:highlight w:val="none"/>
              </w:rPr>
            </w:pPr>
          </w:p>
        </w:tc>
      </w:tr>
      <w:tr w14:paraId="1FE0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6A914A89">
            <w:pPr>
              <w:spacing w:line="288" w:lineRule="auto"/>
              <w:jc w:val="center"/>
              <w:rPr>
                <w:rFonts w:ascii="宋体" w:hAnsi="宋体" w:cs="宋体"/>
                <w:color w:val="auto"/>
                <w:highlight w:val="none"/>
              </w:rPr>
            </w:pPr>
          </w:p>
        </w:tc>
        <w:tc>
          <w:tcPr>
            <w:tcW w:w="818" w:type="pct"/>
            <w:vMerge w:val="continue"/>
            <w:vAlign w:val="center"/>
          </w:tcPr>
          <w:p w14:paraId="0845F6C6">
            <w:pPr>
              <w:spacing w:before="0" w:after="0" w:afterAutospacing="0"/>
              <w:ind w:left="0" w:leftChars="0" w:right="0" w:rightChars="0" w:firstLine="0" w:firstLineChars="0"/>
              <w:jc w:val="center"/>
              <w:rPr>
                <w:rFonts w:ascii="宋体" w:hAnsi="宋体" w:cs="宋体"/>
                <w:color w:val="auto"/>
                <w:highlight w:val="none"/>
              </w:rPr>
            </w:pPr>
          </w:p>
        </w:tc>
        <w:tc>
          <w:tcPr>
            <w:tcW w:w="733" w:type="pct"/>
            <w:vAlign w:val="center"/>
          </w:tcPr>
          <w:p w14:paraId="1FD85376">
            <w:pPr>
              <w:ind w:left="709" w:leftChars="0" w:right="-27" w:rightChars="0" w:hanging="709" w:firstLineChars="0"/>
              <w:jc w:val="center"/>
              <w:textAlignment w:val="center"/>
              <w:rPr>
                <w:rFonts w:hint="eastAsia" w:ascii="宋体" w:hAnsi="宋体"/>
                <w:color w:val="auto"/>
                <w:highlight w:val="none"/>
              </w:rPr>
            </w:pPr>
            <w:r>
              <w:rPr>
                <w:rFonts w:hint="eastAsia" w:ascii="宋体" w:hAnsi="宋体" w:cs="宋体"/>
                <w:color w:val="auto"/>
                <w:highlight w:val="none"/>
                <w:lang w:bidi="ar"/>
              </w:rPr>
              <w:t>0</w:t>
            </w:r>
            <w:r>
              <w:rPr>
                <w:rFonts w:hint="eastAsia" w:ascii="宋体" w:hAnsi="宋体" w:eastAsia="宋体" w:cs="宋体"/>
                <w:color w:val="auto"/>
                <w:highlight w:val="none"/>
                <w:lang w:bidi="ar"/>
              </w:rPr>
              <w:t>≤m</w:t>
            </w:r>
            <w:r>
              <w:rPr>
                <w:rFonts w:hint="eastAsia" w:ascii="宋体" w:hAnsi="宋体" w:eastAsia="宋体" w:cs="宋体"/>
                <w:color w:val="auto"/>
                <w:highlight w:val="none"/>
                <w:lang w:eastAsia="zh-CN" w:bidi="ar"/>
              </w:rPr>
              <w:t>＜</w:t>
            </w:r>
            <w:r>
              <w:rPr>
                <w:rFonts w:hint="eastAsia" w:ascii="宋体" w:hAnsi="宋体" w:cs="宋体"/>
                <w:color w:val="auto"/>
                <w:highlight w:val="none"/>
                <w:lang w:val="en-US" w:eastAsia="zh-CN" w:bidi="ar"/>
              </w:rPr>
              <w:t>3</w:t>
            </w:r>
          </w:p>
        </w:tc>
        <w:tc>
          <w:tcPr>
            <w:tcW w:w="2172" w:type="pct"/>
            <w:vAlign w:val="center"/>
          </w:tcPr>
          <w:p w14:paraId="54FC07B1">
            <w:pPr>
              <w:spacing w:before="0" w:after="0" w:afterAutospacing="0"/>
              <w:ind w:left="0" w:leftChars="0" w:right="0" w:rightChars="0" w:firstLine="0" w:firstLineChars="0"/>
              <w:jc w:val="left"/>
              <w:textAlignment w:val="center"/>
              <w:rPr>
                <w:rFonts w:hint="eastAsia" w:hAnsi="宋体"/>
                <w:color w:val="auto"/>
                <w:sz w:val="21"/>
                <w:szCs w:val="21"/>
                <w:highlight w:val="none"/>
              </w:rPr>
            </w:pPr>
            <w:r>
              <w:rPr>
                <w:rStyle w:val="40"/>
                <w:rFonts w:ascii="宋体" w:hAnsi="宋体" w:eastAsia="宋体" w:cs="宋体"/>
                <w:b w:val="0"/>
                <w:color w:val="auto"/>
                <w:sz w:val="21"/>
                <w:szCs w:val="24"/>
                <w:highlight w:val="none"/>
              </w:rPr>
              <w:t>进度控制方案勉强满足本项目要求；进度计划一般；节点或阶段进度目标不够明确；进度控制点设置简单，重点不够明确，控制措施与手段较差</w:t>
            </w:r>
          </w:p>
        </w:tc>
        <w:tc>
          <w:tcPr>
            <w:tcW w:w="695" w:type="pct"/>
            <w:vAlign w:val="top"/>
          </w:tcPr>
          <w:p w14:paraId="37DDC91E">
            <w:pPr>
              <w:snapToGrid w:val="0"/>
              <w:spacing w:line="288" w:lineRule="auto"/>
              <w:ind w:left="709" w:leftChars="0" w:right="-27" w:rightChars="0" w:hanging="709" w:firstLineChars="0"/>
              <w:rPr>
                <w:rFonts w:ascii="宋体" w:hAnsi="宋体"/>
                <w:color w:val="auto"/>
                <w:highlight w:val="none"/>
              </w:rPr>
            </w:pPr>
          </w:p>
        </w:tc>
      </w:tr>
      <w:tr w14:paraId="2FE6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restart"/>
            <w:vAlign w:val="center"/>
          </w:tcPr>
          <w:p w14:paraId="586595A3">
            <w:pPr>
              <w:spacing w:line="288" w:lineRule="auto"/>
              <w:jc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4</w:t>
            </w:r>
          </w:p>
        </w:tc>
        <w:tc>
          <w:tcPr>
            <w:tcW w:w="818" w:type="pct"/>
            <w:vMerge w:val="restart"/>
            <w:vAlign w:val="center"/>
          </w:tcPr>
          <w:p w14:paraId="78891180">
            <w:pPr>
              <w:spacing w:before="0" w:after="0" w:afterAutospacing="0"/>
              <w:ind w:left="0" w:right="0" w:firstLine="0"/>
              <w:jc w:val="center"/>
              <w:rPr>
                <w:rFonts w:hint="eastAsia" w:ascii="宋体" w:hAnsi="宋体" w:eastAsia="宋体" w:cs="宋体"/>
                <w:b/>
                <w:bCs/>
                <w:color w:val="auto"/>
                <w:sz w:val="18"/>
                <w:szCs w:val="18"/>
                <w:highlight w:val="none"/>
                <w:lang w:eastAsia="zh-CN"/>
              </w:rPr>
            </w:pPr>
            <w:r>
              <w:rPr>
                <w:rFonts w:hint="eastAsia" w:ascii="宋体" w:hAnsi="宋体" w:eastAsia="宋体" w:cs="宋体"/>
                <w:b/>
                <w:bCs/>
                <w:color w:val="auto"/>
                <w:sz w:val="18"/>
                <w:szCs w:val="18"/>
                <w:highlight w:val="none"/>
                <w:lang w:eastAsia="zh-CN"/>
              </w:rPr>
              <w:t>项目人员配置</w:t>
            </w:r>
          </w:p>
          <w:p w14:paraId="780F7C91">
            <w:pPr>
              <w:spacing w:before="0" w:after="0" w:afterAutospacing="0"/>
              <w:ind w:left="0" w:right="0" w:firstLine="0"/>
              <w:jc w:val="center"/>
              <w:rPr>
                <w:rFonts w:hint="eastAsia" w:ascii="宋体" w:hAnsi="宋体" w:eastAsia="宋体" w:cs="宋体"/>
                <w:b/>
                <w:bCs/>
                <w:color w:val="auto"/>
                <w:sz w:val="18"/>
                <w:szCs w:val="18"/>
                <w:highlight w:val="none"/>
                <w:lang w:eastAsia="zh-CN"/>
              </w:rPr>
            </w:pPr>
            <w:r>
              <w:rPr>
                <w:rFonts w:hint="eastAsia" w:ascii="宋体" w:hAnsi="宋体" w:eastAsia="宋体" w:cs="宋体"/>
                <w:b/>
                <w:bCs/>
                <w:color w:val="auto"/>
                <w:sz w:val="18"/>
                <w:szCs w:val="18"/>
                <w:highlight w:val="none"/>
                <w:lang w:eastAsia="zh-CN"/>
              </w:rPr>
              <w:t>（满分</w:t>
            </w:r>
            <w:r>
              <w:rPr>
                <w:rFonts w:hint="eastAsia" w:ascii="宋体" w:hAnsi="宋体" w:eastAsia="宋体" w:cs="宋体"/>
                <w:b/>
                <w:bCs/>
                <w:color w:val="auto"/>
                <w:sz w:val="18"/>
                <w:szCs w:val="18"/>
                <w:highlight w:val="none"/>
                <w:lang w:val="en-US" w:eastAsia="zh-CN"/>
              </w:rPr>
              <w:t>1</w:t>
            </w:r>
            <w:r>
              <w:rPr>
                <w:rFonts w:hint="eastAsia" w:ascii="宋体" w:hAnsi="宋体" w:eastAsia="宋体" w:cs="宋体"/>
                <w:b/>
                <w:bCs/>
                <w:color w:val="auto"/>
                <w:sz w:val="18"/>
                <w:szCs w:val="18"/>
                <w:highlight w:val="none"/>
                <w:lang w:eastAsia="zh-CN"/>
              </w:rPr>
              <w:t>0分）</w:t>
            </w:r>
          </w:p>
        </w:tc>
        <w:tc>
          <w:tcPr>
            <w:tcW w:w="733" w:type="pct"/>
            <w:vAlign w:val="center"/>
          </w:tcPr>
          <w:p w14:paraId="563956F1">
            <w:pPr>
              <w:ind w:left="709" w:leftChars="0" w:right="-27" w:rightChars="0" w:hanging="709" w:firstLineChars="0"/>
              <w:jc w:val="center"/>
              <w:textAlignment w:val="center"/>
              <w:rPr>
                <w:rFonts w:hint="eastAsia" w:ascii="宋体" w:hAnsi="宋体"/>
                <w:color w:val="auto"/>
                <w:highlight w:val="none"/>
              </w:rPr>
            </w:pPr>
            <w:r>
              <w:rPr>
                <w:rFonts w:hint="eastAsia" w:ascii="宋体" w:hAnsi="宋体" w:cs="宋体"/>
                <w:color w:val="auto"/>
                <w:highlight w:val="none"/>
                <w:lang w:val="en-US" w:eastAsia="zh-CN" w:bidi="ar"/>
              </w:rPr>
              <w:t>7</w:t>
            </w:r>
            <w:r>
              <w:rPr>
                <w:rFonts w:hint="eastAsia" w:ascii="宋体" w:hAnsi="宋体" w:eastAsia="宋体" w:cs="宋体"/>
                <w:color w:val="auto"/>
                <w:highlight w:val="none"/>
                <w:lang w:eastAsia="zh-CN" w:bidi="ar"/>
              </w:rPr>
              <w:t>＜</w:t>
            </w:r>
            <w:r>
              <w:rPr>
                <w:rFonts w:hint="eastAsia" w:ascii="宋体" w:hAnsi="宋体" w:eastAsia="宋体" w:cs="宋体"/>
                <w:color w:val="auto"/>
                <w:highlight w:val="none"/>
                <w:lang w:bidi="ar"/>
              </w:rPr>
              <w:t>m≤</w:t>
            </w:r>
            <w:r>
              <w:rPr>
                <w:rFonts w:hint="eastAsia" w:ascii="宋体" w:hAnsi="宋体" w:cs="宋体"/>
                <w:color w:val="auto"/>
                <w:highlight w:val="none"/>
                <w:lang w:val="en-US" w:eastAsia="zh-CN" w:bidi="ar"/>
              </w:rPr>
              <w:t>10</w:t>
            </w:r>
          </w:p>
        </w:tc>
        <w:tc>
          <w:tcPr>
            <w:tcW w:w="2172" w:type="pct"/>
            <w:vAlign w:val="center"/>
          </w:tcPr>
          <w:p w14:paraId="3910D7AD">
            <w:pPr>
              <w:pStyle w:val="19"/>
              <w:ind w:left="0" w:leftChars="0" w:right="-27" w:rightChars="0" w:firstLine="0" w:firstLineChars="0"/>
              <w:rPr>
                <w:rFonts w:hint="default" w:hAnsi="宋体" w:eastAsia="宋体"/>
                <w:color w:val="auto"/>
                <w:sz w:val="21"/>
                <w:szCs w:val="21"/>
                <w:highlight w:val="none"/>
                <w:lang w:val="en-US" w:eastAsia="zh-CN"/>
              </w:rPr>
            </w:pPr>
            <w:r>
              <w:rPr>
                <w:rFonts w:hint="eastAsia" w:hAnsi="宋体"/>
                <w:color w:val="auto"/>
                <w:sz w:val="21"/>
                <w:szCs w:val="21"/>
                <w:highlight w:val="none"/>
              </w:rPr>
              <w:t>项目团队配置完善，人员资质、经验、能力丰富，完全满足</w:t>
            </w:r>
            <w:r>
              <w:rPr>
                <w:rFonts w:hint="eastAsia" w:hAnsi="宋体"/>
                <w:color w:val="auto"/>
                <w:sz w:val="21"/>
                <w:szCs w:val="21"/>
                <w:highlight w:val="none"/>
                <w:lang w:val="en-US" w:eastAsia="zh-CN"/>
              </w:rPr>
              <w:t>勘察服务需求且项目团队总人数4人（含）以上。</w:t>
            </w:r>
          </w:p>
        </w:tc>
        <w:tc>
          <w:tcPr>
            <w:tcW w:w="695" w:type="pct"/>
            <w:vAlign w:val="top"/>
          </w:tcPr>
          <w:p w14:paraId="37A268CD">
            <w:pPr>
              <w:snapToGrid w:val="0"/>
              <w:spacing w:line="288" w:lineRule="auto"/>
              <w:ind w:left="709" w:leftChars="0" w:right="-27" w:rightChars="0" w:hanging="709" w:firstLineChars="0"/>
              <w:rPr>
                <w:rFonts w:ascii="宋体" w:hAnsi="宋体"/>
                <w:color w:val="auto"/>
                <w:highlight w:val="none"/>
              </w:rPr>
            </w:pPr>
          </w:p>
        </w:tc>
      </w:tr>
      <w:tr w14:paraId="2F6ED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07B8E0E3">
            <w:pPr>
              <w:spacing w:line="288" w:lineRule="auto"/>
              <w:jc w:val="center"/>
              <w:rPr>
                <w:rFonts w:ascii="宋体" w:hAnsi="宋体" w:cs="宋体"/>
                <w:color w:val="auto"/>
                <w:highlight w:val="none"/>
              </w:rPr>
            </w:pPr>
          </w:p>
        </w:tc>
        <w:tc>
          <w:tcPr>
            <w:tcW w:w="818" w:type="pct"/>
            <w:vMerge w:val="continue"/>
            <w:vAlign w:val="center"/>
          </w:tcPr>
          <w:p w14:paraId="668A2CA2">
            <w:pPr>
              <w:spacing w:before="0" w:after="0" w:afterAutospacing="0"/>
              <w:ind w:left="0" w:right="0" w:firstLine="0"/>
              <w:jc w:val="center"/>
              <w:rPr>
                <w:rFonts w:hint="eastAsia" w:ascii="宋体" w:hAnsi="宋体" w:eastAsia="宋体" w:cs="宋体"/>
                <w:b/>
                <w:bCs/>
                <w:color w:val="auto"/>
                <w:sz w:val="18"/>
                <w:szCs w:val="18"/>
                <w:highlight w:val="none"/>
                <w:lang w:eastAsia="zh-CN"/>
              </w:rPr>
            </w:pPr>
          </w:p>
        </w:tc>
        <w:tc>
          <w:tcPr>
            <w:tcW w:w="733" w:type="pct"/>
            <w:vAlign w:val="center"/>
          </w:tcPr>
          <w:p w14:paraId="5812AAA0">
            <w:pPr>
              <w:ind w:left="709" w:leftChars="0" w:right="-27" w:rightChars="0" w:hanging="709" w:firstLineChars="0"/>
              <w:jc w:val="center"/>
              <w:textAlignment w:val="center"/>
              <w:rPr>
                <w:rFonts w:hint="eastAsia" w:ascii="宋体" w:hAnsi="宋体"/>
                <w:color w:val="auto"/>
                <w:highlight w:val="none"/>
              </w:rPr>
            </w:pPr>
            <w:r>
              <w:rPr>
                <w:rFonts w:hint="eastAsia" w:ascii="宋体" w:hAnsi="宋体" w:cs="宋体"/>
                <w:color w:val="auto"/>
                <w:highlight w:val="none"/>
                <w:lang w:val="en-US" w:eastAsia="zh-CN" w:bidi="ar"/>
              </w:rPr>
              <w:t>3</w:t>
            </w:r>
            <w:r>
              <w:rPr>
                <w:rFonts w:hint="eastAsia" w:ascii="宋体" w:hAnsi="宋体" w:eastAsia="宋体" w:cs="宋体"/>
                <w:color w:val="auto"/>
                <w:highlight w:val="none"/>
                <w:lang w:bidi="ar"/>
              </w:rPr>
              <w:t>≤m≤</w:t>
            </w:r>
            <w:r>
              <w:rPr>
                <w:rFonts w:hint="eastAsia" w:ascii="宋体" w:hAnsi="宋体" w:cs="宋体"/>
                <w:color w:val="auto"/>
                <w:highlight w:val="none"/>
                <w:lang w:val="en-US" w:eastAsia="zh-CN" w:bidi="ar"/>
              </w:rPr>
              <w:t>7</w:t>
            </w:r>
          </w:p>
        </w:tc>
        <w:tc>
          <w:tcPr>
            <w:tcW w:w="2172" w:type="pct"/>
            <w:vAlign w:val="center"/>
          </w:tcPr>
          <w:p w14:paraId="4E9B221F">
            <w:pPr>
              <w:pStyle w:val="19"/>
              <w:ind w:left="0" w:leftChars="0" w:right="-27" w:rightChars="0" w:firstLine="0" w:firstLineChars="0"/>
              <w:rPr>
                <w:rFonts w:hint="eastAsia" w:hAnsi="宋体"/>
                <w:color w:val="auto"/>
                <w:sz w:val="21"/>
                <w:szCs w:val="21"/>
                <w:highlight w:val="none"/>
              </w:rPr>
            </w:pPr>
            <w:r>
              <w:rPr>
                <w:rFonts w:hint="eastAsia" w:hAnsi="宋体"/>
                <w:color w:val="auto"/>
                <w:sz w:val="21"/>
                <w:szCs w:val="21"/>
                <w:highlight w:val="none"/>
              </w:rPr>
              <w:t>项目团队配置齐全，人员资质、经验、能力较好，满足</w:t>
            </w:r>
            <w:r>
              <w:rPr>
                <w:rFonts w:hint="eastAsia" w:hAnsi="宋体"/>
                <w:color w:val="auto"/>
                <w:sz w:val="21"/>
                <w:szCs w:val="21"/>
                <w:highlight w:val="none"/>
                <w:lang w:val="en-US" w:eastAsia="zh-CN"/>
              </w:rPr>
              <w:t>勘察</w:t>
            </w:r>
            <w:r>
              <w:rPr>
                <w:rFonts w:hint="eastAsia" w:hAnsi="宋体"/>
                <w:color w:val="auto"/>
                <w:sz w:val="21"/>
                <w:szCs w:val="21"/>
                <w:highlight w:val="none"/>
              </w:rPr>
              <w:t>服务需求</w:t>
            </w:r>
            <w:r>
              <w:rPr>
                <w:rFonts w:hint="eastAsia" w:hAnsi="宋体"/>
                <w:color w:val="auto"/>
                <w:sz w:val="21"/>
                <w:szCs w:val="21"/>
                <w:highlight w:val="none"/>
                <w:lang w:val="en-US" w:eastAsia="zh-CN"/>
              </w:rPr>
              <w:t>且项目团队总人数3人（含）以上。</w:t>
            </w:r>
          </w:p>
        </w:tc>
        <w:tc>
          <w:tcPr>
            <w:tcW w:w="695" w:type="pct"/>
            <w:vAlign w:val="top"/>
          </w:tcPr>
          <w:p w14:paraId="6AD127AE">
            <w:pPr>
              <w:snapToGrid w:val="0"/>
              <w:spacing w:line="288" w:lineRule="auto"/>
              <w:ind w:left="709" w:leftChars="0" w:right="-27" w:rightChars="0" w:hanging="709" w:firstLineChars="0"/>
              <w:rPr>
                <w:rFonts w:ascii="宋体" w:hAnsi="宋体"/>
                <w:color w:val="auto"/>
                <w:highlight w:val="none"/>
              </w:rPr>
            </w:pPr>
          </w:p>
        </w:tc>
      </w:tr>
      <w:tr w14:paraId="0D4F1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2C0C93C9">
            <w:pPr>
              <w:spacing w:line="288" w:lineRule="auto"/>
              <w:jc w:val="center"/>
              <w:rPr>
                <w:rFonts w:ascii="宋体" w:hAnsi="宋体" w:cs="宋体"/>
                <w:color w:val="auto"/>
                <w:highlight w:val="none"/>
              </w:rPr>
            </w:pPr>
          </w:p>
        </w:tc>
        <w:tc>
          <w:tcPr>
            <w:tcW w:w="818" w:type="pct"/>
            <w:vMerge w:val="continue"/>
            <w:vAlign w:val="center"/>
          </w:tcPr>
          <w:p w14:paraId="4EACFD01">
            <w:pPr>
              <w:spacing w:before="0" w:after="0" w:afterAutospacing="0"/>
              <w:ind w:left="0" w:right="0" w:firstLine="0"/>
              <w:jc w:val="center"/>
              <w:rPr>
                <w:rFonts w:hint="eastAsia" w:ascii="宋体" w:hAnsi="宋体" w:eastAsia="宋体" w:cs="宋体"/>
                <w:b/>
                <w:bCs/>
                <w:color w:val="auto"/>
                <w:sz w:val="18"/>
                <w:szCs w:val="18"/>
                <w:highlight w:val="none"/>
                <w:lang w:eastAsia="zh-CN"/>
              </w:rPr>
            </w:pPr>
          </w:p>
        </w:tc>
        <w:tc>
          <w:tcPr>
            <w:tcW w:w="733" w:type="pct"/>
            <w:vAlign w:val="center"/>
          </w:tcPr>
          <w:p w14:paraId="539A4EEB">
            <w:pPr>
              <w:ind w:left="709" w:leftChars="0" w:right="-27" w:rightChars="0" w:hanging="709" w:firstLineChars="0"/>
              <w:jc w:val="center"/>
              <w:textAlignment w:val="center"/>
              <w:rPr>
                <w:rFonts w:hint="eastAsia" w:ascii="宋体" w:hAnsi="宋体"/>
                <w:color w:val="auto"/>
                <w:highlight w:val="none"/>
              </w:rPr>
            </w:pPr>
            <w:r>
              <w:rPr>
                <w:rFonts w:hint="eastAsia" w:ascii="宋体" w:hAnsi="宋体" w:cs="宋体"/>
                <w:color w:val="auto"/>
                <w:highlight w:val="none"/>
                <w:lang w:bidi="ar"/>
              </w:rPr>
              <w:t>0</w:t>
            </w:r>
            <w:r>
              <w:rPr>
                <w:rFonts w:hint="eastAsia" w:ascii="宋体" w:hAnsi="宋体" w:eastAsia="宋体" w:cs="宋体"/>
                <w:color w:val="auto"/>
                <w:highlight w:val="none"/>
                <w:lang w:bidi="ar"/>
              </w:rPr>
              <w:t>≤m</w:t>
            </w:r>
            <w:r>
              <w:rPr>
                <w:rFonts w:hint="eastAsia" w:ascii="宋体" w:hAnsi="宋体" w:eastAsia="宋体" w:cs="宋体"/>
                <w:color w:val="auto"/>
                <w:highlight w:val="none"/>
                <w:lang w:eastAsia="zh-CN" w:bidi="ar"/>
              </w:rPr>
              <w:t>＜</w:t>
            </w:r>
            <w:r>
              <w:rPr>
                <w:rFonts w:hint="eastAsia" w:ascii="宋体" w:hAnsi="宋体" w:cs="宋体"/>
                <w:color w:val="auto"/>
                <w:highlight w:val="none"/>
                <w:lang w:val="en-US" w:eastAsia="zh-CN" w:bidi="ar"/>
              </w:rPr>
              <w:t>3</w:t>
            </w:r>
          </w:p>
        </w:tc>
        <w:tc>
          <w:tcPr>
            <w:tcW w:w="2172" w:type="pct"/>
            <w:vAlign w:val="center"/>
          </w:tcPr>
          <w:p w14:paraId="6910050F">
            <w:pPr>
              <w:pStyle w:val="19"/>
              <w:ind w:left="0" w:leftChars="0" w:right="-27" w:rightChars="0" w:firstLine="0" w:firstLineChars="0"/>
              <w:rPr>
                <w:rFonts w:hint="eastAsia" w:hAnsi="宋体"/>
                <w:color w:val="auto"/>
                <w:sz w:val="21"/>
                <w:szCs w:val="21"/>
                <w:highlight w:val="none"/>
              </w:rPr>
            </w:pPr>
            <w:r>
              <w:rPr>
                <w:rFonts w:hint="eastAsia" w:hAnsi="宋体"/>
                <w:color w:val="auto"/>
                <w:sz w:val="21"/>
                <w:szCs w:val="21"/>
                <w:highlight w:val="none"/>
              </w:rPr>
              <w:t>项目团队配置一般，人员资质、经验、能力一般，基本满足</w:t>
            </w:r>
            <w:r>
              <w:rPr>
                <w:rFonts w:hint="eastAsia" w:hAnsi="宋体"/>
                <w:color w:val="auto"/>
                <w:sz w:val="21"/>
                <w:szCs w:val="21"/>
                <w:highlight w:val="none"/>
                <w:lang w:val="en-US" w:eastAsia="zh-CN"/>
              </w:rPr>
              <w:t>勘察</w:t>
            </w:r>
            <w:r>
              <w:rPr>
                <w:rFonts w:hint="eastAsia" w:hAnsi="宋体"/>
                <w:color w:val="auto"/>
                <w:sz w:val="21"/>
                <w:szCs w:val="21"/>
                <w:highlight w:val="none"/>
              </w:rPr>
              <w:t>服务需求</w:t>
            </w:r>
            <w:r>
              <w:rPr>
                <w:rFonts w:hint="eastAsia" w:hAnsi="宋体"/>
                <w:color w:val="auto"/>
                <w:sz w:val="21"/>
                <w:szCs w:val="21"/>
                <w:highlight w:val="none"/>
                <w:lang w:val="en-US" w:eastAsia="zh-CN"/>
              </w:rPr>
              <w:t>且项目团队总人数2人（含）以上。</w:t>
            </w:r>
          </w:p>
        </w:tc>
        <w:tc>
          <w:tcPr>
            <w:tcW w:w="695" w:type="pct"/>
            <w:vAlign w:val="top"/>
          </w:tcPr>
          <w:p w14:paraId="50257681">
            <w:pPr>
              <w:snapToGrid w:val="0"/>
              <w:spacing w:line="288" w:lineRule="auto"/>
              <w:ind w:left="709" w:leftChars="0" w:right="-27" w:rightChars="0" w:hanging="709" w:firstLineChars="0"/>
              <w:rPr>
                <w:rFonts w:ascii="宋体" w:hAnsi="宋体"/>
                <w:color w:val="auto"/>
                <w:highlight w:val="none"/>
              </w:rPr>
            </w:pPr>
          </w:p>
        </w:tc>
      </w:tr>
      <w:tr w14:paraId="38B57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jc w:val="center"/>
        </w:trPr>
        <w:tc>
          <w:tcPr>
            <w:tcW w:w="580" w:type="pct"/>
            <w:vAlign w:val="center"/>
          </w:tcPr>
          <w:p w14:paraId="65AC2516">
            <w:pPr>
              <w:spacing w:line="288" w:lineRule="auto"/>
              <w:jc w:val="center"/>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5</w:t>
            </w:r>
          </w:p>
        </w:tc>
        <w:tc>
          <w:tcPr>
            <w:tcW w:w="818" w:type="pct"/>
            <w:vAlign w:val="center"/>
          </w:tcPr>
          <w:p w14:paraId="3A7661D8">
            <w:pPr>
              <w:spacing w:before="0" w:after="0" w:afterAutospacing="0"/>
              <w:ind w:left="0" w:right="0" w:firstLine="0"/>
              <w:jc w:val="center"/>
              <w:rPr>
                <w:rFonts w:hint="eastAsia" w:ascii="宋体" w:hAnsi="宋体" w:eastAsia="宋体" w:cs="宋体"/>
                <w:b/>
                <w:bCs/>
                <w:color w:val="auto"/>
                <w:sz w:val="18"/>
                <w:szCs w:val="18"/>
                <w:highlight w:val="none"/>
                <w:lang w:eastAsia="zh-CN"/>
              </w:rPr>
            </w:pPr>
            <w:r>
              <w:rPr>
                <w:rFonts w:hint="eastAsia" w:ascii="宋体" w:hAnsi="宋体" w:eastAsia="宋体" w:cs="宋体"/>
                <w:b/>
                <w:bCs/>
                <w:color w:val="auto"/>
                <w:sz w:val="18"/>
                <w:szCs w:val="18"/>
                <w:highlight w:val="none"/>
                <w:lang w:eastAsia="zh-CN"/>
              </w:rPr>
              <w:t>业绩分</w:t>
            </w:r>
          </w:p>
          <w:p w14:paraId="13AA6F9F">
            <w:pPr>
              <w:spacing w:before="0" w:after="0" w:afterAutospacing="0"/>
              <w:ind w:left="0" w:right="0" w:firstLine="0"/>
              <w:jc w:val="center"/>
              <w:rPr>
                <w:rFonts w:hint="eastAsia" w:ascii="宋体" w:hAnsi="宋体" w:eastAsia="宋体" w:cs="宋体"/>
                <w:b/>
                <w:bCs/>
                <w:color w:val="auto"/>
                <w:sz w:val="18"/>
                <w:szCs w:val="18"/>
                <w:highlight w:val="none"/>
                <w:lang w:eastAsia="zh-CN"/>
              </w:rPr>
            </w:pPr>
            <w:r>
              <w:rPr>
                <w:rFonts w:hint="eastAsia" w:ascii="宋体" w:hAnsi="宋体" w:eastAsia="宋体" w:cs="宋体"/>
                <w:b/>
                <w:bCs/>
                <w:color w:val="auto"/>
                <w:sz w:val="18"/>
                <w:szCs w:val="18"/>
                <w:highlight w:val="none"/>
                <w:lang w:eastAsia="zh-CN"/>
              </w:rPr>
              <w:t>（满分</w:t>
            </w:r>
            <w:r>
              <w:rPr>
                <w:rFonts w:hint="eastAsia" w:ascii="宋体" w:hAnsi="宋体" w:eastAsia="宋体" w:cs="宋体"/>
                <w:b/>
                <w:bCs/>
                <w:color w:val="auto"/>
                <w:sz w:val="18"/>
                <w:szCs w:val="18"/>
                <w:highlight w:val="none"/>
                <w:lang w:val="en-US" w:eastAsia="zh-CN"/>
              </w:rPr>
              <w:t>20</w:t>
            </w:r>
            <w:r>
              <w:rPr>
                <w:rFonts w:hint="eastAsia" w:ascii="宋体" w:hAnsi="宋体" w:eastAsia="宋体" w:cs="宋体"/>
                <w:b/>
                <w:bCs/>
                <w:color w:val="auto"/>
                <w:sz w:val="18"/>
                <w:szCs w:val="18"/>
                <w:highlight w:val="none"/>
                <w:lang w:eastAsia="zh-CN"/>
              </w:rPr>
              <w:t>分）</w:t>
            </w:r>
          </w:p>
        </w:tc>
        <w:tc>
          <w:tcPr>
            <w:tcW w:w="2906" w:type="pct"/>
            <w:gridSpan w:val="2"/>
            <w:vAlign w:val="center"/>
          </w:tcPr>
          <w:p w14:paraId="136365FC">
            <w:pPr>
              <w:spacing w:before="0" w:after="0" w:afterAutospacing="0" w:line="240" w:lineRule="auto"/>
              <w:ind w:left="0" w:leftChars="0" w:right="0" w:firstLine="0" w:firstLineChars="0"/>
              <w:rPr>
                <w:rFonts w:hint="eastAsia"/>
                <w:color w:val="auto"/>
                <w:sz w:val="21"/>
                <w:szCs w:val="21"/>
                <w:highlight w:val="none"/>
                <w:lang w:val="en-US" w:eastAsia="zh-CN"/>
              </w:rPr>
            </w:pPr>
            <w:r>
              <w:rPr>
                <w:rFonts w:hint="eastAsia"/>
                <w:color w:val="auto"/>
                <w:sz w:val="21"/>
                <w:szCs w:val="21"/>
                <w:highlight w:val="none"/>
                <w:lang w:eastAsia="zh-CN"/>
              </w:rPr>
              <w:t>比选申请人自</w:t>
            </w:r>
            <w:r>
              <w:rPr>
                <w:rFonts w:hint="eastAsia" w:ascii="宋体" w:hAnsi="宋体"/>
                <w:color w:val="auto"/>
                <w:highlight w:val="none"/>
              </w:rPr>
              <w:t>202</w:t>
            </w:r>
            <w:r>
              <w:rPr>
                <w:rFonts w:hint="eastAsia" w:ascii="宋体" w:hAnsi="宋体"/>
                <w:color w:val="auto"/>
                <w:highlight w:val="none"/>
                <w:lang w:val="en-US" w:eastAsia="zh-CN"/>
              </w:rPr>
              <w:t>1</w:t>
            </w:r>
            <w:r>
              <w:rPr>
                <w:rFonts w:hint="eastAsia" w:ascii="宋体" w:hAnsi="宋体"/>
                <w:color w:val="auto"/>
                <w:highlight w:val="none"/>
              </w:rPr>
              <w:t>年1月1日至今承接过</w:t>
            </w:r>
            <w:r>
              <w:rPr>
                <w:rFonts w:hint="eastAsia" w:ascii="宋体" w:hAnsi="宋体"/>
                <w:color w:val="auto"/>
                <w:highlight w:val="none"/>
                <w:lang w:eastAsia="zh-CN"/>
              </w:rPr>
              <w:t>1个单项合同金额20万</w:t>
            </w:r>
            <w:r>
              <w:rPr>
                <w:rFonts w:hint="eastAsia" w:ascii="宋体" w:hAnsi="宋体"/>
                <w:color w:val="auto"/>
                <w:highlight w:val="none"/>
              </w:rPr>
              <w:t>以上（含</w:t>
            </w:r>
            <w:r>
              <w:rPr>
                <w:rFonts w:hint="eastAsia" w:ascii="宋体" w:hAnsi="宋体"/>
                <w:color w:val="auto"/>
                <w:highlight w:val="none"/>
                <w:lang w:val="en-US" w:eastAsia="zh-CN"/>
              </w:rPr>
              <w:t>20</w:t>
            </w:r>
            <w:r>
              <w:rPr>
                <w:rFonts w:hint="eastAsia" w:ascii="宋体" w:hAnsi="宋体"/>
                <w:color w:val="auto"/>
                <w:highlight w:val="none"/>
              </w:rPr>
              <w:t>万）</w:t>
            </w:r>
            <w:r>
              <w:rPr>
                <w:rFonts w:hint="eastAsia" w:hAnsi="宋体"/>
                <w:color w:val="auto"/>
                <w:sz w:val="21"/>
                <w:szCs w:val="21"/>
                <w:highlight w:val="none"/>
                <w:lang w:val="en-US" w:eastAsia="zh-CN"/>
              </w:rPr>
              <w:t>勘察</w:t>
            </w:r>
            <w:r>
              <w:rPr>
                <w:rFonts w:hint="eastAsia" w:ascii="宋体" w:hAnsi="宋体"/>
                <w:color w:val="auto"/>
                <w:highlight w:val="none"/>
              </w:rPr>
              <w:t>服务项目</w:t>
            </w:r>
            <w:r>
              <w:rPr>
                <w:rFonts w:hint="eastAsia" w:ascii="宋体" w:hAnsi="宋体"/>
                <w:color w:val="auto"/>
                <w:highlight w:val="none"/>
                <w:lang w:eastAsia="zh-CN"/>
              </w:rPr>
              <w:t>。</w:t>
            </w:r>
            <w:r>
              <w:rPr>
                <w:rFonts w:hint="eastAsia"/>
                <w:color w:val="auto"/>
                <w:sz w:val="21"/>
                <w:szCs w:val="21"/>
                <w:highlight w:val="none"/>
                <w:lang w:val="en-US" w:eastAsia="zh-CN"/>
              </w:rPr>
              <w:t>本项目满分20分，其中不同规模业绩得分如下:</w:t>
            </w:r>
          </w:p>
          <w:p w14:paraId="5B1CDEBC">
            <w:pPr>
              <w:spacing w:before="0" w:after="0" w:afterAutospacing="0" w:line="240" w:lineRule="auto"/>
              <w:ind w:left="0" w:leftChars="0" w:right="0" w:firstLine="0" w:firstLineChars="0"/>
              <w:rPr>
                <w:rFonts w:hint="eastAsia"/>
                <w:color w:val="auto"/>
                <w:sz w:val="21"/>
                <w:szCs w:val="21"/>
                <w:highlight w:val="none"/>
                <w:lang w:val="en-US" w:eastAsia="zh-CN"/>
              </w:rPr>
            </w:pPr>
            <w:r>
              <w:rPr>
                <w:rFonts w:hint="eastAsia"/>
                <w:color w:val="auto"/>
                <w:sz w:val="21"/>
                <w:szCs w:val="21"/>
                <w:highlight w:val="none"/>
                <w:lang w:val="en-US" w:eastAsia="zh-CN"/>
              </w:rPr>
              <w:t>（1）20万元≤单项合同金额＜30万元的，一个得2分；</w:t>
            </w:r>
          </w:p>
          <w:p w14:paraId="6E784A75">
            <w:pPr>
              <w:spacing w:before="0" w:after="0" w:afterAutospacing="0" w:line="240" w:lineRule="auto"/>
              <w:ind w:left="0" w:leftChars="0" w:right="0" w:firstLine="0" w:firstLineChars="0"/>
              <w:rPr>
                <w:rFonts w:hint="eastAsia"/>
                <w:color w:val="auto"/>
                <w:sz w:val="21"/>
                <w:szCs w:val="21"/>
                <w:highlight w:val="none"/>
                <w:lang w:val="en-US" w:eastAsia="zh-CN"/>
              </w:rPr>
            </w:pPr>
            <w:r>
              <w:rPr>
                <w:rFonts w:hint="eastAsia"/>
                <w:color w:val="auto"/>
                <w:sz w:val="21"/>
                <w:szCs w:val="21"/>
                <w:highlight w:val="none"/>
                <w:lang w:val="en-US" w:eastAsia="zh-CN"/>
              </w:rPr>
              <w:t>（2）30万元≤单项合同金额＜50万元的，一个得3分；</w:t>
            </w:r>
          </w:p>
          <w:p w14:paraId="341E240F">
            <w:pPr>
              <w:spacing w:before="0" w:after="0" w:afterAutospacing="0" w:line="240" w:lineRule="auto"/>
              <w:ind w:left="0" w:leftChars="0" w:right="0" w:firstLine="0" w:firstLineChars="0"/>
              <w:rPr>
                <w:rFonts w:hint="eastAsia"/>
                <w:color w:val="auto"/>
                <w:sz w:val="21"/>
                <w:szCs w:val="21"/>
                <w:highlight w:val="none"/>
                <w:lang w:val="en-US" w:eastAsia="zh-CN"/>
              </w:rPr>
            </w:pPr>
            <w:r>
              <w:rPr>
                <w:rFonts w:hint="eastAsia"/>
                <w:color w:val="auto"/>
                <w:sz w:val="21"/>
                <w:szCs w:val="21"/>
                <w:highlight w:val="none"/>
                <w:lang w:val="en-US" w:eastAsia="zh-CN"/>
              </w:rPr>
              <w:t>（3）单项合同金额≥50万元的，一个得4分；</w:t>
            </w:r>
          </w:p>
          <w:p w14:paraId="1C2725B1">
            <w:pPr>
              <w:pStyle w:val="19"/>
              <w:spacing w:line="240" w:lineRule="auto"/>
              <w:ind w:left="0" w:firstLine="0"/>
              <w:rPr>
                <w:rFonts w:hAnsi="宋体"/>
                <w:color w:val="auto"/>
                <w:sz w:val="21"/>
                <w:szCs w:val="21"/>
                <w:highlight w:val="none"/>
              </w:rPr>
            </w:pPr>
            <w:r>
              <w:rPr>
                <w:rFonts w:hint="eastAsia" w:ascii="宋体" w:hAnsi="宋体" w:cs="宋体"/>
                <w:color w:val="auto"/>
                <w:highlight w:val="none"/>
                <w:lang w:bidi="ar"/>
              </w:rPr>
              <w:t>提供下述材料之一即可：①合同文件；②中标通知书，所提供的材料须能明确反映类似项目特征，复印件加盖比选申请人公章，原件备查</w:t>
            </w:r>
            <w:r>
              <w:rPr>
                <w:rFonts w:hint="eastAsia" w:ascii="宋体" w:hAnsi="宋体" w:cs="宋体"/>
                <w:color w:val="auto"/>
                <w:highlight w:val="none"/>
                <w:lang w:eastAsia="zh-CN" w:bidi="ar"/>
              </w:rPr>
              <w:t>。</w:t>
            </w:r>
          </w:p>
        </w:tc>
        <w:tc>
          <w:tcPr>
            <w:tcW w:w="695" w:type="pct"/>
          </w:tcPr>
          <w:p w14:paraId="1CCBC67E">
            <w:pPr>
              <w:snapToGrid w:val="0"/>
              <w:spacing w:line="288" w:lineRule="auto"/>
              <w:rPr>
                <w:rFonts w:ascii="宋体" w:hAnsi="宋体"/>
                <w:color w:val="auto"/>
                <w:highlight w:val="none"/>
              </w:rPr>
            </w:pPr>
          </w:p>
        </w:tc>
      </w:tr>
    </w:tbl>
    <w:p w14:paraId="0D6D57CE">
      <w:pPr>
        <w:spacing w:before="0" w:after="0" w:afterAutospacing="0" w:line="240" w:lineRule="auto"/>
        <w:ind w:left="0" w:right="0" w:firstLine="0"/>
        <w:jc w:val="left"/>
        <w:rPr>
          <w:b/>
          <w:bCs/>
          <w:color w:val="auto"/>
          <w:highlight w:val="none"/>
        </w:rPr>
        <w:sectPr>
          <w:headerReference r:id="rId14" w:type="default"/>
          <w:footerReference r:id="rId15" w:type="default"/>
          <w:pgSz w:w="16838" w:h="11905" w:orient="landscape"/>
          <w:pgMar w:top="1417" w:right="1417" w:bottom="1417" w:left="1417" w:header="454" w:footer="567" w:gutter="0"/>
          <w:cols w:space="0" w:num="1"/>
          <w:docGrid w:linePitch="319" w:charSpace="0"/>
        </w:sectPr>
      </w:pPr>
    </w:p>
    <w:p w14:paraId="2949ED39">
      <w:pPr>
        <w:spacing w:before="0" w:after="0"/>
        <w:ind w:left="0" w:right="0" w:firstLine="0"/>
        <w:jc w:val="left"/>
        <w:rPr>
          <w:b/>
          <w:bCs/>
          <w:color w:val="auto"/>
          <w:highlight w:val="none"/>
        </w:rPr>
      </w:pPr>
      <w:r>
        <w:rPr>
          <w:rFonts w:hint="eastAsia"/>
          <w:b/>
          <w:bCs/>
          <w:color w:val="auto"/>
          <w:highlight w:val="none"/>
        </w:rPr>
        <w:t>附表四《价格文件评分表》</w:t>
      </w:r>
    </w:p>
    <w:p w14:paraId="0B976994">
      <w:pPr>
        <w:spacing w:before="0" w:after="0"/>
        <w:ind w:left="0" w:right="0" w:firstLine="0"/>
        <w:jc w:val="center"/>
        <w:rPr>
          <w:b/>
          <w:bCs/>
          <w:color w:val="auto"/>
          <w:highlight w:val="none"/>
        </w:rPr>
      </w:pPr>
      <w:r>
        <w:rPr>
          <w:rFonts w:hint="eastAsia"/>
          <w:b/>
          <w:bCs/>
          <w:color w:val="auto"/>
          <w:highlight w:val="none"/>
        </w:rPr>
        <w:t>价格文件评分表</w:t>
      </w:r>
    </w:p>
    <w:tbl>
      <w:tblPr>
        <w:tblStyle w:val="38"/>
        <w:tblW w:w="12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876"/>
        <w:gridCol w:w="4239"/>
        <w:gridCol w:w="4604"/>
        <w:gridCol w:w="1371"/>
        <w:gridCol w:w="1028"/>
      </w:tblGrid>
      <w:tr w14:paraId="717F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718" w:type="dxa"/>
            <w:tcBorders>
              <w:top w:val="single" w:color="auto" w:sz="4" w:space="0"/>
              <w:left w:val="single" w:color="auto" w:sz="4" w:space="0"/>
              <w:bottom w:val="single" w:color="auto" w:sz="4" w:space="0"/>
              <w:right w:val="single" w:color="auto" w:sz="4" w:space="0"/>
            </w:tcBorders>
            <w:vAlign w:val="center"/>
          </w:tcPr>
          <w:p w14:paraId="762C2888">
            <w:pPr>
              <w:widowControl w:val="0"/>
              <w:ind w:right="-57"/>
              <w:jc w:val="center"/>
              <w:rPr>
                <w:b/>
                <w:color w:val="auto"/>
                <w:kern w:val="2"/>
                <w:highlight w:val="none"/>
              </w:rPr>
            </w:pPr>
            <w:r>
              <w:rPr>
                <w:rFonts w:hint="eastAsia"/>
                <w:b/>
                <w:color w:val="auto"/>
                <w:highlight w:val="none"/>
              </w:rPr>
              <w:t>序号</w:t>
            </w:r>
          </w:p>
        </w:tc>
        <w:tc>
          <w:tcPr>
            <w:tcW w:w="876" w:type="dxa"/>
            <w:tcBorders>
              <w:top w:val="single" w:color="auto" w:sz="4" w:space="0"/>
              <w:left w:val="single" w:color="auto" w:sz="4" w:space="0"/>
              <w:bottom w:val="single" w:color="auto" w:sz="4" w:space="0"/>
              <w:right w:val="single" w:color="auto" w:sz="4" w:space="0"/>
            </w:tcBorders>
            <w:vAlign w:val="center"/>
          </w:tcPr>
          <w:p w14:paraId="67B6ACE0">
            <w:pPr>
              <w:widowControl w:val="0"/>
              <w:ind w:right="-57"/>
              <w:jc w:val="center"/>
              <w:rPr>
                <w:b/>
                <w:color w:val="auto"/>
                <w:kern w:val="2"/>
                <w:highlight w:val="none"/>
              </w:rPr>
            </w:pPr>
            <w:r>
              <w:rPr>
                <w:rFonts w:hint="eastAsia"/>
                <w:color w:val="auto"/>
                <w:highlight w:val="none"/>
              </w:rPr>
              <w:t>项目</w:t>
            </w:r>
          </w:p>
        </w:tc>
        <w:tc>
          <w:tcPr>
            <w:tcW w:w="4239" w:type="dxa"/>
            <w:tcBorders>
              <w:top w:val="single" w:color="auto" w:sz="4" w:space="0"/>
              <w:left w:val="single" w:color="auto" w:sz="4" w:space="0"/>
              <w:bottom w:val="single" w:color="auto" w:sz="4" w:space="0"/>
              <w:right w:val="single" w:color="auto" w:sz="4" w:space="0"/>
            </w:tcBorders>
            <w:vAlign w:val="center"/>
          </w:tcPr>
          <w:p w14:paraId="1FF7064B">
            <w:pPr>
              <w:widowControl w:val="0"/>
              <w:ind w:right="-57"/>
              <w:jc w:val="center"/>
              <w:rPr>
                <w:b/>
                <w:bCs/>
                <w:color w:val="auto"/>
                <w:kern w:val="2"/>
                <w:highlight w:val="none"/>
              </w:rPr>
            </w:pPr>
            <w:r>
              <w:rPr>
                <w:rFonts w:hint="eastAsia"/>
                <w:color w:val="auto"/>
                <w:highlight w:val="none"/>
              </w:rPr>
              <w:t>评审基准价</w:t>
            </w:r>
          </w:p>
        </w:tc>
        <w:tc>
          <w:tcPr>
            <w:tcW w:w="4604" w:type="dxa"/>
            <w:tcBorders>
              <w:top w:val="single" w:color="auto" w:sz="4" w:space="0"/>
              <w:left w:val="single" w:color="auto" w:sz="4" w:space="0"/>
              <w:bottom w:val="single" w:color="auto" w:sz="4" w:space="0"/>
              <w:right w:val="single" w:color="auto" w:sz="4" w:space="0"/>
            </w:tcBorders>
            <w:vAlign w:val="center"/>
          </w:tcPr>
          <w:p w14:paraId="31D4D0BA">
            <w:pPr>
              <w:widowControl w:val="0"/>
              <w:ind w:left="751" w:leftChars="20" w:right="113"/>
              <w:jc w:val="center"/>
              <w:rPr>
                <w:b/>
                <w:bCs/>
                <w:color w:val="auto"/>
                <w:kern w:val="2"/>
                <w:highlight w:val="none"/>
              </w:rPr>
            </w:pPr>
            <w:r>
              <w:rPr>
                <w:rFonts w:hint="eastAsia"/>
                <w:color w:val="auto"/>
                <w:highlight w:val="none"/>
              </w:rPr>
              <w:t>评分标准</w:t>
            </w:r>
          </w:p>
        </w:tc>
        <w:tc>
          <w:tcPr>
            <w:tcW w:w="1371" w:type="dxa"/>
            <w:tcBorders>
              <w:top w:val="single" w:color="auto" w:sz="4" w:space="0"/>
              <w:left w:val="single" w:color="auto" w:sz="4" w:space="0"/>
              <w:bottom w:val="single" w:color="auto" w:sz="4" w:space="0"/>
              <w:right w:val="single" w:color="auto" w:sz="4" w:space="0"/>
            </w:tcBorders>
            <w:vAlign w:val="center"/>
          </w:tcPr>
          <w:p w14:paraId="3D9A4276">
            <w:pPr>
              <w:widowControl w:val="0"/>
              <w:ind w:left="751" w:leftChars="20" w:right="113"/>
              <w:jc w:val="center"/>
              <w:rPr>
                <w:b/>
                <w:bCs/>
                <w:color w:val="auto"/>
                <w:highlight w:val="none"/>
              </w:rPr>
            </w:pPr>
            <w:r>
              <w:rPr>
                <w:rFonts w:hint="eastAsia"/>
                <w:color w:val="auto"/>
                <w:highlight w:val="none"/>
              </w:rPr>
              <w:t>分值</w:t>
            </w:r>
          </w:p>
        </w:tc>
        <w:tc>
          <w:tcPr>
            <w:tcW w:w="1028" w:type="dxa"/>
            <w:tcBorders>
              <w:top w:val="single" w:color="auto" w:sz="4" w:space="0"/>
              <w:left w:val="single" w:color="auto" w:sz="4" w:space="0"/>
              <w:bottom w:val="single" w:color="auto" w:sz="4" w:space="0"/>
              <w:right w:val="single" w:color="auto" w:sz="4" w:space="0"/>
            </w:tcBorders>
            <w:vAlign w:val="center"/>
          </w:tcPr>
          <w:p w14:paraId="42E6691A">
            <w:pPr>
              <w:widowControl w:val="0"/>
              <w:ind w:left="751" w:leftChars="20" w:right="113"/>
              <w:jc w:val="center"/>
              <w:rPr>
                <w:color w:val="auto"/>
                <w:highlight w:val="none"/>
              </w:rPr>
            </w:pPr>
            <w:r>
              <w:rPr>
                <w:rFonts w:hint="eastAsia"/>
                <w:color w:val="auto"/>
                <w:highlight w:val="none"/>
              </w:rPr>
              <w:t>得分</w:t>
            </w:r>
          </w:p>
        </w:tc>
      </w:tr>
      <w:tr w14:paraId="65A5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18" w:type="dxa"/>
            <w:tcBorders>
              <w:top w:val="single" w:color="auto" w:sz="4" w:space="0"/>
              <w:left w:val="single" w:color="auto" w:sz="4" w:space="0"/>
              <w:bottom w:val="single" w:color="auto" w:sz="4" w:space="0"/>
              <w:right w:val="single" w:color="auto" w:sz="4" w:space="0"/>
            </w:tcBorders>
            <w:vAlign w:val="center"/>
          </w:tcPr>
          <w:p w14:paraId="2758E5B8">
            <w:pPr>
              <w:widowControl w:val="0"/>
              <w:ind w:right="-57"/>
              <w:jc w:val="center"/>
              <w:rPr>
                <w:b/>
                <w:color w:val="auto"/>
                <w:highlight w:val="none"/>
              </w:rPr>
            </w:pPr>
            <w:r>
              <w:rPr>
                <w:rFonts w:hint="eastAsia"/>
                <w:b/>
                <w:color w:val="auto"/>
                <w:highlight w:val="none"/>
              </w:rPr>
              <w:t>1</w:t>
            </w:r>
          </w:p>
        </w:tc>
        <w:tc>
          <w:tcPr>
            <w:tcW w:w="876" w:type="dxa"/>
            <w:tcBorders>
              <w:top w:val="single" w:color="auto" w:sz="4" w:space="0"/>
              <w:left w:val="single" w:color="auto" w:sz="4" w:space="0"/>
              <w:bottom w:val="single" w:color="auto" w:sz="4" w:space="0"/>
              <w:right w:val="single" w:color="auto" w:sz="4" w:space="0"/>
            </w:tcBorders>
            <w:vAlign w:val="center"/>
          </w:tcPr>
          <w:p w14:paraId="61CCC2D7">
            <w:pPr>
              <w:widowControl w:val="0"/>
              <w:ind w:right="-57"/>
              <w:jc w:val="center"/>
              <w:rPr>
                <w:rFonts w:ascii="宋体" w:hAnsi="宋体"/>
                <w:color w:val="auto"/>
                <w:kern w:val="2"/>
                <w:highlight w:val="none"/>
              </w:rPr>
            </w:pPr>
            <w:r>
              <w:rPr>
                <w:rFonts w:hint="eastAsia" w:ascii="宋体" w:hAnsi="宋体"/>
                <w:color w:val="auto"/>
                <w:kern w:val="2"/>
                <w:highlight w:val="none"/>
              </w:rPr>
              <w:t>比选</w:t>
            </w:r>
          </w:p>
          <w:p w14:paraId="7943D722">
            <w:pPr>
              <w:widowControl w:val="0"/>
              <w:ind w:right="-57"/>
              <w:jc w:val="center"/>
              <w:rPr>
                <w:b/>
                <w:color w:val="auto"/>
                <w:highlight w:val="none"/>
              </w:rPr>
            </w:pPr>
            <w:r>
              <w:rPr>
                <w:rFonts w:hint="eastAsia" w:ascii="宋体" w:hAnsi="宋体"/>
                <w:color w:val="auto"/>
                <w:kern w:val="2"/>
                <w:highlight w:val="none"/>
              </w:rPr>
              <w:t>报价</w:t>
            </w:r>
          </w:p>
        </w:tc>
        <w:tc>
          <w:tcPr>
            <w:tcW w:w="4239" w:type="dxa"/>
            <w:tcBorders>
              <w:top w:val="single" w:color="auto" w:sz="4" w:space="0"/>
              <w:left w:val="single" w:color="auto" w:sz="4" w:space="0"/>
              <w:bottom w:val="single" w:color="auto" w:sz="4" w:space="0"/>
              <w:right w:val="single" w:color="auto" w:sz="4" w:space="0"/>
            </w:tcBorders>
            <w:vAlign w:val="center"/>
          </w:tcPr>
          <w:p w14:paraId="7A3F97D3">
            <w:pPr>
              <w:spacing w:line="240" w:lineRule="auto"/>
              <w:ind w:left="0" w:right="-28" w:firstLine="0"/>
              <w:jc w:val="both"/>
              <w:textAlignment w:val="center"/>
              <w:rPr>
                <w:rFonts w:hint="eastAsia" w:ascii="宋体" w:hAnsi="宋体" w:cs="宋体"/>
                <w:color w:val="auto"/>
                <w:highlight w:val="none"/>
                <w:lang w:bidi="ar"/>
              </w:rPr>
            </w:pPr>
            <w:r>
              <w:rPr>
                <w:rFonts w:hint="eastAsia" w:ascii="宋体" w:hAnsi="宋体" w:cs="宋体"/>
                <w:color w:val="auto"/>
                <w:highlight w:val="none"/>
                <w:lang w:eastAsia="zh-CN" w:bidi="ar"/>
              </w:rPr>
              <w:t>（</w:t>
            </w:r>
            <w:r>
              <w:rPr>
                <w:rFonts w:hint="eastAsia" w:ascii="宋体" w:hAnsi="宋体" w:cs="宋体"/>
                <w:color w:val="auto"/>
                <w:highlight w:val="none"/>
                <w:lang w:val="en-US" w:eastAsia="zh-CN" w:bidi="ar"/>
              </w:rPr>
              <w:t>1</w:t>
            </w:r>
            <w:r>
              <w:rPr>
                <w:rFonts w:hint="eastAsia" w:ascii="宋体" w:hAnsi="宋体" w:cs="宋体"/>
                <w:color w:val="auto"/>
                <w:highlight w:val="none"/>
                <w:lang w:eastAsia="zh-CN" w:bidi="ar"/>
              </w:rPr>
              <w:t>）</w:t>
            </w:r>
            <w:r>
              <w:rPr>
                <w:rFonts w:hint="eastAsia" w:ascii="宋体" w:hAnsi="宋体" w:cs="宋体"/>
                <w:color w:val="auto"/>
                <w:highlight w:val="none"/>
                <w:lang w:bidi="ar"/>
              </w:rPr>
              <w:t>比选申请人总报价大于上控价时比选申请文件作无效处理。</w:t>
            </w:r>
          </w:p>
          <w:p w14:paraId="5A4B73E7">
            <w:pPr>
              <w:spacing w:line="240" w:lineRule="auto"/>
              <w:ind w:left="0" w:right="-28" w:firstLine="0"/>
              <w:jc w:val="both"/>
              <w:textAlignment w:val="center"/>
              <w:rPr>
                <w:rFonts w:hint="eastAsia" w:ascii="宋体" w:hAnsi="宋体" w:cs="宋体"/>
                <w:color w:val="auto"/>
                <w:highlight w:val="none"/>
                <w:lang w:bidi="ar"/>
              </w:rPr>
            </w:pPr>
            <w:r>
              <w:rPr>
                <w:rFonts w:hint="eastAsia" w:ascii="宋体" w:hAnsi="宋体" w:cs="宋体"/>
                <w:color w:val="auto"/>
                <w:highlight w:val="none"/>
                <w:lang w:eastAsia="zh-CN" w:bidi="ar"/>
              </w:rPr>
              <w:t>（</w:t>
            </w:r>
            <w:r>
              <w:rPr>
                <w:rFonts w:hint="eastAsia" w:ascii="宋体" w:hAnsi="宋体" w:cs="宋体"/>
                <w:color w:val="auto"/>
                <w:highlight w:val="none"/>
                <w:lang w:val="en-US" w:eastAsia="zh-CN" w:bidi="ar"/>
              </w:rPr>
              <w:t>2</w:t>
            </w:r>
            <w:r>
              <w:rPr>
                <w:rFonts w:hint="eastAsia" w:ascii="宋体" w:hAnsi="宋体" w:cs="宋体"/>
                <w:color w:val="auto"/>
                <w:highlight w:val="none"/>
                <w:lang w:eastAsia="zh-CN" w:bidi="ar"/>
              </w:rPr>
              <w:t>）</w:t>
            </w:r>
            <w:r>
              <w:rPr>
                <w:rFonts w:hint="eastAsia" w:ascii="宋体" w:hAnsi="宋体" w:cs="宋体"/>
                <w:color w:val="auto"/>
                <w:highlight w:val="none"/>
                <w:lang w:bidi="ar"/>
              </w:rPr>
              <w:t>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14:paraId="28D585A0">
            <w:pPr>
              <w:widowControl w:val="0"/>
              <w:ind w:left="0" w:leftChars="0" w:right="-57" w:rightChars="0" w:firstLine="0" w:firstLineChars="0"/>
              <w:jc w:val="both"/>
              <w:rPr>
                <w:b/>
                <w:bCs/>
                <w:color w:val="auto"/>
                <w:highlight w:val="none"/>
              </w:rPr>
            </w:pPr>
            <w:r>
              <w:rPr>
                <w:rFonts w:hint="eastAsia" w:ascii="宋体" w:hAnsi="宋体" w:cs="宋体"/>
                <w:color w:val="auto"/>
                <w:highlight w:val="none"/>
                <w:lang w:val="en-US" w:eastAsia="zh-CN" w:bidi="ar"/>
              </w:rPr>
              <w:t>（3）如所有比选申请人的报价相同，则该报价为评审基准价。</w:t>
            </w:r>
          </w:p>
        </w:tc>
        <w:tc>
          <w:tcPr>
            <w:tcW w:w="4604" w:type="dxa"/>
            <w:tcBorders>
              <w:top w:val="single" w:color="auto" w:sz="4" w:space="0"/>
              <w:left w:val="single" w:color="auto" w:sz="4" w:space="0"/>
              <w:bottom w:val="single" w:color="auto" w:sz="4" w:space="0"/>
              <w:right w:val="single" w:color="auto" w:sz="4" w:space="0"/>
            </w:tcBorders>
            <w:vAlign w:val="center"/>
          </w:tcPr>
          <w:p w14:paraId="66021CF3">
            <w:pPr>
              <w:spacing w:line="240" w:lineRule="auto"/>
              <w:ind w:left="0" w:right="0" w:firstLine="0"/>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评审时以经评审的基准价为最高分，采用内插法计算，比选申请人报价每高于基准价1％的扣1分，每低于基准价1％的扣0.5分，扣完即止。</w:t>
            </w:r>
          </w:p>
          <w:p w14:paraId="48701B09">
            <w:pPr>
              <w:spacing w:line="240" w:lineRule="auto"/>
              <w:ind w:left="0" w:right="0" w:firstLine="0"/>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1）当评审价等于基准价时，比选申请人的价格得分为40分；</w:t>
            </w:r>
          </w:p>
          <w:p w14:paraId="04CE3B37">
            <w:pPr>
              <w:spacing w:line="240" w:lineRule="auto"/>
              <w:ind w:left="0" w:right="0" w:firstLine="0"/>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2）当评审价高于基准价时，每高于基准价的1%，比选申请人的价格得分扣1分，中间数按内插法计算，即：某比选申请人价格分=40-（评审价-基准价）/基准价×100×1；</w:t>
            </w:r>
          </w:p>
          <w:p w14:paraId="795CD5FC">
            <w:pPr>
              <w:spacing w:line="240" w:lineRule="auto"/>
              <w:ind w:left="0" w:right="0" w:firstLine="0"/>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3）当评审价低于基准价时，每低于基准价的1%，比选申请人的价格得分扣0.5分，中间数按内插法计算，即:某比选申请人价格分=40-（基准价-评审价）/基准价×100×0.5；</w:t>
            </w:r>
          </w:p>
          <w:p w14:paraId="25A3D784">
            <w:pPr>
              <w:pStyle w:val="19"/>
              <w:spacing w:before="0" w:line="240" w:lineRule="auto"/>
              <w:ind w:left="0" w:leftChars="0" w:right="0" w:rightChars="0" w:firstLine="0" w:firstLineChars="0"/>
              <w:rPr>
                <w:color w:val="auto"/>
                <w:sz w:val="21"/>
                <w:szCs w:val="21"/>
                <w:highlight w:val="none"/>
              </w:rPr>
            </w:pPr>
            <w:r>
              <w:rPr>
                <w:rFonts w:hint="eastAsia" w:ascii="宋体" w:hAnsi="宋体" w:cs="宋体"/>
                <w:color w:val="auto"/>
                <w:highlight w:val="none"/>
                <w:lang w:val="en-US" w:eastAsia="zh-CN" w:bidi="ar"/>
              </w:rPr>
              <w:t>本项最低为0分。</w:t>
            </w:r>
          </w:p>
        </w:tc>
        <w:tc>
          <w:tcPr>
            <w:tcW w:w="1371" w:type="dxa"/>
            <w:tcBorders>
              <w:top w:val="single" w:color="auto" w:sz="4" w:space="0"/>
              <w:left w:val="single" w:color="auto" w:sz="4" w:space="0"/>
              <w:bottom w:val="single" w:color="auto" w:sz="4" w:space="0"/>
              <w:right w:val="single" w:color="auto" w:sz="4" w:space="0"/>
            </w:tcBorders>
            <w:vAlign w:val="center"/>
          </w:tcPr>
          <w:p w14:paraId="3F590BFF">
            <w:pPr>
              <w:widowControl w:val="0"/>
              <w:spacing w:before="0" w:after="0" w:afterAutospacing="0"/>
              <w:ind w:left="0" w:right="0" w:firstLine="0"/>
              <w:rPr>
                <w:rFonts w:hint="default" w:ascii="宋体" w:hAnsi="宋体" w:eastAsia="宋体"/>
                <w:color w:val="auto"/>
                <w:kern w:val="2"/>
                <w:highlight w:val="none"/>
                <w:lang w:val="en-US" w:eastAsia="zh-CN"/>
              </w:rPr>
            </w:pPr>
            <w:r>
              <w:rPr>
                <w:rFonts w:ascii="宋体" w:hAnsi="宋体"/>
                <w:color w:val="auto"/>
                <w:kern w:val="2"/>
                <w:highlight w:val="none"/>
              </w:rPr>
              <w:t>0</w:t>
            </w:r>
            <w:r>
              <w:rPr>
                <w:rFonts w:hint="eastAsia" w:ascii="宋体" w:hAnsi="宋体"/>
                <w:color w:val="auto"/>
                <w:kern w:val="2"/>
                <w:highlight w:val="none"/>
              </w:rPr>
              <w:t>≤</w:t>
            </w:r>
            <w:r>
              <w:rPr>
                <w:rFonts w:ascii="宋体" w:hAnsi="宋体"/>
                <w:color w:val="auto"/>
                <w:kern w:val="2"/>
                <w:highlight w:val="none"/>
              </w:rPr>
              <w:t>m</w:t>
            </w:r>
            <w:r>
              <w:rPr>
                <w:rFonts w:hint="eastAsia" w:ascii="宋体" w:hAnsi="宋体"/>
                <w:color w:val="auto"/>
                <w:kern w:val="2"/>
                <w:highlight w:val="none"/>
              </w:rPr>
              <w:t>≤</w:t>
            </w:r>
            <w:r>
              <w:rPr>
                <w:rFonts w:hint="eastAsia" w:ascii="宋体" w:hAnsi="宋体"/>
                <w:color w:val="auto"/>
                <w:kern w:val="2"/>
                <w:highlight w:val="none"/>
                <w:lang w:val="en-US" w:eastAsia="zh-CN"/>
              </w:rPr>
              <w:t>40</w:t>
            </w:r>
          </w:p>
        </w:tc>
        <w:tc>
          <w:tcPr>
            <w:tcW w:w="1028" w:type="dxa"/>
            <w:tcBorders>
              <w:top w:val="single" w:color="auto" w:sz="4" w:space="0"/>
              <w:left w:val="single" w:color="auto" w:sz="4" w:space="0"/>
              <w:bottom w:val="single" w:color="auto" w:sz="4" w:space="0"/>
              <w:right w:val="single" w:color="auto" w:sz="4" w:space="0"/>
            </w:tcBorders>
            <w:vAlign w:val="center"/>
          </w:tcPr>
          <w:p w14:paraId="2E500E80">
            <w:pPr>
              <w:widowControl w:val="0"/>
              <w:spacing w:before="0" w:after="0" w:afterAutospacing="0"/>
              <w:ind w:left="0" w:right="0" w:firstLine="0"/>
              <w:rPr>
                <w:rFonts w:ascii="宋体" w:hAnsi="宋体"/>
                <w:color w:val="auto"/>
                <w:kern w:val="2"/>
                <w:highlight w:val="none"/>
              </w:rPr>
            </w:pPr>
          </w:p>
        </w:tc>
      </w:tr>
      <w:tr w14:paraId="61DF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blHeader/>
          <w:jc w:val="center"/>
        </w:trPr>
        <w:tc>
          <w:tcPr>
            <w:tcW w:w="1594" w:type="dxa"/>
            <w:gridSpan w:val="2"/>
            <w:tcBorders>
              <w:top w:val="single" w:color="auto" w:sz="4" w:space="0"/>
              <w:left w:val="single" w:color="auto" w:sz="4" w:space="0"/>
              <w:bottom w:val="single" w:color="auto" w:sz="4" w:space="0"/>
              <w:right w:val="single" w:color="auto" w:sz="4" w:space="0"/>
            </w:tcBorders>
            <w:vAlign w:val="center"/>
          </w:tcPr>
          <w:p w14:paraId="72FCED5C">
            <w:pPr>
              <w:widowControl w:val="0"/>
              <w:ind w:left="0" w:leftChars="0" w:right="-57" w:firstLine="0" w:firstLineChars="0"/>
              <w:jc w:val="both"/>
              <w:rPr>
                <w:color w:val="auto"/>
                <w:highlight w:val="none"/>
              </w:rPr>
            </w:pPr>
            <w:r>
              <w:rPr>
                <w:rFonts w:hint="eastAsia"/>
                <w:color w:val="auto"/>
                <w:highlight w:val="none"/>
              </w:rPr>
              <w:t>价格文件得分</w:t>
            </w:r>
          </w:p>
        </w:tc>
        <w:tc>
          <w:tcPr>
            <w:tcW w:w="4239" w:type="dxa"/>
            <w:tcBorders>
              <w:top w:val="single" w:color="auto" w:sz="4" w:space="0"/>
              <w:left w:val="single" w:color="auto" w:sz="4" w:space="0"/>
              <w:bottom w:val="single" w:color="auto" w:sz="4" w:space="0"/>
              <w:right w:val="single" w:color="auto" w:sz="4" w:space="0"/>
            </w:tcBorders>
            <w:vAlign w:val="center"/>
          </w:tcPr>
          <w:p w14:paraId="3EB33B5E">
            <w:pPr>
              <w:widowControl w:val="0"/>
              <w:ind w:right="-57"/>
              <w:jc w:val="center"/>
              <w:rPr>
                <w:b/>
                <w:bCs/>
                <w:color w:val="auto"/>
                <w:highlight w:val="none"/>
              </w:rPr>
            </w:pPr>
          </w:p>
        </w:tc>
        <w:tc>
          <w:tcPr>
            <w:tcW w:w="4604" w:type="dxa"/>
            <w:tcBorders>
              <w:top w:val="single" w:color="auto" w:sz="4" w:space="0"/>
              <w:left w:val="single" w:color="auto" w:sz="4" w:space="0"/>
              <w:bottom w:val="single" w:color="auto" w:sz="4" w:space="0"/>
              <w:right w:val="single" w:color="auto" w:sz="4" w:space="0"/>
            </w:tcBorders>
            <w:vAlign w:val="center"/>
          </w:tcPr>
          <w:p w14:paraId="3C1C779B">
            <w:pPr>
              <w:widowControl w:val="0"/>
              <w:ind w:left="751" w:leftChars="20" w:right="113"/>
              <w:jc w:val="center"/>
              <w:rPr>
                <w:rFonts w:hint="default" w:eastAsia="宋体"/>
                <w:b/>
                <w:bCs/>
                <w:color w:val="auto"/>
                <w:highlight w:val="none"/>
                <w:lang w:val="en-US" w:eastAsia="zh-CN"/>
              </w:rPr>
            </w:pPr>
            <w:r>
              <w:rPr>
                <w:rFonts w:hint="eastAsia"/>
                <w:b/>
                <w:bCs/>
                <w:color w:val="auto"/>
                <w:highlight w:val="none"/>
                <w:lang w:val="en-US" w:eastAsia="zh-CN"/>
              </w:rPr>
              <w:t>40</w:t>
            </w:r>
          </w:p>
        </w:tc>
        <w:tc>
          <w:tcPr>
            <w:tcW w:w="1371" w:type="dxa"/>
            <w:tcBorders>
              <w:top w:val="single" w:color="auto" w:sz="4" w:space="0"/>
              <w:left w:val="single" w:color="auto" w:sz="4" w:space="0"/>
              <w:bottom w:val="single" w:color="auto" w:sz="4" w:space="0"/>
              <w:right w:val="single" w:color="auto" w:sz="4" w:space="0"/>
            </w:tcBorders>
          </w:tcPr>
          <w:p w14:paraId="4DBC635F">
            <w:pPr>
              <w:widowControl w:val="0"/>
              <w:ind w:left="751" w:leftChars="20" w:right="113"/>
              <w:jc w:val="center"/>
              <w:rPr>
                <w:b/>
                <w:bCs/>
                <w:color w:val="auto"/>
                <w:highlight w:val="none"/>
              </w:rPr>
            </w:pPr>
          </w:p>
        </w:tc>
        <w:tc>
          <w:tcPr>
            <w:tcW w:w="1028" w:type="dxa"/>
            <w:tcBorders>
              <w:top w:val="single" w:color="auto" w:sz="4" w:space="0"/>
              <w:left w:val="single" w:color="auto" w:sz="4" w:space="0"/>
              <w:bottom w:val="single" w:color="auto" w:sz="4" w:space="0"/>
              <w:right w:val="single" w:color="auto" w:sz="4" w:space="0"/>
            </w:tcBorders>
          </w:tcPr>
          <w:p w14:paraId="646C833E">
            <w:pPr>
              <w:widowControl w:val="0"/>
              <w:ind w:left="751" w:leftChars="20" w:right="113"/>
              <w:jc w:val="center"/>
              <w:rPr>
                <w:b/>
                <w:bCs/>
                <w:color w:val="auto"/>
                <w:highlight w:val="none"/>
              </w:rPr>
            </w:pPr>
          </w:p>
        </w:tc>
      </w:tr>
    </w:tbl>
    <w:p w14:paraId="3C3C327F">
      <w:pPr>
        <w:pStyle w:val="19"/>
        <w:ind w:left="0" w:leftChars="0" w:firstLine="0" w:firstLineChars="0"/>
        <w:rPr>
          <w:color w:val="auto"/>
          <w:highlight w:val="none"/>
        </w:rPr>
      </w:pPr>
    </w:p>
    <w:p w14:paraId="5CDB0BFA">
      <w:pPr>
        <w:pStyle w:val="19"/>
        <w:ind w:left="0" w:firstLine="0"/>
        <w:rPr>
          <w:color w:val="auto"/>
          <w:highlight w:val="none"/>
        </w:rPr>
      </w:pPr>
      <w:r>
        <w:rPr>
          <w:rFonts w:hint="eastAsia"/>
          <w:color w:val="auto"/>
          <w:highlight w:val="none"/>
        </w:rPr>
        <w:t>注：比选报价如有修正，需填写附表《比选报价修正表》并由比选人代表签字确认。</w:t>
      </w:r>
    </w:p>
    <w:p w14:paraId="42E76703">
      <w:pPr>
        <w:ind w:left="0" w:leftChars="0" w:firstLine="0" w:firstLineChars="0"/>
        <w:rPr>
          <w:b/>
          <w:bCs/>
          <w:color w:val="auto"/>
          <w:highlight w:val="none"/>
        </w:rPr>
      </w:pPr>
      <w:r>
        <w:rPr>
          <w:rFonts w:hint="eastAsia"/>
          <w:b/>
          <w:bCs/>
          <w:color w:val="auto"/>
          <w:highlight w:val="none"/>
        </w:rPr>
        <w:br w:type="page"/>
      </w:r>
    </w:p>
    <w:p w14:paraId="053B7D82">
      <w:pPr>
        <w:spacing w:before="0" w:after="0"/>
        <w:ind w:left="0" w:right="0" w:firstLine="0"/>
        <w:jc w:val="left"/>
        <w:rPr>
          <w:b/>
          <w:bCs/>
          <w:color w:val="auto"/>
          <w:highlight w:val="none"/>
        </w:rPr>
      </w:pPr>
      <w:r>
        <w:rPr>
          <w:rFonts w:hint="eastAsia"/>
          <w:b/>
          <w:bCs/>
          <w:color w:val="auto"/>
          <w:highlight w:val="none"/>
        </w:rPr>
        <w:t>附表五综合评审得分表</w:t>
      </w:r>
    </w:p>
    <w:p w14:paraId="1E88F83E">
      <w:pPr>
        <w:pStyle w:val="19"/>
        <w:jc w:val="center"/>
        <w:rPr>
          <w:rFonts w:hAnsi="宋体" w:cs="Times New Roman"/>
          <w:b/>
          <w:color w:val="auto"/>
          <w:sz w:val="28"/>
          <w:szCs w:val="28"/>
          <w:highlight w:val="none"/>
        </w:rPr>
      </w:pPr>
      <w:r>
        <w:rPr>
          <w:rFonts w:hint="eastAsia" w:hAnsi="宋体" w:cs="Times New Roman"/>
          <w:b/>
          <w:color w:val="auto"/>
          <w:sz w:val="28"/>
          <w:szCs w:val="28"/>
          <w:highlight w:val="none"/>
        </w:rPr>
        <w:t>综合评审得分表</w:t>
      </w:r>
    </w:p>
    <w:tbl>
      <w:tblPr>
        <w:tblStyle w:val="39"/>
        <w:tblW w:w="12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4"/>
        <w:gridCol w:w="7281"/>
        <w:gridCol w:w="1681"/>
        <w:gridCol w:w="1681"/>
      </w:tblGrid>
      <w:tr w14:paraId="46DF4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014" w:type="dxa"/>
            <w:vAlign w:val="center"/>
          </w:tcPr>
          <w:p w14:paraId="0C46358F">
            <w:pPr>
              <w:spacing w:before="0" w:line="240" w:lineRule="auto"/>
              <w:ind w:right="0"/>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7281" w:type="dxa"/>
            <w:vAlign w:val="center"/>
          </w:tcPr>
          <w:p w14:paraId="7FE17F9F">
            <w:pPr>
              <w:spacing w:before="0" w:line="240" w:lineRule="auto"/>
              <w:ind w:left="0" w:right="0" w:firstLine="0"/>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1681" w:type="dxa"/>
            <w:vAlign w:val="center"/>
          </w:tcPr>
          <w:p w14:paraId="2FEA2D81">
            <w:pPr>
              <w:spacing w:before="0" w:line="240" w:lineRule="auto"/>
              <w:ind w:right="0"/>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681" w:type="dxa"/>
            <w:vAlign w:val="center"/>
          </w:tcPr>
          <w:p w14:paraId="4423A0CF">
            <w:pPr>
              <w:spacing w:before="0" w:line="240" w:lineRule="auto"/>
              <w:ind w:right="0"/>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0E30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2014" w:type="dxa"/>
            <w:vAlign w:val="center"/>
          </w:tcPr>
          <w:p w14:paraId="197EC8A7">
            <w:pPr>
              <w:pStyle w:val="19"/>
              <w:jc w:val="center"/>
              <w:rPr>
                <w:rFonts w:hAnsi="宋体"/>
                <w:color w:val="auto"/>
                <w:highlight w:val="none"/>
              </w:rPr>
            </w:pPr>
            <w:r>
              <w:rPr>
                <w:rFonts w:hint="eastAsia" w:hAnsi="宋体"/>
                <w:color w:val="auto"/>
                <w:highlight w:val="none"/>
              </w:rPr>
              <w:t>1</w:t>
            </w:r>
          </w:p>
        </w:tc>
        <w:tc>
          <w:tcPr>
            <w:tcW w:w="7281" w:type="dxa"/>
            <w:vAlign w:val="center"/>
          </w:tcPr>
          <w:p w14:paraId="539B18AC">
            <w:pPr>
              <w:pStyle w:val="19"/>
              <w:jc w:val="center"/>
              <w:rPr>
                <w:rFonts w:hAnsi="宋体"/>
                <w:color w:val="auto"/>
                <w:highlight w:val="none"/>
              </w:rPr>
            </w:pPr>
            <w:r>
              <w:rPr>
                <w:rFonts w:hint="eastAsia" w:hAnsi="宋体"/>
                <w:color w:val="auto"/>
                <w:highlight w:val="none"/>
              </w:rPr>
              <w:t>技术文件得分</w:t>
            </w:r>
          </w:p>
        </w:tc>
        <w:tc>
          <w:tcPr>
            <w:tcW w:w="1681" w:type="dxa"/>
            <w:vAlign w:val="center"/>
          </w:tcPr>
          <w:p w14:paraId="27507D06">
            <w:pPr>
              <w:pStyle w:val="19"/>
              <w:jc w:val="center"/>
              <w:rPr>
                <w:rFonts w:hint="default" w:hAnsi="宋体" w:eastAsia="宋体"/>
                <w:color w:val="auto"/>
                <w:highlight w:val="none"/>
                <w:lang w:val="en-US" w:eastAsia="zh-CN"/>
              </w:rPr>
            </w:pPr>
            <w:r>
              <w:rPr>
                <w:rFonts w:hint="eastAsia" w:hAnsi="宋体"/>
                <w:color w:val="auto"/>
                <w:highlight w:val="none"/>
                <w:lang w:val="en-US" w:eastAsia="zh-CN"/>
              </w:rPr>
              <w:t>60</w:t>
            </w:r>
          </w:p>
        </w:tc>
        <w:tc>
          <w:tcPr>
            <w:tcW w:w="1681" w:type="dxa"/>
            <w:vAlign w:val="center"/>
          </w:tcPr>
          <w:p w14:paraId="4E7CD74A">
            <w:pPr>
              <w:pStyle w:val="19"/>
              <w:jc w:val="center"/>
              <w:rPr>
                <w:rFonts w:hAnsi="宋体"/>
                <w:color w:val="auto"/>
                <w:highlight w:val="none"/>
              </w:rPr>
            </w:pPr>
          </w:p>
        </w:tc>
      </w:tr>
      <w:tr w14:paraId="7D11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jc w:val="center"/>
        </w:trPr>
        <w:tc>
          <w:tcPr>
            <w:tcW w:w="2014" w:type="dxa"/>
            <w:vAlign w:val="center"/>
          </w:tcPr>
          <w:p w14:paraId="5D11AA8F">
            <w:pPr>
              <w:pStyle w:val="19"/>
              <w:jc w:val="center"/>
              <w:rPr>
                <w:rFonts w:hAnsi="宋体"/>
                <w:color w:val="auto"/>
                <w:highlight w:val="none"/>
              </w:rPr>
            </w:pPr>
            <w:r>
              <w:rPr>
                <w:rFonts w:hint="eastAsia" w:hAnsi="宋体"/>
                <w:color w:val="auto"/>
                <w:highlight w:val="none"/>
              </w:rPr>
              <w:t>2</w:t>
            </w:r>
          </w:p>
        </w:tc>
        <w:tc>
          <w:tcPr>
            <w:tcW w:w="7281" w:type="dxa"/>
            <w:vAlign w:val="center"/>
          </w:tcPr>
          <w:p w14:paraId="353B342F">
            <w:pPr>
              <w:pStyle w:val="19"/>
              <w:jc w:val="center"/>
              <w:rPr>
                <w:rFonts w:hAnsi="宋体"/>
                <w:color w:val="auto"/>
                <w:highlight w:val="none"/>
              </w:rPr>
            </w:pPr>
            <w:r>
              <w:rPr>
                <w:rFonts w:hint="eastAsia" w:hAnsi="宋体"/>
                <w:color w:val="auto"/>
                <w:highlight w:val="none"/>
              </w:rPr>
              <w:t>比选报价得分</w:t>
            </w:r>
          </w:p>
        </w:tc>
        <w:tc>
          <w:tcPr>
            <w:tcW w:w="1681" w:type="dxa"/>
            <w:vAlign w:val="center"/>
          </w:tcPr>
          <w:p w14:paraId="19055717">
            <w:pPr>
              <w:pStyle w:val="19"/>
              <w:jc w:val="center"/>
              <w:rPr>
                <w:rFonts w:hint="default" w:hAnsi="宋体" w:eastAsia="宋体"/>
                <w:color w:val="auto"/>
                <w:highlight w:val="none"/>
                <w:lang w:val="en-US" w:eastAsia="zh-CN"/>
              </w:rPr>
            </w:pPr>
            <w:r>
              <w:rPr>
                <w:rFonts w:hint="eastAsia" w:hAnsi="宋体"/>
                <w:color w:val="auto"/>
                <w:highlight w:val="none"/>
                <w:lang w:val="en-US" w:eastAsia="zh-CN"/>
              </w:rPr>
              <w:t>40</w:t>
            </w:r>
          </w:p>
        </w:tc>
        <w:tc>
          <w:tcPr>
            <w:tcW w:w="1681" w:type="dxa"/>
            <w:vAlign w:val="center"/>
          </w:tcPr>
          <w:p w14:paraId="08F5225E">
            <w:pPr>
              <w:pStyle w:val="19"/>
              <w:ind w:left="0" w:firstLine="0"/>
              <w:jc w:val="center"/>
              <w:rPr>
                <w:rFonts w:hAnsi="宋体"/>
                <w:color w:val="auto"/>
                <w:highlight w:val="none"/>
              </w:rPr>
            </w:pPr>
          </w:p>
        </w:tc>
      </w:tr>
      <w:tr w14:paraId="195F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10976" w:type="dxa"/>
            <w:gridSpan w:val="3"/>
            <w:vAlign w:val="center"/>
          </w:tcPr>
          <w:p w14:paraId="3B58164A">
            <w:pPr>
              <w:pStyle w:val="19"/>
              <w:jc w:val="center"/>
              <w:rPr>
                <w:rFonts w:hAnsi="宋体"/>
                <w:color w:val="auto"/>
                <w:highlight w:val="none"/>
              </w:rPr>
            </w:pPr>
            <w:r>
              <w:rPr>
                <w:rFonts w:hint="eastAsia" w:hAnsi="宋体"/>
                <w:color w:val="auto"/>
                <w:highlight w:val="none"/>
              </w:rPr>
              <w:t>最终得分（合计）</w:t>
            </w:r>
          </w:p>
        </w:tc>
        <w:tc>
          <w:tcPr>
            <w:tcW w:w="1681" w:type="dxa"/>
            <w:vAlign w:val="center"/>
          </w:tcPr>
          <w:p w14:paraId="278D9AC0">
            <w:pPr>
              <w:pStyle w:val="19"/>
              <w:jc w:val="center"/>
              <w:rPr>
                <w:rFonts w:hAnsi="宋体"/>
                <w:color w:val="auto"/>
                <w:highlight w:val="none"/>
              </w:rPr>
            </w:pPr>
          </w:p>
        </w:tc>
      </w:tr>
    </w:tbl>
    <w:p w14:paraId="3FCCE016">
      <w:pPr>
        <w:pStyle w:val="19"/>
        <w:rPr>
          <w:rFonts w:hAnsi="宋体"/>
          <w:color w:val="auto"/>
          <w:highlight w:val="none"/>
        </w:rPr>
      </w:pPr>
    </w:p>
    <w:p w14:paraId="0F72A2AA">
      <w:pPr>
        <w:spacing w:before="159"/>
        <w:ind w:left="0" w:leftChars="0" w:right="-57" w:firstLine="0" w:firstLineChars="0"/>
        <w:jc w:val="both"/>
        <w:rPr>
          <w:rFonts w:ascii="宋体" w:hAnsi="宋体"/>
          <w:b/>
          <w:color w:val="auto"/>
          <w:sz w:val="28"/>
          <w:szCs w:val="28"/>
          <w:highlight w:val="none"/>
        </w:rPr>
      </w:pPr>
    </w:p>
    <w:p w14:paraId="5007AA31">
      <w:pPr>
        <w:rPr>
          <w:rFonts w:ascii="宋体" w:hAnsi="宋体"/>
          <w:b/>
          <w:color w:val="auto"/>
          <w:sz w:val="28"/>
          <w:szCs w:val="28"/>
          <w:highlight w:val="none"/>
        </w:rPr>
      </w:pPr>
      <w:r>
        <w:rPr>
          <w:rFonts w:hint="eastAsia" w:ascii="宋体" w:hAnsi="宋体"/>
          <w:b/>
          <w:color w:val="auto"/>
          <w:sz w:val="28"/>
          <w:szCs w:val="28"/>
          <w:highlight w:val="none"/>
        </w:rPr>
        <w:br w:type="page"/>
      </w:r>
    </w:p>
    <w:p w14:paraId="37690387">
      <w:pPr>
        <w:spacing w:before="159"/>
        <w:ind w:right="-57" w:firstLine="0"/>
        <w:jc w:val="center"/>
        <w:rPr>
          <w:rFonts w:ascii="宋体" w:hAnsi="宋体"/>
          <w:b/>
          <w:color w:val="auto"/>
          <w:sz w:val="28"/>
          <w:szCs w:val="28"/>
          <w:highlight w:val="none"/>
        </w:rPr>
      </w:pPr>
      <w:r>
        <w:rPr>
          <w:rFonts w:hint="eastAsia" w:ascii="宋体" w:hAnsi="宋体"/>
          <w:b/>
          <w:color w:val="auto"/>
          <w:sz w:val="28"/>
          <w:szCs w:val="28"/>
          <w:highlight w:val="none"/>
        </w:rPr>
        <w:t>附表：比选申请报价修正表</w:t>
      </w:r>
    </w:p>
    <w:tbl>
      <w:tblPr>
        <w:tblStyle w:val="38"/>
        <w:tblW w:w="141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70"/>
        <w:gridCol w:w="5834"/>
        <w:gridCol w:w="2668"/>
        <w:gridCol w:w="2667"/>
      </w:tblGrid>
      <w:tr w14:paraId="7366A9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2970" w:type="dxa"/>
            <w:tcBorders>
              <w:left w:val="single" w:color="auto" w:sz="4" w:space="0"/>
              <w:bottom w:val="single" w:color="auto" w:sz="4" w:space="0"/>
              <w:right w:val="single" w:color="auto" w:sz="4" w:space="0"/>
            </w:tcBorders>
            <w:vAlign w:val="center"/>
          </w:tcPr>
          <w:p w14:paraId="08ABF497">
            <w:pPr>
              <w:spacing w:before="0" w:line="240" w:lineRule="auto"/>
              <w:ind w:right="0" w:firstLine="0"/>
              <w:jc w:val="center"/>
              <w:rPr>
                <w:rFonts w:ascii="宋体" w:hAnsi="宋体"/>
                <w:b/>
                <w:color w:val="auto"/>
                <w:sz w:val="24"/>
                <w:szCs w:val="24"/>
                <w:highlight w:val="none"/>
              </w:rPr>
            </w:pPr>
            <w:r>
              <w:rPr>
                <w:rFonts w:hint="eastAsia" w:ascii="宋体" w:hAnsi="宋体"/>
                <w:b/>
                <w:color w:val="auto"/>
                <w:sz w:val="24"/>
                <w:szCs w:val="24"/>
                <w:highlight w:val="none"/>
              </w:rPr>
              <w:t>编号</w:t>
            </w:r>
          </w:p>
        </w:tc>
        <w:tc>
          <w:tcPr>
            <w:tcW w:w="5217" w:type="dxa"/>
            <w:tcBorders>
              <w:left w:val="single" w:color="auto" w:sz="4" w:space="0"/>
              <w:bottom w:val="single" w:color="auto" w:sz="4" w:space="0"/>
              <w:right w:val="single" w:color="auto" w:sz="4" w:space="0"/>
            </w:tcBorders>
            <w:vAlign w:val="center"/>
          </w:tcPr>
          <w:p w14:paraId="43D5CADA">
            <w:pPr>
              <w:spacing w:before="0" w:line="240" w:lineRule="auto"/>
              <w:ind w:right="0" w:firstLine="0"/>
              <w:jc w:val="center"/>
              <w:rPr>
                <w:rFonts w:ascii="宋体" w:hAnsi="宋体"/>
                <w:b/>
                <w:color w:val="auto"/>
                <w:sz w:val="24"/>
                <w:szCs w:val="24"/>
                <w:highlight w:val="none"/>
              </w:rPr>
            </w:pPr>
            <w:r>
              <w:rPr>
                <w:rFonts w:hint="eastAsia" w:ascii="宋体" w:hAnsi="宋体"/>
                <w:b/>
                <w:color w:val="auto"/>
                <w:sz w:val="24"/>
                <w:szCs w:val="24"/>
                <w:highlight w:val="none"/>
              </w:rPr>
              <w:t>修正项目</w:t>
            </w:r>
          </w:p>
        </w:tc>
        <w:tc>
          <w:tcPr>
            <w:tcW w:w="0" w:type="auto"/>
            <w:tcBorders>
              <w:left w:val="single" w:color="auto" w:sz="4" w:space="0"/>
              <w:bottom w:val="single" w:color="auto" w:sz="4" w:space="0"/>
              <w:right w:val="single" w:color="auto" w:sz="4" w:space="0"/>
            </w:tcBorders>
            <w:vAlign w:val="center"/>
          </w:tcPr>
          <w:p w14:paraId="29932090">
            <w:pPr>
              <w:spacing w:before="0" w:line="240" w:lineRule="auto"/>
              <w:ind w:right="0"/>
              <w:rPr>
                <w:rFonts w:ascii="宋体" w:hAnsi="宋体"/>
                <w:b/>
                <w:color w:val="auto"/>
                <w:sz w:val="24"/>
                <w:szCs w:val="24"/>
                <w:highlight w:val="none"/>
              </w:rPr>
            </w:pPr>
            <w:r>
              <w:rPr>
                <w:rFonts w:hint="eastAsia" w:ascii="宋体" w:hAnsi="宋体"/>
                <w:b/>
                <w:color w:val="auto"/>
                <w:sz w:val="24"/>
                <w:szCs w:val="24"/>
                <w:highlight w:val="none"/>
              </w:rPr>
              <w:t>修正前比选申请报价</w:t>
            </w:r>
          </w:p>
        </w:tc>
        <w:tc>
          <w:tcPr>
            <w:tcW w:w="0" w:type="auto"/>
            <w:tcBorders>
              <w:top w:val="single" w:color="auto" w:sz="4" w:space="0"/>
              <w:left w:val="single" w:color="auto" w:sz="4" w:space="0"/>
              <w:bottom w:val="single" w:color="auto" w:sz="4" w:space="0"/>
              <w:right w:val="single" w:color="auto" w:sz="4" w:space="0"/>
            </w:tcBorders>
            <w:vAlign w:val="center"/>
          </w:tcPr>
          <w:p w14:paraId="52352700">
            <w:pPr>
              <w:spacing w:before="0" w:line="240" w:lineRule="auto"/>
              <w:ind w:right="0"/>
              <w:rPr>
                <w:rFonts w:ascii="宋体" w:hAnsi="宋体"/>
                <w:b/>
                <w:color w:val="auto"/>
                <w:sz w:val="24"/>
                <w:szCs w:val="24"/>
                <w:highlight w:val="none"/>
              </w:rPr>
            </w:pPr>
            <w:r>
              <w:rPr>
                <w:rFonts w:hint="eastAsia" w:ascii="宋体" w:hAnsi="宋体"/>
                <w:b/>
                <w:color w:val="auto"/>
                <w:sz w:val="24"/>
                <w:szCs w:val="24"/>
                <w:highlight w:val="none"/>
              </w:rPr>
              <w:t>修正后比选申请报价</w:t>
            </w:r>
          </w:p>
        </w:tc>
      </w:tr>
      <w:tr w14:paraId="44486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2970" w:type="dxa"/>
            <w:tcBorders>
              <w:left w:val="single" w:color="auto" w:sz="4" w:space="0"/>
              <w:right w:val="single" w:color="auto" w:sz="4" w:space="0"/>
            </w:tcBorders>
            <w:vAlign w:val="center"/>
          </w:tcPr>
          <w:p w14:paraId="11615D27">
            <w:pPr>
              <w:spacing w:before="0" w:line="240" w:lineRule="auto"/>
              <w:ind w:right="0" w:firstLine="0"/>
              <w:jc w:val="center"/>
              <w:rPr>
                <w:rFonts w:ascii="宋体" w:hAnsi="宋体"/>
                <w:color w:val="auto"/>
                <w:highlight w:val="none"/>
              </w:rPr>
            </w:pPr>
          </w:p>
        </w:tc>
        <w:tc>
          <w:tcPr>
            <w:tcW w:w="5217" w:type="dxa"/>
            <w:tcBorders>
              <w:left w:val="single" w:color="auto" w:sz="4" w:space="0"/>
              <w:right w:val="single" w:color="auto" w:sz="4" w:space="0"/>
            </w:tcBorders>
            <w:vAlign w:val="center"/>
          </w:tcPr>
          <w:p w14:paraId="5B5884A7">
            <w:pPr>
              <w:spacing w:before="0" w:line="240" w:lineRule="auto"/>
              <w:ind w:right="0" w:firstLine="0"/>
              <w:jc w:val="left"/>
              <w:rPr>
                <w:rFonts w:ascii="宋体" w:hAnsi="宋体" w:cs="宋体"/>
                <w:color w:val="auto"/>
                <w:highlight w:val="none"/>
              </w:rPr>
            </w:pPr>
          </w:p>
        </w:tc>
        <w:tc>
          <w:tcPr>
            <w:tcW w:w="0" w:type="auto"/>
            <w:tcBorders>
              <w:left w:val="single" w:color="auto" w:sz="4" w:space="0"/>
              <w:right w:val="single" w:color="auto" w:sz="4" w:space="0"/>
            </w:tcBorders>
            <w:vAlign w:val="center"/>
          </w:tcPr>
          <w:p w14:paraId="4D38EDCA">
            <w:pPr>
              <w:spacing w:before="0" w:line="240" w:lineRule="auto"/>
              <w:ind w:right="0" w:firstLine="0"/>
              <w:jc w:val="center"/>
              <w:rPr>
                <w:rFonts w:ascii="宋体" w:hAnsi="宋体" w:cs="宋体"/>
                <w:color w:val="auto"/>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73B28FD">
            <w:pPr>
              <w:spacing w:before="0" w:line="240" w:lineRule="auto"/>
              <w:ind w:right="0" w:firstLine="0"/>
              <w:rPr>
                <w:rFonts w:ascii="宋体" w:hAnsi="宋体"/>
                <w:color w:val="auto"/>
                <w:highlight w:val="none"/>
              </w:rPr>
            </w:pPr>
          </w:p>
        </w:tc>
      </w:tr>
      <w:tr w14:paraId="267441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2970" w:type="dxa"/>
            <w:tcBorders>
              <w:left w:val="single" w:color="auto" w:sz="4" w:space="0"/>
              <w:right w:val="single" w:color="auto" w:sz="4" w:space="0"/>
            </w:tcBorders>
            <w:vAlign w:val="center"/>
          </w:tcPr>
          <w:p w14:paraId="37A17A7F">
            <w:pPr>
              <w:spacing w:before="0" w:line="240" w:lineRule="auto"/>
              <w:ind w:right="0" w:firstLine="0"/>
              <w:jc w:val="center"/>
              <w:rPr>
                <w:rFonts w:ascii="宋体" w:hAnsi="宋体"/>
                <w:color w:val="auto"/>
                <w:highlight w:val="none"/>
              </w:rPr>
            </w:pPr>
          </w:p>
        </w:tc>
        <w:tc>
          <w:tcPr>
            <w:tcW w:w="5217" w:type="dxa"/>
            <w:tcBorders>
              <w:left w:val="single" w:color="auto" w:sz="4" w:space="0"/>
              <w:right w:val="single" w:color="auto" w:sz="4" w:space="0"/>
            </w:tcBorders>
            <w:vAlign w:val="center"/>
          </w:tcPr>
          <w:p w14:paraId="6BEC33B4">
            <w:pPr>
              <w:spacing w:before="0" w:line="240" w:lineRule="auto"/>
              <w:ind w:right="0" w:firstLine="0"/>
              <w:jc w:val="center"/>
              <w:rPr>
                <w:rFonts w:ascii="宋体" w:hAnsi="宋体"/>
                <w:color w:val="auto"/>
                <w:highlight w:val="none"/>
              </w:rPr>
            </w:pPr>
          </w:p>
        </w:tc>
        <w:tc>
          <w:tcPr>
            <w:tcW w:w="0" w:type="auto"/>
            <w:tcBorders>
              <w:left w:val="single" w:color="auto" w:sz="4" w:space="0"/>
              <w:right w:val="single" w:color="auto" w:sz="4" w:space="0"/>
            </w:tcBorders>
            <w:vAlign w:val="center"/>
          </w:tcPr>
          <w:p w14:paraId="1B8602FA">
            <w:pPr>
              <w:spacing w:before="0" w:line="240" w:lineRule="auto"/>
              <w:ind w:right="0" w:firstLine="0"/>
              <w:jc w:val="left"/>
              <w:rPr>
                <w:rFonts w:ascii="宋体" w:hAnsi="宋体"/>
                <w:b/>
                <w:color w:val="auto"/>
                <w:sz w:val="24"/>
                <w:szCs w:val="24"/>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226B3E8D">
            <w:pPr>
              <w:spacing w:before="0" w:line="240" w:lineRule="auto"/>
              <w:ind w:right="0" w:firstLine="0"/>
              <w:jc w:val="left"/>
              <w:rPr>
                <w:rFonts w:ascii="宋体" w:hAnsi="宋体" w:cs="宋体"/>
                <w:b/>
                <w:color w:val="auto"/>
                <w:sz w:val="24"/>
                <w:szCs w:val="24"/>
                <w:highlight w:val="none"/>
              </w:rPr>
            </w:pPr>
          </w:p>
        </w:tc>
      </w:tr>
      <w:tr w14:paraId="2C37C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4" w:hRule="atLeast"/>
          <w:jc w:val="center"/>
        </w:trPr>
        <w:tc>
          <w:tcPr>
            <w:tcW w:w="2970" w:type="dxa"/>
            <w:tcBorders>
              <w:left w:val="single" w:color="auto" w:sz="4" w:space="0"/>
              <w:right w:val="single" w:color="auto" w:sz="4" w:space="0"/>
            </w:tcBorders>
            <w:vAlign w:val="center"/>
          </w:tcPr>
          <w:p w14:paraId="144242E0">
            <w:pPr>
              <w:spacing w:before="0" w:line="240" w:lineRule="auto"/>
              <w:ind w:left="0" w:right="0" w:firstLine="0"/>
              <w:jc w:val="left"/>
              <w:rPr>
                <w:rFonts w:ascii="宋体" w:hAnsi="宋体"/>
                <w:b/>
                <w:color w:val="auto"/>
                <w:sz w:val="24"/>
                <w:szCs w:val="24"/>
                <w:highlight w:val="none"/>
              </w:rPr>
            </w:pPr>
            <w:r>
              <w:rPr>
                <w:rFonts w:hint="eastAsia" w:ascii="宋体" w:hAnsi="宋体"/>
                <w:b/>
                <w:color w:val="auto"/>
                <w:sz w:val="24"/>
                <w:szCs w:val="24"/>
                <w:highlight w:val="none"/>
              </w:rPr>
              <w:t>修正前比选申请报价总价：</w:t>
            </w:r>
          </w:p>
        </w:tc>
        <w:tc>
          <w:tcPr>
            <w:tcW w:w="11169" w:type="dxa"/>
            <w:gridSpan w:val="3"/>
            <w:tcBorders>
              <w:left w:val="single" w:color="auto" w:sz="4" w:space="0"/>
              <w:right w:val="single" w:color="auto" w:sz="4" w:space="0"/>
            </w:tcBorders>
            <w:vAlign w:val="center"/>
          </w:tcPr>
          <w:p w14:paraId="33B97C72">
            <w:pPr>
              <w:spacing w:before="0" w:line="240" w:lineRule="auto"/>
              <w:ind w:right="0" w:firstLine="0"/>
              <w:rPr>
                <w:rFonts w:ascii="宋体" w:hAnsi="宋体" w:cs="宋体"/>
                <w:b/>
                <w:color w:val="auto"/>
                <w:sz w:val="24"/>
                <w:szCs w:val="24"/>
                <w:highlight w:val="none"/>
              </w:rPr>
            </w:pPr>
          </w:p>
        </w:tc>
      </w:tr>
      <w:tr w14:paraId="0C918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3" w:hRule="atLeast"/>
          <w:jc w:val="center"/>
        </w:trPr>
        <w:tc>
          <w:tcPr>
            <w:tcW w:w="2970" w:type="dxa"/>
            <w:tcBorders>
              <w:left w:val="single" w:color="auto" w:sz="4" w:space="0"/>
              <w:right w:val="single" w:color="auto" w:sz="4" w:space="0"/>
            </w:tcBorders>
            <w:vAlign w:val="center"/>
          </w:tcPr>
          <w:p w14:paraId="335D2302">
            <w:pPr>
              <w:spacing w:before="0" w:line="240" w:lineRule="auto"/>
              <w:ind w:left="0" w:right="0" w:firstLine="0"/>
              <w:rPr>
                <w:rFonts w:ascii="宋体" w:hAnsi="宋体"/>
                <w:b/>
                <w:color w:val="auto"/>
                <w:sz w:val="24"/>
                <w:szCs w:val="24"/>
                <w:highlight w:val="none"/>
              </w:rPr>
            </w:pPr>
            <w:r>
              <w:rPr>
                <w:rFonts w:hint="eastAsia" w:ascii="宋体" w:hAnsi="宋体"/>
                <w:b/>
                <w:color w:val="auto"/>
                <w:sz w:val="24"/>
                <w:szCs w:val="24"/>
                <w:highlight w:val="none"/>
              </w:rPr>
              <w:t>修正后比选申请报价总价：</w:t>
            </w:r>
          </w:p>
        </w:tc>
        <w:tc>
          <w:tcPr>
            <w:tcW w:w="11169" w:type="dxa"/>
            <w:gridSpan w:val="3"/>
            <w:tcBorders>
              <w:left w:val="single" w:color="auto" w:sz="4" w:space="0"/>
              <w:right w:val="single" w:color="auto" w:sz="4" w:space="0"/>
            </w:tcBorders>
            <w:vAlign w:val="center"/>
          </w:tcPr>
          <w:p w14:paraId="6C6C8D01">
            <w:pPr>
              <w:spacing w:before="0" w:line="240" w:lineRule="auto"/>
              <w:ind w:right="0" w:firstLine="0"/>
              <w:rPr>
                <w:rFonts w:ascii="宋体" w:hAnsi="宋体" w:cs="宋体"/>
                <w:b/>
                <w:color w:val="auto"/>
                <w:sz w:val="24"/>
                <w:szCs w:val="24"/>
                <w:highlight w:val="none"/>
              </w:rPr>
            </w:pPr>
          </w:p>
        </w:tc>
      </w:tr>
      <w:tr w14:paraId="6E095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970" w:type="dxa"/>
            <w:tcBorders>
              <w:left w:val="single" w:color="auto" w:sz="4" w:space="0"/>
              <w:right w:val="single" w:color="auto" w:sz="4" w:space="0"/>
            </w:tcBorders>
            <w:vAlign w:val="center"/>
          </w:tcPr>
          <w:p w14:paraId="2A95331B">
            <w:pPr>
              <w:spacing w:before="0" w:line="240" w:lineRule="auto"/>
              <w:ind w:right="0"/>
              <w:rPr>
                <w:rFonts w:ascii="宋体" w:hAnsi="宋体"/>
                <w:b/>
                <w:color w:val="auto"/>
                <w:sz w:val="24"/>
                <w:szCs w:val="24"/>
                <w:highlight w:val="none"/>
              </w:rPr>
            </w:pPr>
            <w:r>
              <w:rPr>
                <w:rFonts w:hint="eastAsia" w:ascii="宋体" w:hAnsi="宋体"/>
                <w:b/>
                <w:color w:val="auto"/>
                <w:sz w:val="24"/>
                <w:szCs w:val="24"/>
                <w:highlight w:val="none"/>
              </w:rPr>
              <w:t>比选申请人名称</w:t>
            </w:r>
          </w:p>
        </w:tc>
        <w:tc>
          <w:tcPr>
            <w:tcW w:w="11169" w:type="dxa"/>
            <w:gridSpan w:val="3"/>
            <w:tcBorders>
              <w:left w:val="single" w:color="auto" w:sz="4" w:space="0"/>
              <w:right w:val="single" w:color="auto" w:sz="4" w:space="0"/>
            </w:tcBorders>
            <w:vAlign w:val="center"/>
          </w:tcPr>
          <w:p w14:paraId="07F2A43C">
            <w:pPr>
              <w:spacing w:before="0" w:line="240" w:lineRule="auto"/>
              <w:ind w:right="0" w:firstLine="0"/>
              <w:rPr>
                <w:rFonts w:ascii="宋体" w:hAnsi="宋体" w:cs="宋体"/>
                <w:b/>
                <w:color w:val="auto"/>
                <w:sz w:val="24"/>
                <w:szCs w:val="24"/>
                <w:highlight w:val="none"/>
              </w:rPr>
            </w:pPr>
          </w:p>
        </w:tc>
      </w:tr>
      <w:tr w14:paraId="46871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3" w:hRule="atLeast"/>
          <w:jc w:val="center"/>
        </w:trPr>
        <w:tc>
          <w:tcPr>
            <w:tcW w:w="2970" w:type="dxa"/>
            <w:tcBorders>
              <w:left w:val="single" w:color="auto" w:sz="4" w:space="0"/>
              <w:right w:val="single" w:color="auto" w:sz="4" w:space="0"/>
            </w:tcBorders>
            <w:vAlign w:val="center"/>
          </w:tcPr>
          <w:p w14:paraId="708A4B4E">
            <w:pPr>
              <w:spacing w:before="0" w:line="240" w:lineRule="auto"/>
              <w:ind w:right="0"/>
              <w:rPr>
                <w:rFonts w:ascii="宋体" w:hAnsi="宋体"/>
                <w:b/>
                <w:color w:val="auto"/>
                <w:sz w:val="24"/>
                <w:szCs w:val="24"/>
                <w:highlight w:val="none"/>
              </w:rPr>
            </w:pPr>
            <w:r>
              <w:rPr>
                <w:rFonts w:hint="eastAsia" w:ascii="宋体" w:hAnsi="宋体"/>
                <w:b/>
                <w:color w:val="auto"/>
                <w:sz w:val="24"/>
                <w:szCs w:val="24"/>
                <w:highlight w:val="none"/>
              </w:rPr>
              <w:t>比选申请人声明</w:t>
            </w:r>
          </w:p>
        </w:tc>
        <w:tc>
          <w:tcPr>
            <w:tcW w:w="11169" w:type="dxa"/>
            <w:gridSpan w:val="3"/>
            <w:tcBorders>
              <w:left w:val="single" w:color="auto" w:sz="4" w:space="0"/>
              <w:right w:val="single" w:color="auto" w:sz="4" w:space="0"/>
            </w:tcBorders>
            <w:vAlign w:val="center"/>
          </w:tcPr>
          <w:p w14:paraId="093D7C9A">
            <w:pPr>
              <w:spacing w:before="0" w:line="240" w:lineRule="auto"/>
              <w:ind w:right="0" w:firstLine="0"/>
              <w:rPr>
                <w:rFonts w:ascii="宋体" w:hAnsi="宋体"/>
                <w:b/>
                <w:color w:val="auto"/>
                <w:sz w:val="24"/>
                <w:szCs w:val="24"/>
                <w:highlight w:val="none"/>
              </w:rPr>
            </w:pPr>
            <w:r>
              <w:rPr>
                <w:rFonts w:hint="eastAsia" w:ascii="宋体" w:hAnsi="宋体" w:cs="宋体"/>
                <w:b/>
                <w:color w:val="auto"/>
                <w:sz w:val="24"/>
                <w:szCs w:val="24"/>
                <w:highlight w:val="none"/>
              </w:rPr>
              <w:t>我单位（</w:t>
            </w:r>
            <w:r>
              <w:rPr>
                <w:rFonts w:ascii="宋体" w:hAnsi="宋体"/>
                <w:b/>
                <w:color w:val="auto"/>
                <w:sz w:val="44"/>
                <w:szCs w:val="44"/>
                <w:highlight w:val="none"/>
              </w:rPr>
              <w:t>□</w:t>
            </w:r>
            <w:r>
              <w:rPr>
                <w:rFonts w:hint="eastAsia" w:ascii="宋体" w:hAnsi="宋体" w:cs="宋体"/>
                <w:b/>
                <w:color w:val="auto"/>
                <w:sz w:val="24"/>
                <w:szCs w:val="24"/>
                <w:highlight w:val="none"/>
              </w:rPr>
              <w:t>接受</w:t>
            </w:r>
            <w:r>
              <w:rPr>
                <w:rFonts w:ascii="宋体" w:hAnsi="宋体"/>
                <w:b/>
                <w:color w:val="auto"/>
                <w:sz w:val="44"/>
                <w:szCs w:val="44"/>
                <w:highlight w:val="none"/>
              </w:rPr>
              <w:t>□</w:t>
            </w:r>
            <w:r>
              <w:rPr>
                <w:rFonts w:ascii="宋体" w:hAnsi="宋体"/>
                <w:b/>
                <w:color w:val="auto"/>
                <w:sz w:val="24"/>
                <w:szCs w:val="24"/>
                <w:highlight w:val="none"/>
              </w:rPr>
              <w:t>不接受</w:t>
            </w:r>
            <w:r>
              <w:rPr>
                <w:rFonts w:hint="eastAsia" w:ascii="宋体" w:hAnsi="宋体"/>
                <w:b/>
                <w:color w:val="auto"/>
                <w:sz w:val="24"/>
                <w:szCs w:val="24"/>
                <w:highlight w:val="none"/>
              </w:rPr>
              <w:t>）本评审办法第3.3款价格评审确定的评审总价和中选价。</w:t>
            </w:r>
          </w:p>
        </w:tc>
      </w:tr>
      <w:tr w14:paraId="00DCC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jc w:val="center"/>
        </w:trPr>
        <w:tc>
          <w:tcPr>
            <w:tcW w:w="2970" w:type="dxa"/>
            <w:tcBorders>
              <w:left w:val="single" w:color="auto" w:sz="4" w:space="0"/>
              <w:right w:val="single" w:color="auto" w:sz="4" w:space="0"/>
            </w:tcBorders>
            <w:vAlign w:val="center"/>
          </w:tcPr>
          <w:p w14:paraId="0097B457">
            <w:pPr>
              <w:spacing w:before="0" w:line="240" w:lineRule="auto"/>
              <w:ind w:left="0" w:right="0" w:firstLine="0"/>
              <w:rPr>
                <w:rFonts w:ascii="宋体" w:hAnsi="宋体"/>
                <w:b/>
                <w:color w:val="auto"/>
                <w:sz w:val="24"/>
                <w:szCs w:val="24"/>
                <w:highlight w:val="none"/>
              </w:rPr>
            </w:pPr>
            <w:r>
              <w:rPr>
                <w:rFonts w:hint="eastAsia" w:ascii="宋体" w:hAnsi="宋体"/>
                <w:b/>
                <w:color w:val="auto"/>
                <w:sz w:val="24"/>
                <w:szCs w:val="24"/>
                <w:highlight w:val="none"/>
              </w:rPr>
              <w:t>比选申请人代表签字</w:t>
            </w:r>
          </w:p>
        </w:tc>
        <w:tc>
          <w:tcPr>
            <w:tcW w:w="11169" w:type="dxa"/>
            <w:gridSpan w:val="3"/>
            <w:tcBorders>
              <w:left w:val="single" w:color="auto" w:sz="4" w:space="0"/>
              <w:right w:val="single" w:color="auto" w:sz="4" w:space="0"/>
            </w:tcBorders>
            <w:vAlign w:val="center"/>
          </w:tcPr>
          <w:p w14:paraId="6904ECD1">
            <w:pPr>
              <w:spacing w:before="0" w:line="240" w:lineRule="auto"/>
              <w:ind w:left="0" w:leftChars="0" w:right="0" w:firstLine="0" w:firstLineChars="0"/>
              <w:rPr>
                <w:rFonts w:ascii="宋体" w:hAnsi="宋体" w:cs="宋体"/>
                <w:b/>
                <w:color w:val="auto"/>
                <w:sz w:val="24"/>
                <w:szCs w:val="24"/>
                <w:highlight w:val="none"/>
              </w:rPr>
            </w:pPr>
            <w:r>
              <w:rPr>
                <w:rFonts w:hint="eastAsia" w:ascii="宋体" w:hAnsi="宋体" w:cs="宋体"/>
                <w:b/>
                <w:color w:val="auto"/>
                <w:sz w:val="24"/>
                <w:szCs w:val="24"/>
                <w:highlight w:val="none"/>
              </w:rPr>
              <w:t xml:space="preserve">                                                               日期：    年  月   日</w:t>
            </w:r>
          </w:p>
        </w:tc>
      </w:tr>
    </w:tbl>
    <w:p w14:paraId="51033D72">
      <w:pPr>
        <w:spacing w:before="0" w:after="0"/>
        <w:ind w:left="0" w:right="0" w:firstLine="0"/>
        <w:jc w:val="left"/>
        <w:rPr>
          <w:rFonts w:hint="eastAsia" w:ascii="宋体" w:hAnsi="宋体" w:eastAsia="宋体"/>
          <w:color w:val="auto"/>
          <w:highlight w:val="none"/>
          <w:lang w:eastAsia="zh-CN"/>
        </w:rPr>
      </w:pPr>
      <w:r>
        <w:rPr>
          <w:rFonts w:hint="eastAsia" w:ascii="宋体" w:hAnsi="宋体"/>
          <w:color w:val="auto"/>
          <w:highlight w:val="none"/>
        </w:rPr>
        <w:t>注：</w:t>
      </w:r>
      <w:bookmarkEnd w:id="1500"/>
      <w:bookmarkEnd w:id="1501"/>
      <w:bookmarkEnd w:id="1502"/>
      <w:r>
        <w:rPr>
          <w:rFonts w:hint="eastAsia" w:ascii="宋体" w:hAnsi="宋体"/>
          <w:color w:val="auto"/>
          <w:highlight w:val="none"/>
        </w:rPr>
        <w:t xml:space="preserve"> 比选申请文件中的大写金额与小写金额不一致的，以大写金额为准；总价金额与依据单价计算出的结果不一致的，以单价金额为准修正总价，但单价金额小数点有明显错误的除外</w:t>
      </w:r>
      <w:r>
        <w:rPr>
          <w:rFonts w:hint="eastAsia" w:ascii="宋体" w:hAnsi="宋体"/>
          <w:color w:val="auto"/>
          <w:highlight w:val="none"/>
          <w:lang w:eastAsia="zh-CN"/>
        </w:rPr>
        <w:t>。</w:t>
      </w:r>
    </w:p>
    <w:sectPr>
      <w:pgSz w:w="16838" w:h="11905" w:orient="landscape"/>
      <w:pgMar w:top="1417" w:right="1417" w:bottom="1417" w:left="1417" w:header="454" w:footer="567" w:gutter="0"/>
      <w:cols w:space="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altName w:val="微软雅黑"/>
    <w:panose1 w:val="00000000000000000000"/>
    <w:charset w:val="00"/>
    <w:family w:val="script"/>
    <w:pitch w:val="default"/>
    <w:sig w:usb0="00000000" w:usb1="00000000" w:usb2="00082016" w:usb3="00000000" w:csb0="00040001" w:csb1="00000000"/>
  </w:font>
  <w:font w:name="Consolas">
    <w:panose1 w:val="020B0609020204030204"/>
    <w:charset w:val="00"/>
    <w:family w:val="modern"/>
    <w:pitch w:val="default"/>
    <w:sig w:usb0="E00006FF" w:usb1="0000FCFF" w:usb2="00000001" w:usb3="00000000" w:csb0="6000019F" w:csb1="DFD70000"/>
  </w:font>
  <w:font w:name="华文细黑">
    <w:altName w:val="微软雅黑"/>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9CBDD">
    <w:pPr>
      <w:pStyle w:val="24"/>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C0F71">
    <w:pPr>
      <w:pStyle w:val="24"/>
      <w:jc w:val="center"/>
    </w:pPr>
    <w:r>
      <w:fldChar w:fldCharType="begin"/>
    </w:r>
    <w:r>
      <w:instrText xml:space="preserve">PAGE   \* MERGEFORMAT</w:instrText>
    </w:r>
    <w:r>
      <w:fldChar w:fldCharType="separate"/>
    </w:r>
    <w:r>
      <w:rPr>
        <w:lang w:val="zh-CN"/>
      </w:rPr>
      <w:t>3</w:t>
    </w:r>
    <w:r>
      <w:rPr>
        <w:lang w:val="zh-CN"/>
      </w:rPr>
      <w:fldChar w:fldCharType="end"/>
    </w:r>
  </w:p>
  <w:p w14:paraId="442DE9E8">
    <w:pPr>
      <w:pStyle w:val="25"/>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799376C2">
        <w:pPr>
          <w:pStyle w:val="24"/>
          <w:jc w:val="center"/>
        </w:pPr>
        <w:r>
          <w:fldChar w:fldCharType="begin"/>
        </w:r>
        <w:r>
          <w:instrText xml:space="preserve">PAGE   \* MERGEFORMAT</w:instrText>
        </w:r>
        <w:r>
          <w:fldChar w:fldCharType="separate"/>
        </w:r>
        <w:r>
          <w:rPr>
            <w:lang w:val="zh-CN"/>
          </w:rPr>
          <w:t>32</w:t>
        </w:r>
        <w:r>
          <w:rPr>
            <w:lang w:val="zh-CN"/>
          </w:rPr>
          <w:fldChar w:fldCharType="end"/>
        </w:r>
      </w:p>
    </w:sdtContent>
  </w:sdt>
  <w:p w14:paraId="4B269798">
    <w:pPr>
      <w:pStyle w:val="25"/>
      <w:pBdr>
        <w:bottom w:val="none" w:color="auto" w:sz="0" w:space="0"/>
      </w:pBdr>
      <w:tabs>
        <w:tab w:val="right" w:pos="8728"/>
        <w:tab w:val="clear" w:pos="4153"/>
        <w:tab w:val="clear" w:pos="8306"/>
      </w:tabs>
      <w:ind w:left="0" w:right="343" w:firstLine="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E59CD">
    <w:pPr>
      <w:pStyle w:val="24"/>
      <w:jc w:val="center"/>
    </w:pPr>
    <w:r>
      <w:fldChar w:fldCharType="begin"/>
    </w:r>
    <w:r>
      <w:instrText xml:space="preserve">PAGE   \* MERGEFORMAT</w:instrText>
    </w:r>
    <w:r>
      <w:fldChar w:fldCharType="separate"/>
    </w:r>
    <w:r>
      <w:rPr>
        <w:lang w:val="zh-CN"/>
      </w:rPr>
      <w:t>53</w:t>
    </w:r>
    <w:r>
      <w:rPr>
        <w:lang w:val="zh-CN"/>
      </w:rPr>
      <w:fldChar w:fldCharType="end"/>
    </w:r>
  </w:p>
  <w:p w14:paraId="448B0CE6">
    <w:pPr>
      <w:pStyle w:val="24"/>
    </w:pPr>
  </w:p>
  <w:p w14:paraId="0FA3C39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A6038">
    <w:pPr>
      <w:pStyle w:val="24"/>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6B4DEDB9">
                          <w:r>
                            <w:fldChar w:fldCharType="begin"/>
                          </w:r>
                          <w:r>
                            <w:instrText xml:space="preserve">PAGE  \* MERGEFORMAT</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zSVju0AAAAAUBAAAPAAAAAAAAAAEAIAAAACIAAABkcnMvZG93bnJldi54&#10;bWxQSwECFAAUAAAACACHTuJAxPQ56zsCAABtBAAADgAAAAAAAAABACAAAAAfAQAAZHJzL2Uyb0Rv&#10;Yy54bWxQSwUGAAAAAAYABgBZAQAAzAUAAAAA&#10;">
              <v:fill on="f" focussize="0,0"/>
              <v:stroke on="f" weight="0.5pt"/>
              <v:imagedata o:title=""/>
              <o:lock v:ext="edit" aspectratio="f"/>
              <v:textbox inset="0mm,0mm,0mm,0mm" style="mso-fit-shape-to-text:t;">
                <w:txbxContent>
                  <w:p w14:paraId="6B4DEDB9">
                    <w:r>
                      <w:fldChar w:fldCharType="begin"/>
                    </w:r>
                    <w:r>
                      <w:instrText xml:space="preserve">PAGE  \* MERGEFORMAT</w:instrText>
                    </w:r>
                    <w:r>
                      <w:fldChar w:fldCharType="separate"/>
                    </w:r>
                    <w:r>
                      <w:t>56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FE791">
    <w:pPr>
      <w:pStyle w:val="24"/>
      <w:spacing w:before="0"/>
      <w:ind w:right="-57" w:firstLine="0"/>
      <w:jc w:val="cente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534172C9">
                          <w:r>
                            <w:fldChar w:fldCharType="begin"/>
                          </w:r>
                          <w:r>
                            <w:instrText xml:space="preserve">PAGE  \* MERGEFORMAT</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534172C9">
                    <w:r>
                      <w:fldChar w:fldCharType="begin"/>
                    </w:r>
                    <w:r>
                      <w:instrText xml:space="preserve">PAGE  \* MERGEFORMAT</w:instrText>
                    </w:r>
                    <w:r>
                      <w:fldChar w:fldCharType="separate"/>
                    </w:r>
                    <w:r>
                      <w:t>57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8A2BA">
    <w:pPr>
      <w:pStyle w:val="25"/>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EFFF5">
    <w:pPr>
      <w:pStyle w:val="25"/>
      <w:pBdr>
        <w:bottom w:val="none" w:color="auto" w:sz="0" w:space="0"/>
      </w:pBdr>
      <w:tabs>
        <w:tab w:val="left" w:pos="2847"/>
        <w:tab w:val="left" w:pos="3510"/>
        <w:tab w:val="left" w:pos="4002"/>
        <w:tab w:val="clear" w:pos="4153"/>
        <w:tab w:val="clear" w:pos="8306"/>
      </w:tabs>
      <w:jc w:val="both"/>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FBF13">
    <w:pPr>
      <w:pStyle w:val="25"/>
      <w:pBdr>
        <w:bottom w:val="none" w:color="auto" w:sz="0" w:space="1"/>
      </w:pBdr>
      <w:jc w:val="both"/>
    </w:pPr>
  </w:p>
  <w:p w14:paraId="099459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D3AA4">
    <w:pPr>
      <w:pStyle w:val="25"/>
      <w:pBdr>
        <w:bottom w:val="none" w:color="auto" w:sz="0" w:space="0"/>
      </w:pBdr>
      <w:ind w:right="-57"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8297E">
    <w:pPr>
      <w:pStyle w:val="25"/>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15546"/>
    <w:multiLevelType w:val="singleLevel"/>
    <w:tmpl w:val="8DD15546"/>
    <w:lvl w:ilvl="0" w:tentative="0">
      <w:start w:val="1"/>
      <w:numFmt w:val="decimal"/>
      <w:suff w:val="nothing"/>
      <w:lvlText w:val="（%1）"/>
      <w:lvlJc w:val="left"/>
    </w:lvl>
  </w:abstractNum>
  <w:abstractNum w:abstractNumId="1">
    <w:nsid w:val="B8B6D882"/>
    <w:multiLevelType w:val="singleLevel"/>
    <w:tmpl w:val="B8B6D882"/>
    <w:lvl w:ilvl="0" w:tentative="0">
      <w:start w:val="2"/>
      <w:numFmt w:val="decimal"/>
      <w:lvlText w:val="%1."/>
      <w:lvlJc w:val="left"/>
      <w:pPr>
        <w:tabs>
          <w:tab w:val="left" w:pos="312"/>
        </w:tabs>
      </w:pPr>
    </w:lvl>
  </w:abstractNum>
  <w:abstractNum w:abstractNumId="2">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3">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4">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6">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7">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abstractNum w:abstractNumId="8">
    <w:nsid w:val="62687BB7"/>
    <w:multiLevelType w:val="singleLevel"/>
    <w:tmpl w:val="62687BB7"/>
    <w:lvl w:ilvl="0" w:tentative="0">
      <w:start w:val="7"/>
      <w:numFmt w:val="decimal"/>
      <w:suff w:val="space"/>
      <w:lvlText w:val="第%1条"/>
      <w:lvlJc w:val="left"/>
    </w:lvl>
  </w:abstractNum>
  <w:num w:numId="1">
    <w:abstractNumId w:val="1"/>
  </w:num>
  <w:num w:numId="2">
    <w:abstractNumId w:val="4"/>
  </w:num>
  <w:num w:numId="3">
    <w:abstractNumId w:val="7"/>
  </w:num>
  <w:num w:numId="4">
    <w:abstractNumId w:val="3"/>
  </w:num>
  <w:num w:numId="5">
    <w:abstractNumId w:val="2"/>
  </w:num>
  <w:num w:numId="6">
    <w:abstractNumId w:val="6"/>
  </w:num>
  <w:num w:numId="7">
    <w:abstractNumId w:val="5"/>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NmE2Y2RhY2ExZTYyZDQ5NmU3NTcyYTg0NmExNTYifQ=="/>
  </w:docVars>
  <w:rsids>
    <w:rsidRoot w:val="00BA3124"/>
    <w:rsid w:val="000000F2"/>
    <w:rsid w:val="00000139"/>
    <w:rsid w:val="000045EA"/>
    <w:rsid w:val="00007C3F"/>
    <w:rsid w:val="00012496"/>
    <w:rsid w:val="000143B4"/>
    <w:rsid w:val="00015B06"/>
    <w:rsid w:val="00020684"/>
    <w:rsid w:val="00022F88"/>
    <w:rsid w:val="000257D8"/>
    <w:rsid w:val="00030F30"/>
    <w:rsid w:val="000437E6"/>
    <w:rsid w:val="00043E88"/>
    <w:rsid w:val="0004419E"/>
    <w:rsid w:val="0005200D"/>
    <w:rsid w:val="00070442"/>
    <w:rsid w:val="00070470"/>
    <w:rsid w:val="00074337"/>
    <w:rsid w:val="0008222E"/>
    <w:rsid w:val="00083574"/>
    <w:rsid w:val="00090575"/>
    <w:rsid w:val="00092270"/>
    <w:rsid w:val="0009493E"/>
    <w:rsid w:val="00095B78"/>
    <w:rsid w:val="000A1767"/>
    <w:rsid w:val="000A49C9"/>
    <w:rsid w:val="000B34C7"/>
    <w:rsid w:val="000B467E"/>
    <w:rsid w:val="000B55C2"/>
    <w:rsid w:val="000B5BA2"/>
    <w:rsid w:val="000C1668"/>
    <w:rsid w:val="000C1D2F"/>
    <w:rsid w:val="000C20C1"/>
    <w:rsid w:val="000C22C2"/>
    <w:rsid w:val="000C32A2"/>
    <w:rsid w:val="000C401F"/>
    <w:rsid w:val="000C48AC"/>
    <w:rsid w:val="000C53FF"/>
    <w:rsid w:val="000C56A1"/>
    <w:rsid w:val="000C68D6"/>
    <w:rsid w:val="000D2B9F"/>
    <w:rsid w:val="000D3045"/>
    <w:rsid w:val="000D34B7"/>
    <w:rsid w:val="000D3933"/>
    <w:rsid w:val="000E072A"/>
    <w:rsid w:val="000E7218"/>
    <w:rsid w:val="000E7DA5"/>
    <w:rsid w:val="000F56F5"/>
    <w:rsid w:val="000F5E28"/>
    <w:rsid w:val="000F6EB3"/>
    <w:rsid w:val="00100517"/>
    <w:rsid w:val="0010099F"/>
    <w:rsid w:val="00106C71"/>
    <w:rsid w:val="0011106B"/>
    <w:rsid w:val="0011296C"/>
    <w:rsid w:val="00113BFF"/>
    <w:rsid w:val="001169E8"/>
    <w:rsid w:val="001207B4"/>
    <w:rsid w:val="0012615D"/>
    <w:rsid w:val="00126FBA"/>
    <w:rsid w:val="001315CE"/>
    <w:rsid w:val="00133A8C"/>
    <w:rsid w:val="00134F25"/>
    <w:rsid w:val="00135B62"/>
    <w:rsid w:val="00136DC4"/>
    <w:rsid w:val="00136FF6"/>
    <w:rsid w:val="00141670"/>
    <w:rsid w:val="001445DC"/>
    <w:rsid w:val="001520D4"/>
    <w:rsid w:val="0015296D"/>
    <w:rsid w:val="00155FD4"/>
    <w:rsid w:val="00157D88"/>
    <w:rsid w:val="00164343"/>
    <w:rsid w:val="00164B38"/>
    <w:rsid w:val="00164C7C"/>
    <w:rsid w:val="0017175E"/>
    <w:rsid w:val="00171822"/>
    <w:rsid w:val="00173A08"/>
    <w:rsid w:val="00180594"/>
    <w:rsid w:val="001866EC"/>
    <w:rsid w:val="00186A28"/>
    <w:rsid w:val="00190D52"/>
    <w:rsid w:val="001A37D3"/>
    <w:rsid w:val="001A3FCA"/>
    <w:rsid w:val="001B0893"/>
    <w:rsid w:val="001B1944"/>
    <w:rsid w:val="001B7C5A"/>
    <w:rsid w:val="001C0C50"/>
    <w:rsid w:val="001C638D"/>
    <w:rsid w:val="001C785F"/>
    <w:rsid w:val="001D0502"/>
    <w:rsid w:val="001D225F"/>
    <w:rsid w:val="001D5AE2"/>
    <w:rsid w:val="001E0D82"/>
    <w:rsid w:val="001E0D93"/>
    <w:rsid w:val="001E5985"/>
    <w:rsid w:val="001E5F4A"/>
    <w:rsid w:val="001F02C6"/>
    <w:rsid w:val="001F1EC3"/>
    <w:rsid w:val="001F4F93"/>
    <w:rsid w:val="001F780D"/>
    <w:rsid w:val="002041A6"/>
    <w:rsid w:val="002060E8"/>
    <w:rsid w:val="00206D2E"/>
    <w:rsid w:val="00210D44"/>
    <w:rsid w:val="00212AF9"/>
    <w:rsid w:val="0021370B"/>
    <w:rsid w:val="002140EE"/>
    <w:rsid w:val="00214894"/>
    <w:rsid w:val="00226768"/>
    <w:rsid w:val="00226771"/>
    <w:rsid w:val="00226B2E"/>
    <w:rsid w:val="00226D0E"/>
    <w:rsid w:val="0023676E"/>
    <w:rsid w:val="00236C72"/>
    <w:rsid w:val="00237A98"/>
    <w:rsid w:val="0024287B"/>
    <w:rsid w:val="0024305E"/>
    <w:rsid w:val="002441F7"/>
    <w:rsid w:val="002460B9"/>
    <w:rsid w:val="0024741B"/>
    <w:rsid w:val="00261C93"/>
    <w:rsid w:val="00262D37"/>
    <w:rsid w:val="00265564"/>
    <w:rsid w:val="00272F80"/>
    <w:rsid w:val="00273D37"/>
    <w:rsid w:val="0027764C"/>
    <w:rsid w:val="0028366D"/>
    <w:rsid w:val="00296225"/>
    <w:rsid w:val="002A20A0"/>
    <w:rsid w:val="002A455F"/>
    <w:rsid w:val="002A5261"/>
    <w:rsid w:val="002B1199"/>
    <w:rsid w:val="002B1394"/>
    <w:rsid w:val="002B33D2"/>
    <w:rsid w:val="002C4CDE"/>
    <w:rsid w:val="002C556E"/>
    <w:rsid w:val="002C5B0F"/>
    <w:rsid w:val="002D1B3B"/>
    <w:rsid w:val="002D23D9"/>
    <w:rsid w:val="002D2931"/>
    <w:rsid w:val="002D4681"/>
    <w:rsid w:val="002D6D0E"/>
    <w:rsid w:val="002E190D"/>
    <w:rsid w:val="002E6BE3"/>
    <w:rsid w:val="002F6933"/>
    <w:rsid w:val="00301F81"/>
    <w:rsid w:val="003021FF"/>
    <w:rsid w:val="00302C2E"/>
    <w:rsid w:val="0030463E"/>
    <w:rsid w:val="00307ACC"/>
    <w:rsid w:val="003151F7"/>
    <w:rsid w:val="00315C23"/>
    <w:rsid w:val="003166B6"/>
    <w:rsid w:val="00316E03"/>
    <w:rsid w:val="003207F4"/>
    <w:rsid w:val="00320BB7"/>
    <w:rsid w:val="00322E79"/>
    <w:rsid w:val="00326B1C"/>
    <w:rsid w:val="00330D78"/>
    <w:rsid w:val="00331CB9"/>
    <w:rsid w:val="003354EE"/>
    <w:rsid w:val="0033783D"/>
    <w:rsid w:val="00337C6A"/>
    <w:rsid w:val="003464E7"/>
    <w:rsid w:val="003500BC"/>
    <w:rsid w:val="00353318"/>
    <w:rsid w:val="00354E36"/>
    <w:rsid w:val="00355D2E"/>
    <w:rsid w:val="003568E4"/>
    <w:rsid w:val="00357135"/>
    <w:rsid w:val="00361313"/>
    <w:rsid w:val="0036732D"/>
    <w:rsid w:val="003706A5"/>
    <w:rsid w:val="003712A4"/>
    <w:rsid w:val="00383573"/>
    <w:rsid w:val="00385422"/>
    <w:rsid w:val="00391673"/>
    <w:rsid w:val="00393EBC"/>
    <w:rsid w:val="00395A23"/>
    <w:rsid w:val="003976F0"/>
    <w:rsid w:val="003A0C71"/>
    <w:rsid w:val="003A170B"/>
    <w:rsid w:val="003A1E4C"/>
    <w:rsid w:val="003A1E63"/>
    <w:rsid w:val="003A286A"/>
    <w:rsid w:val="003A4618"/>
    <w:rsid w:val="003A7A05"/>
    <w:rsid w:val="003A7F1A"/>
    <w:rsid w:val="003B097F"/>
    <w:rsid w:val="003B2656"/>
    <w:rsid w:val="003B3099"/>
    <w:rsid w:val="003B43D3"/>
    <w:rsid w:val="003B6000"/>
    <w:rsid w:val="003B6129"/>
    <w:rsid w:val="003B6BE9"/>
    <w:rsid w:val="003C312A"/>
    <w:rsid w:val="003C4653"/>
    <w:rsid w:val="003D0506"/>
    <w:rsid w:val="003D3A75"/>
    <w:rsid w:val="003D6118"/>
    <w:rsid w:val="003D67AC"/>
    <w:rsid w:val="003E148A"/>
    <w:rsid w:val="003E454F"/>
    <w:rsid w:val="003E6DFB"/>
    <w:rsid w:val="003F2270"/>
    <w:rsid w:val="003F746F"/>
    <w:rsid w:val="00403D28"/>
    <w:rsid w:val="004043A2"/>
    <w:rsid w:val="00410FCA"/>
    <w:rsid w:val="004117BD"/>
    <w:rsid w:val="00412A48"/>
    <w:rsid w:val="00414B71"/>
    <w:rsid w:val="004151CE"/>
    <w:rsid w:val="00417574"/>
    <w:rsid w:val="004215F1"/>
    <w:rsid w:val="0042215D"/>
    <w:rsid w:val="0043285C"/>
    <w:rsid w:val="00433287"/>
    <w:rsid w:val="00436E82"/>
    <w:rsid w:val="00440F9A"/>
    <w:rsid w:val="00442209"/>
    <w:rsid w:val="00443ADE"/>
    <w:rsid w:val="0044418D"/>
    <w:rsid w:val="00444695"/>
    <w:rsid w:val="004518D2"/>
    <w:rsid w:val="0045479E"/>
    <w:rsid w:val="0045655F"/>
    <w:rsid w:val="004619A4"/>
    <w:rsid w:val="004632AA"/>
    <w:rsid w:val="00474EDC"/>
    <w:rsid w:val="00474FAA"/>
    <w:rsid w:val="00476FBE"/>
    <w:rsid w:val="004810F7"/>
    <w:rsid w:val="00483264"/>
    <w:rsid w:val="004A0C16"/>
    <w:rsid w:val="004A0D30"/>
    <w:rsid w:val="004A15D9"/>
    <w:rsid w:val="004A5884"/>
    <w:rsid w:val="004B1E96"/>
    <w:rsid w:val="004B337A"/>
    <w:rsid w:val="004B508D"/>
    <w:rsid w:val="004B62C0"/>
    <w:rsid w:val="004B6350"/>
    <w:rsid w:val="004B6AEB"/>
    <w:rsid w:val="004C0462"/>
    <w:rsid w:val="004C09AF"/>
    <w:rsid w:val="004C43E6"/>
    <w:rsid w:val="004C7017"/>
    <w:rsid w:val="004C7456"/>
    <w:rsid w:val="004D03B0"/>
    <w:rsid w:val="004D1018"/>
    <w:rsid w:val="004D1DC8"/>
    <w:rsid w:val="004D1DC9"/>
    <w:rsid w:val="004D2987"/>
    <w:rsid w:val="004D449E"/>
    <w:rsid w:val="004D5FD7"/>
    <w:rsid w:val="004E12DE"/>
    <w:rsid w:val="004E33AC"/>
    <w:rsid w:val="004E6FB9"/>
    <w:rsid w:val="004E71AB"/>
    <w:rsid w:val="004F1783"/>
    <w:rsid w:val="004F6E95"/>
    <w:rsid w:val="004F7810"/>
    <w:rsid w:val="00500C4A"/>
    <w:rsid w:val="005040E2"/>
    <w:rsid w:val="00505261"/>
    <w:rsid w:val="00510E4D"/>
    <w:rsid w:val="00512A45"/>
    <w:rsid w:val="00524A56"/>
    <w:rsid w:val="0052634A"/>
    <w:rsid w:val="005266E9"/>
    <w:rsid w:val="00532363"/>
    <w:rsid w:val="005336C8"/>
    <w:rsid w:val="00540EA2"/>
    <w:rsid w:val="00541401"/>
    <w:rsid w:val="005418DB"/>
    <w:rsid w:val="0054269C"/>
    <w:rsid w:val="005448AD"/>
    <w:rsid w:val="00545594"/>
    <w:rsid w:val="00545844"/>
    <w:rsid w:val="005465FF"/>
    <w:rsid w:val="00550F16"/>
    <w:rsid w:val="00564C20"/>
    <w:rsid w:val="00565889"/>
    <w:rsid w:val="00571D43"/>
    <w:rsid w:val="00572291"/>
    <w:rsid w:val="005740F5"/>
    <w:rsid w:val="00574C3B"/>
    <w:rsid w:val="0057519E"/>
    <w:rsid w:val="00575AB8"/>
    <w:rsid w:val="0057690D"/>
    <w:rsid w:val="005801B6"/>
    <w:rsid w:val="0058368C"/>
    <w:rsid w:val="005839EE"/>
    <w:rsid w:val="00584B5D"/>
    <w:rsid w:val="00587B70"/>
    <w:rsid w:val="00587D80"/>
    <w:rsid w:val="005A1A6A"/>
    <w:rsid w:val="005A2E67"/>
    <w:rsid w:val="005A5B47"/>
    <w:rsid w:val="005A62DF"/>
    <w:rsid w:val="005B01E0"/>
    <w:rsid w:val="005B0BAE"/>
    <w:rsid w:val="005B180B"/>
    <w:rsid w:val="005B2E43"/>
    <w:rsid w:val="005B439E"/>
    <w:rsid w:val="005B54A3"/>
    <w:rsid w:val="005C5B0E"/>
    <w:rsid w:val="005C6087"/>
    <w:rsid w:val="005D0BB2"/>
    <w:rsid w:val="005D10F7"/>
    <w:rsid w:val="005D30DE"/>
    <w:rsid w:val="005D5725"/>
    <w:rsid w:val="005D7FBA"/>
    <w:rsid w:val="005E5912"/>
    <w:rsid w:val="005F2A05"/>
    <w:rsid w:val="005F2C46"/>
    <w:rsid w:val="005F5B89"/>
    <w:rsid w:val="00602F5C"/>
    <w:rsid w:val="00606397"/>
    <w:rsid w:val="00613C0A"/>
    <w:rsid w:val="006141A3"/>
    <w:rsid w:val="00615A0F"/>
    <w:rsid w:val="006173A4"/>
    <w:rsid w:val="00620F1A"/>
    <w:rsid w:val="00622520"/>
    <w:rsid w:val="006279E7"/>
    <w:rsid w:val="00632B9D"/>
    <w:rsid w:val="00634596"/>
    <w:rsid w:val="006425FA"/>
    <w:rsid w:val="00642B95"/>
    <w:rsid w:val="00647559"/>
    <w:rsid w:val="006523EB"/>
    <w:rsid w:val="0065265C"/>
    <w:rsid w:val="00653C14"/>
    <w:rsid w:val="0065460D"/>
    <w:rsid w:val="00657D99"/>
    <w:rsid w:val="0066001D"/>
    <w:rsid w:val="006679DC"/>
    <w:rsid w:val="00670400"/>
    <w:rsid w:val="006724B7"/>
    <w:rsid w:val="00677925"/>
    <w:rsid w:val="00677A8A"/>
    <w:rsid w:val="00680AD6"/>
    <w:rsid w:val="00681B00"/>
    <w:rsid w:val="006869D8"/>
    <w:rsid w:val="006870F1"/>
    <w:rsid w:val="0069033E"/>
    <w:rsid w:val="006918F7"/>
    <w:rsid w:val="006922EC"/>
    <w:rsid w:val="006945A4"/>
    <w:rsid w:val="00695EDE"/>
    <w:rsid w:val="006A143C"/>
    <w:rsid w:val="006A23E9"/>
    <w:rsid w:val="006A2F07"/>
    <w:rsid w:val="006A341C"/>
    <w:rsid w:val="006A4D72"/>
    <w:rsid w:val="006A543A"/>
    <w:rsid w:val="006B1CA7"/>
    <w:rsid w:val="006B6F3C"/>
    <w:rsid w:val="006B7B55"/>
    <w:rsid w:val="006C27BF"/>
    <w:rsid w:val="006C2D0C"/>
    <w:rsid w:val="006C4DC3"/>
    <w:rsid w:val="006C77CD"/>
    <w:rsid w:val="006D0072"/>
    <w:rsid w:val="006D2C2B"/>
    <w:rsid w:val="006D3513"/>
    <w:rsid w:val="006D5D9F"/>
    <w:rsid w:val="006D7949"/>
    <w:rsid w:val="006E1C8A"/>
    <w:rsid w:val="006E32D8"/>
    <w:rsid w:val="006E37AD"/>
    <w:rsid w:val="006E6222"/>
    <w:rsid w:val="006F0669"/>
    <w:rsid w:val="006F46FF"/>
    <w:rsid w:val="006F48AD"/>
    <w:rsid w:val="006F56A7"/>
    <w:rsid w:val="006F601F"/>
    <w:rsid w:val="006F629E"/>
    <w:rsid w:val="00702CEF"/>
    <w:rsid w:val="007032FC"/>
    <w:rsid w:val="00703D29"/>
    <w:rsid w:val="00703F0B"/>
    <w:rsid w:val="007076B1"/>
    <w:rsid w:val="0071236E"/>
    <w:rsid w:val="0071264D"/>
    <w:rsid w:val="0071330B"/>
    <w:rsid w:val="00717623"/>
    <w:rsid w:val="00722F66"/>
    <w:rsid w:val="00722FCE"/>
    <w:rsid w:val="00723EEC"/>
    <w:rsid w:val="007258A2"/>
    <w:rsid w:val="00733600"/>
    <w:rsid w:val="007339A9"/>
    <w:rsid w:val="007345D7"/>
    <w:rsid w:val="00735BD4"/>
    <w:rsid w:val="00737A61"/>
    <w:rsid w:val="00741B8D"/>
    <w:rsid w:val="00742E26"/>
    <w:rsid w:val="00746901"/>
    <w:rsid w:val="007469E7"/>
    <w:rsid w:val="00746D36"/>
    <w:rsid w:val="00750C92"/>
    <w:rsid w:val="00751CDD"/>
    <w:rsid w:val="00753178"/>
    <w:rsid w:val="007534CB"/>
    <w:rsid w:val="00754FB0"/>
    <w:rsid w:val="00756CAA"/>
    <w:rsid w:val="00762CB8"/>
    <w:rsid w:val="0076576D"/>
    <w:rsid w:val="0077088A"/>
    <w:rsid w:val="00774525"/>
    <w:rsid w:val="00785F88"/>
    <w:rsid w:val="00786B37"/>
    <w:rsid w:val="007877D5"/>
    <w:rsid w:val="00792362"/>
    <w:rsid w:val="0079519C"/>
    <w:rsid w:val="0079546E"/>
    <w:rsid w:val="00796303"/>
    <w:rsid w:val="007A04DC"/>
    <w:rsid w:val="007A287A"/>
    <w:rsid w:val="007A2EB0"/>
    <w:rsid w:val="007A3CC2"/>
    <w:rsid w:val="007B04FF"/>
    <w:rsid w:val="007B6DA0"/>
    <w:rsid w:val="007C15ED"/>
    <w:rsid w:val="007C19AE"/>
    <w:rsid w:val="007C2CCC"/>
    <w:rsid w:val="007C337F"/>
    <w:rsid w:val="007D04F4"/>
    <w:rsid w:val="007D0888"/>
    <w:rsid w:val="007D2179"/>
    <w:rsid w:val="007D2FAE"/>
    <w:rsid w:val="007D399D"/>
    <w:rsid w:val="007D59AF"/>
    <w:rsid w:val="007D7DEB"/>
    <w:rsid w:val="007E1DE6"/>
    <w:rsid w:val="007E201C"/>
    <w:rsid w:val="007E4AA1"/>
    <w:rsid w:val="007F0619"/>
    <w:rsid w:val="007F28DB"/>
    <w:rsid w:val="007F4345"/>
    <w:rsid w:val="007F7B34"/>
    <w:rsid w:val="00800A4E"/>
    <w:rsid w:val="0080399C"/>
    <w:rsid w:val="00803C1E"/>
    <w:rsid w:val="00804954"/>
    <w:rsid w:val="008108E9"/>
    <w:rsid w:val="00810B98"/>
    <w:rsid w:val="0081164E"/>
    <w:rsid w:val="00811C0C"/>
    <w:rsid w:val="00816129"/>
    <w:rsid w:val="008176A7"/>
    <w:rsid w:val="008177BD"/>
    <w:rsid w:val="00824189"/>
    <w:rsid w:val="008252F0"/>
    <w:rsid w:val="00826EBD"/>
    <w:rsid w:val="0083668C"/>
    <w:rsid w:val="00837C00"/>
    <w:rsid w:val="00840E0D"/>
    <w:rsid w:val="008461E9"/>
    <w:rsid w:val="008475AA"/>
    <w:rsid w:val="00855A4E"/>
    <w:rsid w:val="00856676"/>
    <w:rsid w:val="00856873"/>
    <w:rsid w:val="00860F02"/>
    <w:rsid w:val="00861912"/>
    <w:rsid w:val="0086365B"/>
    <w:rsid w:val="008657A4"/>
    <w:rsid w:val="0086730C"/>
    <w:rsid w:val="0088026D"/>
    <w:rsid w:val="00881EB7"/>
    <w:rsid w:val="00884884"/>
    <w:rsid w:val="00885261"/>
    <w:rsid w:val="0088570D"/>
    <w:rsid w:val="00887902"/>
    <w:rsid w:val="00891420"/>
    <w:rsid w:val="00892334"/>
    <w:rsid w:val="00895FBB"/>
    <w:rsid w:val="008A0C18"/>
    <w:rsid w:val="008A1E1B"/>
    <w:rsid w:val="008A5FBB"/>
    <w:rsid w:val="008A73EE"/>
    <w:rsid w:val="008B0302"/>
    <w:rsid w:val="008B09E8"/>
    <w:rsid w:val="008B224C"/>
    <w:rsid w:val="008C05CF"/>
    <w:rsid w:val="008C1461"/>
    <w:rsid w:val="008C2226"/>
    <w:rsid w:val="008C4276"/>
    <w:rsid w:val="008C4887"/>
    <w:rsid w:val="008C77F8"/>
    <w:rsid w:val="008D2976"/>
    <w:rsid w:val="008D55B2"/>
    <w:rsid w:val="008D6D95"/>
    <w:rsid w:val="008E12B9"/>
    <w:rsid w:val="008E500C"/>
    <w:rsid w:val="008F2A48"/>
    <w:rsid w:val="008F6C65"/>
    <w:rsid w:val="008F720F"/>
    <w:rsid w:val="009021F6"/>
    <w:rsid w:val="00902910"/>
    <w:rsid w:val="00904592"/>
    <w:rsid w:val="009060CB"/>
    <w:rsid w:val="00906D34"/>
    <w:rsid w:val="0091169E"/>
    <w:rsid w:val="009120C7"/>
    <w:rsid w:val="009123C5"/>
    <w:rsid w:val="00916179"/>
    <w:rsid w:val="00917615"/>
    <w:rsid w:val="00921A28"/>
    <w:rsid w:val="0092520D"/>
    <w:rsid w:val="00925337"/>
    <w:rsid w:val="00931174"/>
    <w:rsid w:val="00936D28"/>
    <w:rsid w:val="00937B1F"/>
    <w:rsid w:val="0094110B"/>
    <w:rsid w:val="00944B82"/>
    <w:rsid w:val="00945006"/>
    <w:rsid w:val="00945609"/>
    <w:rsid w:val="00956B31"/>
    <w:rsid w:val="00956FA8"/>
    <w:rsid w:val="00957AA0"/>
    <w:rsid w:val="009604CB"/>
    <w:rsid w:val="00965538"/>
    <w:rsid w:val="00971F0D"/>
    <w:rsid w:val="0097464F"/>
    <w:rsid w:val="00980E99"/>
    <w:rsid w:val="00984BFB"/>
    <w:rsid w:val="00991B49"/>
    <w:rsid w:val="00995A55"/>
    <w:rsid w:val="009964B6"/>
    <w:rsid w:val="009A1C5B"/>
    <w:rsid w:val="009A5D9E"/>
    <w:rsid w:val="009A7B76"/>
    <w:rsid w:val="009B0988"/>
    <w:rsid w:val="009B2373"/>
    <w:rsid w:val="009B2B4B"/>
    <w:rsid w:val="009C5DF4"/>
    <w:rsid w:val="009C6C4E"/>
    <w:rsid w:val="009D003A"/>
    <w:rsid w:val="009D3453"/>
    <w:rsid w:val="009D431A"/>
    <w:rsid w:val="009E0CF2"/>
    <w:rsid w:val="009E1329"/>
    <w:rsid w:val="009E28E5"/>
    <w:rsid w:val="009E4340"/>
    <w:rsid w:val="009E4CE3"/>
    <w:rsid w:val="009F214A"/>
    <w:rsid w:val="009F2F79"/>
    <w:rsid w:val="009F374F"/>
    <w:rsid w:val="009F3BC8"/>
    <w:rsid w:val="009F588C"/>
    <w:rsid w:val="00A02C14"/>
    <w:rsid w:val="00A03373"/>
    <w:rsid w:val="00A05ECF"/>
    <w:rsid w:val="00A100F7"/>
    <w:rsid w:val="00A11C51"/>
    <w:rsid w:val="00A126E5"/>
    <w:rsid w:val="00A12C63"/>
    <w:rsid w:val="00A1337E"/>
    <w:rsid w:val="00A24133"/>
    <w:rsid w:val="00A249A4"/>
    <w:rsid w:val="00A2528E"/>
    <w:rsid w:val="00A33F45"/>
    <w:rsid w:val="00A34C49"/>
    <w:rsid w:val="00A363F5"/>
    <w:rsid w:val="00A3642F"/>
    <w:rsid w:val="00A421CE"/>
    <w:rsid w:val="00A54F86"/>
    <w:rsid w:val="00A63392"/>
    <w:rsid w:val="00A722C5"/>
    <w:rsid w:val="00A80044"/>
    <w:rsid w:val="00A859DC"/>
    <w:rsid w:val="00A85D7D"/>
    <w:rsid w:val="00A85EAD"/>
    <w:rsid w:val="00A86417"/>
    <w:rsid w:val="00A872DA"/>
    <w:rsid w:val="00A9122E"/>
    <w:rsid w:val="00A91F36"/>
    <w:rsid w:val="00A93A7F"/>
    <w:rsid w:val="00A97B0B"/>
    <w:rsid w:val="00AA4795"/>
    <w:rsid w:val="00AA63BA"/>
    <w:rsid w:val="00AB19DA"/>
    <w:rsid w:val="00AB6B27"/>
    <w:rsid w:val="00AD130F"/>
    <w:rsid w:val="00AD526F"/>
    <w:rsid w:val="00AD629B"/>
    <w:rsid w:val="00AD6B25"/>
    <w:rsid w:val="00AD6ED0"/>
    <w:rsid w:val="00AD74EF"/>
    <w:rsid w:val="00AE1284"/>
    <w:rsid w:val="00AE2C17"/>
    <w:rsid w:val="00AE5333"/>
    <w:rsid w:val="00AE61ED"/>
    <w:rsid w:val="00AE6866"/>
    <w:rsid w:val="00AE6F3C"/>
    <w:rsid w:val="00AF196A"/>
    <w:rsid w:val="00AF54E1"/>
    <w:rsid w:val="00B0080D"/>
    <w:rsid w:val="00B01CD3"/>
    <w:rsid w:val="00B02E88"/>
    <w:rsid w:val="00B04E81"/>
    <w:rsid w:val="00B054A7"/>
    <w:rsid w:val="00B0579A"/>
    <w:rsid w:val="00B05F20"/>
    <w:rsid w:val="00B14E6B"/>
    <w:rsid w:val="00B16089"/>
    <w:rsid w:val="00B25923"/>
    <w:rsid w:val="00B26432"/>
    <w:rsid w:val="00B266B6"/>
    <w:rsid w:val="00B3570D"/>
    <w:rsid w:val="00B369E1"/>
    <w:rsid w:val="00B36CB6"/>
    <w:rsid w:val="00B457D5"/>
    <w:rsid w:val="00B47764"/>
    <w:rsid w:val="00B4784E"/>
    <w:rsid w:val="00B52D63"/>
    <w:rsid w:val="00B565D4"/>
    <w:rsid w:val="00B579E4"/>
    <w:rsid w:val="00B62476"/>
    <w:rsid w:val="00B626BB"/>
    <w:rsid w:val="00B724FE"/>
    <w:rsid w:val="00B73951"/>
    <w:rsid w:val="00B7420E"/>
    <w:rsid w:val="00B80A01"/>
    <w:rsid w:val="00B80D2F"/>
    <w:rsid w:val="00B82E58"/>
    <w:rsid w:val="00B84E29"/>
    <w:rsid w:val="00B863CD"/>
    <w:rsid w:val="00B90B22"/>
    <w:rsid w:val="00B90EB4"/>
    <w:rsid w:val="00B97802"/>
    <w:rsid w:val="00BA0E5D"/>
    <w:rsid w:val="00BA2846"/>
    <w:rsid w:val="00BA3124"/>
    <w:rsid w:val="00BA37AA"/>
    <w:rsid w:val="00BA55B3"/>
    <w:rsid w:val="00BB13C2"/>
    <w:rsid w:val="00BB2465"/>
    <w:rsid w:val="00BB2B84"/>
    <w:rsid w:val="00BC4999"/>
    <w:rsid w:val="00BD389A"/>
    <w:rsid w:val="00BE1F58"/>
    <w:rsid w:val="00BE2F9C"/>
    <w:rsid w:val="00BE3C13"/>
    <w:rsid w:val="00BF1BC9"/>
    <w:rsid w:val="00BF3812"/>
    <w:rsid w:val="00BF4099"/>
    <w:rsid w:val="00C03D70"/>
    <w:rsid w:val="00C03FB6"/>
    <w:rsid w:val="00C06587"/>
    <w:rsid w:val="00C07A4F"/>
    <w:rsid w:val="00C13489"/>
    <w:rsid w:val="00C13FAF"/>
    <w:rsid w:val="00C244BA"/>
    <w:rsid w:val="00C2519C"/>
    <w:rsid w:val="00C25425"/>
    <w:rsid w:val="00C254EC"/>
    <w:rsid w:val="00C25AD7"/>
    <w:rsid w:val="00C31620"/>
    <w:rsid w:val="00C333D6"/>
    <w:rsid w:val="00C3532B"/>
    <w:rsid w:val="00C35FFB"/>
    <w:rsid w:val="00C3605A"/>
    <w:rsid w:val="00C36C81"/>
    <w:rsid w:val="00C4070E"/>
    <w:rsid w:val="00C46538"/>
    <w:rsid w:val="00C46568"/>
    <w:rsid w:val="00C475B3"/>
    <w:rsid w:val="00C519A3"/>
    <w:rsid w:val="00C524FA"/>
    <w:rsid w:val="00C54866"/>
    <w:rsid w:val="00C54E7F"/>
    <w:rsid w:val="00C557E5"/>
    <w:rsid w:val="00C56715"/>
    <w:rsid w:val="00C61DF1"/>
    <w:rsid w:val="00C636A8"/>
    <w:rsid w:val="00C649A3"/>
    <w:rsid w:val="00C64C38"/>
    <w:rsid w:val="00C716E6"/>
    <w:rsid w:val="00C7432E"/>
    <w:rsid w:val="00C76FE6"/>
    <w:rsid w:val="00C8124B"/>
    <w:rsid w:val="00C834F6"/>
    <w:rsid w:val="00C84A36"/>
    <w:rsid w:val="00C85D99"/>
    <w:rsid w:val="00C91707"/>
    <w:rsid w:val="00C91765"/>
    <w:rsid w:val="00C95D6C"/>
    <w:rsid w:val="00CA115B"/>
    <w:rsid w:val="00CA3F44"/>
    <w:rsid w:val="00CA4DB7"/>
    <w:rsid w:val="00CA4EDA"/>
    <w:rsid w:val="00CA6CAC"/>
    <w:rsid w:val="00CB3033"/>
    <w:rsid w:val="00CB3C9F"/>
    <w:rsid w:val="00CB5F47"/>
    <w:rsid w:val="00CC0FA9"/>
    <w:rsid w:val="00CC18DB"/>
    <w:rsid w:val="00CC1C15"/>
    <w:rsid w:val="00CC375D"/>
    <w:rsid w:val="00CC46A2"/>
    <w:rsid w:val="00CC5B47"/>
    <w:rsid w:val="00CC6D92"/>
    <w:rsid w:val="00CD04A5"/>
    <w:rsid w:val="00CD7D67"/>
    <w:rsid w:val="00CE01EF"/>
    <w:rsid w:val="00CF001A"/>
    <w:rsid w:val="00CF0250"/>
    <w:rsid w:val="00CF355D"/>
    <w:rsid w:val="00D0134F"/>
    <w:rsid w:val="00D0202D"/>
    <w:rsid w:val="00D06C66"/>
    <w:rsid w:val="00D1119F"/>
    <w:rsid w:val="00D14E99"/>
    <w:rsid w:val="00D1571D"/>
    <w:rsid w:val="00D21E36"/>
    <w:rsid w:val="00D22BAB"/>
    <w:rsid w:val="00D22CA2"/>
    <w:rsid w:val="00D2321E"/>
    <w:rsid w:val="00D23492"/>
    <w:rsid w:val="00D26520"/>
    <w:rsid w:val="00D277F8"/>
    <w:rsid w:val="00D300DD"/>
    <w:rsid w:val="00D44F13"/>
    <w:rsid w:val="00D4693D"/>
    <w:rsid w:val="00D479CD"/>
    <w:rsid w:val="00D55A38"/>
    <w:rsid w:val="00D6016D"/>
    <w:rsid w:val="00D62A4A"/>
    <w:rsid w:val="00D66AB0"/>
    <w:rsid w:val="00D812C8"/>
    <w:rsid w:val="00D829D0"/>
    <w:rsid w:val="00D839C0"/>
    <w:rsid w:val="00D841A1"/>
    <w:rsid w:val="00D84F11"/>
    <w:rsid w:val="00D91940"/>
    <w:rsid w:val="00D92C17"/>
    <w:rsid w:val="00D930BB"/>
    <w:rsid w:val="00D932AD"/>
    <w:rsid w:val="00D93779"/>
    <w:rsid w:val="00D95A48"/>
    <w:rsid w:val="00D95A4C"/>
    <w:rsid w:val="00D97F97"/>
    <w:rsid w:val="00DA12F0"/>
    <w:rsid w:val="00DB181C"/>
    <w:rsid w:val="00DC3AB0"/>
    <w:rsid w:val="00DC3C79"/>
    <w:rsid w:val="00DC5EB5"/>
    <w:rsid w:val="00DC5F38"/>
    <w:rsid w:val="00DC6ED1"/>
    <w:rsid w:val="00DE249D"/>
    <w:rsid w:val="00DE3D17"/>
    <w:rsid w:val="00DE7E18"/>
    <w:rsid w:val="00DF0071"/>
    <w:rsid w:val="00DF439B"/>
    <w:rsid w:val="00DF5814"/>
    <w:rsid w:val="00DF782E"/>
    <w:rsid w:val="00DF7BB9"/>
    <w:rsid w:val="00E02431"/>
    <w:rsid w:val="00E03C51"/>
    <w:rsid w:val="00E11081"/>
    <w:rsid w:val="00E14AB1"/>
    <w:rsid w:val="00E2004A"/>
    <w:rsid w:val="00E22781"/>
    <w:rsid w:val="00E23193"/>
    <w:rsid w:val="00E255AC"/>
    <w:rsid w:val="00E26053"/>
    <w:rsid w:val="00E30B10"/>
    <w:rsid w:val="00E312D2"/>
    <w:rsid w:val="00E33009"/>
    <w:rsid w:val="00E3415B"/>
    <w:rsid w:val="00E41050"/>
    <w:rsid w:val="00E42EAA"/>
    <w:rsid w:val="00E43660"/>
    <w:rsid w:val="00E449D8"/>
    <w:rsid w:val="00E45D74"/>
    <w:rsid w:val="00E51F99"/>
    <w:rsid w:val="00E52414"/>
    <w:rsid w:val="00E55177"/>
    <w:rsid w:val="00E57591"/>
    <w:rsid w:val="00E60C9D"/>
    <w:rsid w:val="00E653F5"/>
    <w:rsid w:val="00E667FC"/>
    <w:rsid w:val="00E7155C"/>
    <w:rsid w:val="00E72F1F"/>
    <w:rsid w:val="00E763ED"/>
    <w:rsid w:val="00E80883"/>
    <w:rsid w:val="00E86025"/>
    <w:rsid w:val="00E864B4"/>
    <w:rsid w:val="00E8709E"/>
    <w:rsid w:val="00E93BCC"/>
    <w:rsid w:val="00E9439E"/>
    <w:rsid w:val="00E96E54"/>
    <w:rsid w:val="00EA1145"/>
    <w:rsid w:val="00EA11E5"/>
    <w:rsid w:val="00EA1ED7"/>
    <w:rsid w:val="00EA5C66"/>
    <w:rsid w:val="00EB09CB"/>
    <w:rsid w:val="00EB0C24"/>
    <w:rsid w:val="00EB13EB"/>
    <w:rsid w:val="00EB6ED0"/>
    <w:rsid w:val="00EC2752"/>
    <w:rsid w:val="00EC2D7B"/>
    <w:rsid w:val="00EC7653"/>
    <w:rsid w:val="00ED3A02"/>
    <w:rsid w:val="00ED4554"/>
    <w:rsid w:val="00ED49CE"/>
    <w:rsid w:val="00ED5241"/>
    <w:rsid w:val="00ED6221"/>
    <w:rsid w:val="00ED64CD"/>
    <w:rsid w:val="00ED7DBB"/>
    <w:rsid w:val="00EE5896"/>
    <w:rsid w:val="00EE6E83"/>
    <w:rsid w:val="00EF20F4"/>
    <w:rsid w:val="00EF2D43"/>
    <w:rsid w:val="00EF2D68"/>
    <w:rsid w:val="00EF5BD9"/>
    <w:rsid w:val="00EF6456"/>
    <w:rsid w:val="00F00891"/>
    <w:rsid w:val="00F06631"/>
    <w:rsid w:val="00F076F4"/>
    <w:rsid w:val="00F115E5"/>
    <w:rsid w:val="00F121C0"/>
    <w:rsid w:val="00F129A8"/>
    <w:rsid w:val="00F1492D"/>
    <w:rsid w:val="00F15A32"/>
    <w:rsid w:val="00F2140E"/>
    <w:rsid w:val="00F275D0"/>
    <w:rsid w:val="00F331FE"/>
    <w:rsid w:val="00F33480"/>
    <w:rsid w:val="00F33C35"/>
    <w:rsid w:val="00F344D6"/>
    <w:rsid w:val="00F35244"/>
    <w:rsid w:val="00F37250"/>
    <w:rsid w:val="00F3752A"/>
    <w:rsid w:val="00F40FBF"/>
    <w:rsid w:val="00F41038"/>
    <w:rsid w:val="00F4149C"/>
    <w:rsid w:val="00F41ABA"/>
    <w:rsid w:val="00F43D41"/>
    <w:rsid w:val="00F502E0"/>
    <w:rsid w:val="00F52C3C"/>
    <w:rsid w:val="00F52F5A"/>
    <w:rsid w:val="00F53420"/>
    <w:rsid w:val="00F56501"/>
    <w:rsid w:val="00F57034"/>
    <w:rsid w:val="00F5705E"/>
    <w:rsid w:val="00F603CC"/>
    <w:rsid w:val="00F627C1"/>
    <w:rsid w:val="00F62842"/>
    <w:rsid w:val="00F64A9E"/>
    <w:rsid w:val="00F72CA1"/>
    <w:rsid w:val="00F73E22"/>
    <w:rsid w:val="00F74EBD"/>
    <w:rsid w:val="00F82ADB"/>
    <w:rsid w:val="00F831B3"/>
    <w:rsid w:val="00F86B8B"/>
    <w:rsid w:val="00F8733F"/>
    <w:rsid w:val="00F910EF"/>
    <w:rsid w:val="00F91562"/>
    <w:rsid w:val="00F921B4"/>
    <w:rsid w:val="00F94057"/>
    <w:rsid w:val="00F96524"/>
    <w:rsid w:val="00FA25D3"/>
    <w:rsid w:val="00FB3AAB"/>
    <w:rsid w:val="00FB3BE8"/>
    <w:rsid w:val="00FB7E37"/>
    <w:rsid w:val="00FC02B4"/>
    <w:rsid w:val="00FD1370"/>
    <w:rsid w:val="00FD5F55"/>
    <w:rsid w:val="00FD6415"/>
    <w:rsid w:val="00FE0D6B"/>
    <w:rsid w:val="00FE2042"/>
    <w:rsid w:val="00FE3364"/>
    <w:rsid w:val="00FE6711"/>
    <w:rsid w:val="00FF2B8E"/>
    <w:rsid w:val="00FF2D5E"/>
    <w:rsid w:val="00FF3FB5"/>
    <w:rsid w:val="00FF5A2F"/>
    <w:rsid w:val="01342F9E"/>
    <w:rsid w:val="015D28CD"/>
    <w:rsid w:val="01715CEB"/>
    <w:rsid w:val="018A2DD6"/>
    <w:rsid w:val="01BC2913"/>
    <w:rsid w:val="01DD1E74"/>
    <w:rsid w:val="01F959A8"/>
    <w:rsid w:val="01FE6D66"/>
    <w:rsid w:val="020277D8"/>
    <w:rsid w:val="02066CFE"/>
    <w:rsid w:val="021B48C8"/>
    <w:rsid w:val="022F6BC7"/>
    <w:rsid w:val="02302ECD"/>
    <w:rsid w:val="02456680"/>
    <w:rsid w:val="026F6E56"/>
    <w:rsid w:val="029A6A52"/>
    <w:rsid w:val="02F11D3F"/>
    <w:rsid w:val="02F900F0"/>
    <w:rsid w:val="02FF41F8"/>
    <w:rsid w:val="033E7560"/>
    <w:rsid w:val="03441469"/>
    <w:rsid w:val="035F3318"/>
    <w:rsid w:val="037E7B55"/>
    <w:rsid w:val="03BD1133"/>
    <w:rsid w:val="03C454CD"/>
    <w:rsid w:val="03F24D5C"/>
    <w:rsid w:val="03F875A9"/>
    <w:rsid w:val="04845C83"/>
    <w:rsid w:val="04A65CC3"/>
    <w:rsid w:val="05014C42"/>
    <w:rsid w:val="052076F5"/>
    <w:rsid w:val="054D15E1"/>
    <w:rsid w:val="05707E09"/>
    <w:rsid w:val="058A5177"/>
    <w:rsid w:val="058D7774"/>
    <w:rsid w:val="05DC58AA"/>
    <w:rsid w:val="05E337FC"/>
    <w:rsid w:val="06071F71"/>
    <w:rsid w:val="062B4164"/>
    <w:rsid w:val="063D3B96"/>
    <w:rsid w:val="06475B39"/>
    <w:rsid w:val="068A3BAA"/>
    <w:rsid w:val="06B331CE"/>
    <w:rsid w:val="06B46DF4"/>
    <w:rsid w:val="06BE1EBF"/>
    <w:rsid w:val="06E801A9"/>
    <w:rsid w:val="06FA6082"/>
    <w:rsid w:val="07211C30"/>
    <w:rsid w:val="07752148"/>
    <w:rsid w:val="07C30DC0"/>
    <w:rsid w:val="07C83D97"/>
    <w:rsid w:val="07CD7BA4"/>
    <w:rsid w:val="07F82721"/>
    <w:rsid w:val="08B911DC"/>
    <w:rsid w:val="08D447CB"/>
    <w:rsid w:val="08E92ED7"/>
    <w:rsid w:val="091266F1"/>
    <w:rsid w:val="09361F9D"/>
    <w:rsid w:val="094E3AD5"/>
    <w:rsid w:val="09743B18"/>
    <w:rsid w:val="0984572B"/>
    <w:rsid w:val="09960EC9"/>
    <w:rsid w:val="09CA261C"/>
    <w:rsid w:val="09D842D6"/>
    <w:rsid w:val="0A241B2A"/>
    <w:rsid w:val="0A7A508D"/>
    <w:rsid w:val="0AB623B0"/>
    <w:rsid w:val="0ABC2E87"/>
    <w:rsid w:val="0AD42E19"/>
    <w:rsid w:val="0ADD11E0"/>
    <w:rsid w:val="0AEA4BAD"/>
    <w:rsid w:val="0B195FA1"/>
    <w:rsid w:val="0B6357F2"/>
    <w:rsid w:val="0B9215EF"/>
    <w:rsid w:val="0BC56A2A"/>
    <w:rsid w:val="0C3279E8"/>
    <w:rsid w:val="0C3C5EA6"/>
    <w:rsid w:val="0C6D2071"/>
    <w:rsid w:val="0C7656E5"/>
    <w:rsid w:val="0CAE52C2"/>
    <w:rsid w:val="0D06219A"/>
    <w:rsid w:val="0D10133B"/>
    <w:rsid w:val="0D24239E"/>
    <w:rsid w:val="0D38267F"/>
    <w:rsid w:val="0D460BF6"/>
    <w:rsid w:val="0D5166E6"/>
    <w:rsid w:val="0D823213"/>
    <w:rsid w:val="0DAC43F5"/>
    <w:rsid w:val="0DAE6A7F"/>
    <w:rsid w:val="0DB040A8"/>
    <w:rsid w:val="0DB05806"/>
    <w:rsid w:val="0DF62850"/>
    <w:rsid w:val="0DF742E8"/>
    <w:rsid w:val="0E604325"/>
    <w:rsid w:val="0E9A16A0"/>
    <w:rsid w:val="0EA83860"/>
    <w:rsid w:val="0ECB39D4"/>
    <w:rsid w:val="0F334EAC"/>
    <w:rsid w:val="0F3C3A1D"/>
    <w:rsid w:val="0F482EAC"/>
    <w:rsid w:val="0FAE47D0"/>
    <w:rsid w:val="0FC86C86"/>
    <w:rsid w:val="10082148"/>
    <w:rsid w:val="100A065A"/>
    <w:rsid w:val="1020667C"/>
    <w:rsid w:val="10255224"/>
    <w:rsid w:val="10394744"/>
    <w:rsid w:val="104F540B"/>
    <w:rsid w:val="10885BD4"/>
    <w:rsid w:val="10AF4E6E"/>
    <w:rsid w:val="110A1D05"/>
    <w:rsid w:val="112D573C"/>
    <w:rsid w:val="115B6635"/>
    <w:rsid w:val="11790C53"/>
    <w:rsid w:val="118814D2"/>
    <w:rsid w:val="119306A1"/>
    <w:rsid w:val="11D87F8D"/>
    <w:rsid w:val="11DC6830"/>
    <w:rsid w:val="12161665"/>
    <w:rsid w:val="121A7943"/>
    <w:rsid w:val="12252C69"/>
    <w:rsid w:val="123B43D3"/>
    <w:rsid w:val="126006FF"/>
    <w:rsid w:val="128B5679"/>
    <w:rsid w:val="12AA5F2D"/>
    <w:rsid w:val="12E3048E"/>
    <w:rsid w:val="131555DD"/>
    <w:rsid w:val="133176F4"/>
    <w:rsid w:val="13340090"/>
    <w:rsid w:val="133F6D99"/>
    <w:rsid w:val="13564C24"/>
    <w:rsid w:val="135F302A"/>
    <w:rsid w:val="13BB5F0A"/>
    <w:rsid w:val="13F6014E"/>
    <w:rsid w:val="142F2909"/>
    <w:rsid w:val="142F43C4"/>
    <w:rsid w:val="145A7E72"/>
    <w:rsid w:val="14616F6E"/>
    <w:rsid w:val="14690A9D"/>
    <w:rsid w:val="14A47EEC"/>
    <w:rsid w:val="14D74727"/>
    <w:rsid w:val="14E0187D"/>
    <w:rsid w:val="1510089B"/>
    <w:rsid w:val="1513500B"/>
    <w:rsid w:val="15716A66"/>
    <w:rsid w:val="15A647C1"/>
    <w:rsid w:val="15ED6F84"/>
    <w:rsid w:val="15F0598A"/>
    <w:rsid w:val="15F86940"/>
    <w:rsid w:val="160733B1"/>
    <w:rsid w:val="16244BA5"/>
    <w:rsid w:val="163A4EED"/>
    <w:rsid w:val="1661013C"/>
    <w:rsid w:val="16643093"/>
    <w:rsid w:val="1669065B"/>
    <w:rsid w:val="16D35ADF"/>
    <w:rsid w:val="16EA530F"/>
    <w:rsid w:val="17057A51"/>
    <w:rsid w:val="17086A82"/>
    <w:rsid w:val="173443F4"/>
    <w:rsid w:val="17451FF2"/>
    <w:rsid w:val="174B5FC7"/>
    <w:rsid w:val="17874FED"/>
    <w:rsid w:val="17945D27"/>
    <w:rsid w:val="180F4F9D"/>
    <w:rsid w:val="18174416"/>
    <w:rsid w:val="182B589C"/>
    <w:rsid w:val="18926309"/>
    <w:rsid w:val="189A58E9"/>
    <w:rsid w:val="18B15BA9"/>
    <w:rsid w:val="18FE6868"/>
    <w:rsid w:val="19052A19"/>
    <w:rsid w:val="1915353E"/>
    <w:rsid w:val="194B3ED9"/>
    <w:rsid w:val="194E6691"/>
    <w:rsid w:val="19613466"/>
    <w:rsid w:val="197E3DDD"/>
    <w:rsid w:val="19956766"/>
    <w:rsid w:val="19AE79AF"/>
    <w:rsid w:val="19B97CBE"/>
    <w:rsid w:val="19CD3A5F"/>
    <w:rsid w:val="19E44F9E"/>
    <w:rsid w:val="19FB0CBC"/>
    <w:rsid w:val="1A193C6E"/>
    <w:rsid w:val="1A49562F"/>
    <w:rsid w:val="1A4A65D3"/>
    <w:rsid w:val="1A82366D"/>
    <w:rsid w:val="1A840417"/>
    <w:rsid w:val="1A983B68"/>
    <w:rsid w:val="1AD50CF9"/>
    <w:rsid w:val="1AE82C29"/>
    <w:rsid w:val="1AE84762"/>
    <w:rsid w:val="1B222279"/>
    <w:rsid w:val="1B444D72"/>
    <w:rsid w:val="1B546DE6"/>
    <w:rsid w:val="1B576901"/>
    <w:rsid w:val="1B9A7611"/>
    <w:rsid w:val="1BBA217D"/>
    <w:rsid w:val="1BC2741A"/>
    <w:rsid w:val="1BE62AD2"/>
    <w:rsid w:val="1BE852D6"/>
    <w:rsid w:val="1C2602C2"/>
    <w:rsid w:val="1C3B1850"/>
    <w:rsid w:val="1C77282E"/>
    <w:rsid w:val="1C952473"/>
    <w:rsid w:val="1CB12CB3"/>
    <w:rsid w:val="1CB64E81"/>
    <w:rsid w:val="1CD41F8D"/>
    <w:rsid w:val="1D2302DB"/>
    <w:rsid w:val="1D463C3C"/>
    <w:rsid w:val="1D5C79FE"/>
    <w:rsid w:val="1D795410"/>
    <w:rsid w:val="1DF7545B"/>
    <w:rsid w:val="1E4B1042"/>
    <w:rsid w:val="1E5A0411"/>
    <w:rsid w:val="1E7550ED"/>
    <w:rsid w:val="1EB573ED"/>
    <w:rsid w:val="1EF02DBA"/>
    <w:rsid w:val="1F446F35"/>
    <w:rsid w:val="1F9771D0"/>
    <w:rsid w:val="1FC63A44"/>
    <w:rsid w:val="1FDA06C6"/>
    <w:rsid w:val="1FE53362"/>
    <w:rsid w:val="1FF05C03"/>
    <w:rsid w:val="1FF753DA"/>
    <w:rsid w:val="20B627FE"/>
    <w:rsid w:val="20D63F6F"/>
    <w:rsid w:val="20E11803"/>
    <w:rsid w:val="20EF5F4E"/>
    <w:rsid w:val="20FC5DE9"/>
    <w:rsid w:val="212D6B7C"/>
    <w:rsid w:val="21375BBB"/>
    <w:rsid w:val="21496007"/>
    <w:rsid w:val="21621B25"/>
    <w:rsid w:val="21655227"/>
    <w:rsid w:val="22004956"/>
    <w:rsid w:val="22027DCB"/>
    <w:rsid w:val="222D4521"/>
    <w:rsid w:val="22A2261D"/>
    <w:rsid w:val="22A72E6A"/>
    <w:rsid w:val="22C85930"/>
    <w:rsid w:val="22D56252"/>
    <w:rsid w:val="22E24F49"/>
    <w:rsid w:val="22F82B23"/>
    <w:rsid w:val="23021720"/>
    <w:rsid w:val="23046F44"/>
    <w:rsid w:val="230A5A08"/>
    <w:rsid w:val="23203CBF"/>
    <w:rsid w:val="23207A8A"/>
    <w:rsid w:val="23416743"/>
    <w:rsid w:val="234E00AF"/>
    <w:rsid w:val="237E2BC9"/>
    <w:rsid w:val="23865A00"/>
    <w:rsid w:val="23913FFA"/>
    <w:rsid w:val="23B57CE5"/>
    <w:rsid w:val="23C47ABA"/>
    <w:rsid w:val="23E72442"/>
    <w:rsid w:val="23EE5289"/>
    <w:rsid w:val="23F62CC9"/>
    <w:rsid w:val="24365108"/>
    <w:rsid w:val="243E1570"/>
    <w:rsid w:val="244D1F9C"/>
    <w:rsid w:val="2482179F"/>
    <w:rsid w:val="2489423A"/>
    <w:rsid w:val="24C3331E"/>
    <w:rsid w:val="24ED56A6"/>
    <w:rsid w:val="24F35209"/>
    <w:rsid w:val="24FE7EC9"/>
    <w:rsid w:val="25397845"/>
    <w:rsid w:val="254E1BD8"/>
    <w:rsid w:val="25A073CB"/>
    <w:rsid w:val="25C744D7"/>
    <w:rsid w:val="25EB6972"/>
    <w:rsid w:val="25F22003"/>
    <w:rsid w:val="264C69F6"/>
    <w:rsid w:val="26522EA8"/>
    <w:rsid w:val="265C2B87"/>
    <w:rsid w:val="26925FA8"/>
    <w:rsid w:val="269A17E1"/>
    <w:rsid w:val="26AC5979"/>
    <w:rsid w:val="26CC0950"/>
    <w:rsid w:val="27284AE9"/>
    <w:rsid w:val="272B14F4"/>
    <w:rsid w:val="272E66EE"/>
    <w:rsid w:val="276A1EBA"/>
    <w:rsid w:val="276C31F9"/>
    <w:rsid w:val="2770469A"/>
    <w:rsid w:val="27D8263D"/>
    <w:rsid w:val="27D85BC0"/>
    <w:rsid w:val="27DF3430"/>
    <w:rsid w:val="27EA78CE"/>
    <w:rsid w:val="28007EDF"/>
    <w:rsid w:val="282779EA"/>
    <w:rsid w:val="28336E77"/>
    <w:rsid w:val="2836200D"/>
    <w:rsid w:val="28696559"/>
    <w:rsid w:val="28713FC0"/>
    <w:rsid w:val="28926293"/>
    <w:rsid w:val="28CA478F"/>
    <w:rsid w:val="29235B3A"/>
    <w:rsid w:val="29485BC7"/>
    <w:rsid w:val="29552CDF"/>
    <w:rsid w:val="29AF561F"/>
    <w:rsid w:val="29CE5F5A"/>
    <w:rsid w:val="29E03A2B"/>
    <w:rsid w:val="2A2E766A"/>
    <w:rsid w:val="2A893FD5"/>
    <w:rsid w:val="2AF8208B"/>
    <w:rsid w:val="2B017C33"/>
    <w:rsid w:val="2B987A16"/>
    <w:rsid w:val="2BEF2623"/>
    <w:rsid w:val="2C05145A"/>
    <w:rsid w:val="2C181FC5"/>
    <w:rsid w:val="2C1A0FFC"/>
    <w:rsid w:val="2C3E26C0"/>
    <w:rsid w:val="2C506E87"/>
    <w:rsid w:val="2C8E6CA9"/>
    <w:rsid w:val="2CE26733"/>
    <w:rsid w:val="2D2039FE"/>
    <w:rsid w:val="2D2E732D"/>
    <w:rsid w:val="2D511C5B"/>
    <w:rsid w:val="2D6A4BFF"/>
    <w:rsid w:val="2DA72A14"/>
    <w:rsid w:val="2DDF2633"/>
    <w:rsid w:val="2DE42613"/>
    <w:rsid w:val="2E11065B"/>
    <w:rsid w:val="2E12374E"/>
    <w:rsid w:val="2E1867B0"/>
    <w:rsid w:val="2E361093"/>
    <w:rsid w:val="2E421F93"/>
    <w:rsid w:val="2E870FE2"/>
    <w:rsid w:val="2E8944E5"/>
    <w:rsid w:val="2EAA75BD"/>
    <w:rsid w:val="2EBB2387"/>
    <w:rsid w:val="2F071F15"/>
    <w:rsid w:val="2F0E0371"/>
    <w:rsid w:val="2F1A6C00"/>
    <w:rsid w:val="2F4E3FEE"/>
    <w:rsid w:val="2F6011C4"/>
    <w:rsid w:val="2F6B57B9"/>
    <w:rsid w:val="2F987F26"/>
    <w:rsid w:val="2FB05DB2"/>
    <w:rsid w:val="30455E43"/>
    <w:rsid w:val="3070397C"/>
    <w:rsid w:val="3077696E"/>
    <w:rsid w:val="30A64860"/>
    <w:rsid w:val="30B5433A"/>
    <w:rsid w:val="30E110DA"/>
    <w:rsid w:val="310314D0"/>
    <w:rsid w:val="31253DE5"/>
    <w:rsid w:val="312839F7"/>
    <w:rsid w:val="313E7737"/>
    <w:rsid w:val="316E3D9C"/>
    <w:rsid w:val="31B34BC4"/>
    <w:rsid w:val="323D23EA"/>
    <w:rsid w:val="325C64B0"/>
    <w:rsid w:val="32722692"/>
    <w:rsid w:val="327C0F63"/>
    <w:rsid w:val="32C4038E"/>
    <w:rsid w:val="333D592E"/>
    <w:rsid w:val="3363332D"/>
    <w:rsid w:val="336D04EB"/>
    <w:rsid w:val="338A111E"/>
    <w:rsid w:val="339377C2"/>
    <w:rsid w:val="33CC5503"/>
    <w:rsid w:val="33D5674D"/>
    <w:rsid w:val="340001DB"/>
    <w:rsid w:val="34184120"/>
    <w:rsid w:val="34191CD1"/>
    <w:rsid w:val="34276A20"/>
    <w:rsid w:val="34452D8A"/>
    <w:rsid w:val="34913C34"/>
    <w:rsid w:val="34A22009"/>
    <w:rsid w:val="34A644BF"/>
    <w:rsid w:val="34CE2A34"/>
    <w:rsid w:val="351A46E3"/>
    <w:rsid w:val="352C4660"/>
    <w:rsid w:val="355B09AE"/>
    <w:rsid w:val="35740C40"/>
    <w:rsid w:val="35751DDC"/>
    <w:rsid w:val="357C78B3"/>
    <w:rsid w:val="35A36901"/>
    <w:rsid w:val="35C74E47"/>
    <w:rsid w:val="35D44AB1"/>
    <w:rsid w:val="36422592"/>
    <w:rsid w:val="364F3357"/>
    <w:rsid w:val="365563FB"/>
    <w:rsid w:val="36615279"/>
    <w:rsid w:val="36832FFC"/>
    <w:rsid w:val="369860BB"/>
    <w:rsid w:val="36A30D3A"/>
    <w:rsid w:val="36AC3ACC"/>
    <w:rsid w:val="36B70EA3"/>
    <w:rsid w:val="36CC7118"/>
    <w:rsid w:val="36EF5526"/>
    <w:rsid w:val="37113BDB"/>
    <w:rsid w:val="3748403E"/>
    <w:rsid w:val="376149A3"/>
    <w:rsid w:val="3785702B"/>
    <w:rsid w:val="37C56B6C"/>
    <w:rsid w:val="38C740CC"/>
    <w:rsid w:val="38F35DB6"/>
    <w:rsid w:val="390A7522"/>
    <w:rsid w:val="39376BFA"/>
    <w:rsid w:val="397948CC"/>
    <w:rsid w:val="399020C9"/>
    <w:rsid w:val="39A66FFB"/>
    <w:rsid w:val="39B90520"/>
    <w:rsid w:val="39BB5F1B"/>
    <w:rsid w:val="39FF34E5"/>
    <w:rsid w:val="3A095AC6"/>
    <w:rsid w:val="3A340FF7"/>
    <w:rsid w:val="3A46626E"/>
    <w:rsid w:val="3A6C4287"/>
    <w:rsid w:val="3A6F280E"/>
    <w:rsid w:val="3A767A79"/>
    <w:rsid w:val="3AA7642C"/>
    <w:rsid w:val="3AB67F89"/>
    <w:rsid w:val="3AEC50AC"/>
    <w:rsid w:val="3B135379"/>
    <w:rsid w:val="3B8C30C5"/>
    <w:rsid w:val="3B963CA8"/>
    <w:rsid w:val="3BAE68F5"/>
    <w:rsid w:val="3BB93BC1"/>
    <w:rsid w:val="3BDF2333"/>
    <w:rsid w:val="3C095A76"/>
    <w:rsid w:val="3C0F76B2"/>
    <w:rsid w:val="3C11052C"/>
    <w:rsid w:val="3C14299D"/>
    <w:rsid w:val="3C3227CD"/>
    <w:rsid w:val="3CF540D8"/>
    <w:rsid w:val="3CFE6428"/>
    <w:rsid w:val="3D011CE9"/>
    <w:rsid w:val="3D1040AB"/>
    <w:rsid w:val="3D15556A"/>
    <w:rsid w:val="3D2E6270"/>
    <w:rsid w:val="3D54349D"/>
    <w:rsid w:val="3DEC65C0"/>
    <w:rsid w:val="3E111F94"/>
    <w:rsid w:val="3E1E1AF9"/>
    <w:rsid w:val="3E2F3C47"/>
    <w:rsid w:val="3E4E45BF"/>
    <w:rsid w:val="3E781559"/>
    <w:rsid w:val="3E7E7642"/>
    <w:rsid w:val="3E98013E"/>
    <w:rsid w:val="3EB554EF"/>
    <w:rsid w:val="3EF44FD4"/>
    <w:rsid w:val="3F1E17D4"/>
    <w:rsid w:val="3F9335C1"/>
    <w:rsid w:val="3FA25898"/>
    <w:rsid w:val="400D5119"/>
    <w:rsid w:val="401541B2"/>
    <w:rsid w:val="40D211F8"/>
    <w:rsid w:val="40D57DED"/>
    <w:rsid w:val="414867C0"/>
    <w:rsid w:val="41810E86"/>
    <w:rsid w:val="419B4CF5"/>
    <w:rsid w:val="41B55B4E"/>
    <w:rsid w:val="41D86C2F"/>
    <w:rsid w:val="42242BF9"/>
    <w:rsid w:val="425E6616"/>
    <w:rsid w:val="426D5F70"/>
    <w:rsid w:val="42775F1B"/>
    <w:rsid w:val="42C32EBE"/>
    <w:rsid w:val="42E95D2A"/>
    <w:rsid w:val="42F951EF"/>
    <w:rsid w:val="43213340"/>
    <w:rsid w:val="43621CD6"/>
    <w:rsid w:val="43B06F1C"/>
    <w:rsid w:val="44333F20"/>
    <w:rsid w:val="4447497A"/>
    <w:rsid w:val="445C45F0"/>
    <w:rsid w:val="44780531"/>
    <w:rsid w:val="44854D26"/>
    <w:rsid w:val="44911A8D"/>
    <w:rsid w:val="44CB798F"/>
    <w:rsid w:val="44D84400"/>
    <w:rsid w:val="44E72878"/>
    <w:rsid w:val="45454DB4"/>
    <w:rsid w:val="45811396"/>
    <w:rsid w:val="459B0B83"/>
    <w:rsid w:val="459C78D2"/>
    <w:rsid w:val="45BA6F71"/>
    <w:rsid w:val="45BD5CE9"/>
    <w:rsid w:val="45DC0D0B"/>
    <w:rsid w:val="461807D7"/>
    <w:rsid w:val="46D9687E"/>
    <w:rsid w:val="46EE0705"/>
    <w:rsid w:val="46EE7B99"/>
    <w:rsid w:val="46F45133"/>
    <w:rsid w:val="46FF241A"/>
    <w:rsid w:val="4702058D"/>
    <w:rsid w:val="47104743"/>
    <w:rsid w:val="47107740"/>
    <w:rsid w:val="47191BB0"/>
    <w:rsid w:val="47344DB9"/>
    <w:rsid w:val="479C1380"/>
    <w:rsid w:val="47E4066D"/>
    <w:rsid w:val="480C6C1B"/>
    <w:rsid w:val="480F3C80"/>
    <w:rsid w:val="486149D1"/>
    <w:rsid w:val="487E214D"/>
    <w:rsid w:val="489F3A7F"/>
    <w:rsid w:val="48F076CF"/>
    <w:rsid w:val="48F84DE4"/>
    <w:rsid w:val="49014CB8"/>
    <w:rsid w:val="4989523E"/>
    <w:rsid w:val="499E744E"/>
    <w:rsid w:val="49CD38B4"/>
    <w:rsid w:val="49CD639A"/>
    <w:rsid w:val="49EB0DBE"/>
    <w:rsid w:val="4A0D402C"/>
    <w:rsid w:val="4A440D77"/>
    <w:rsid w:val="4A724A49"/>
    <w:rsid w:val="4A9B3185"/>
    <w:rsid w:val="4AA40703"/>
    <w:rsid w:val="4AAD11DC"/>
    <w:rsid w:val="4AC10970"/>
    <w:rsid w:val="4AE301E8"/>
    <w:rsid w:val="4B211E31"/>
    <w:rsid w:val="4B431506"/>
    <w:rsid w:val="4B4834B2"/>
    <w:rsid w:val="4B542442"/>
    <w:rsid w:val="4B702B75"/>
    <w:rsid w:val="4BC33571"/>
    <w:rsid w:val="4BF81AAD"/>
    <w:rsid w:val="4C2C7A01"/>
    <w:rsid w:val="4C2D3C70"/>
    <w:rsid w:val="4C334692"/>
    <w:rsid w:val="4C3C09BB"/>
    <w:rsid w:val="4C43052C"/>
    <w:rsid w:val="4C527693"/>
    <w:rsid w:val="4C7B3954"/>
    <w:rsid w:val="4D1C1598"/>
    <w:rsid w:val="4D87071C"/>
    <w:rsid w:val="4D883D92"/>
    <w:rsid w:val="4DCA28A4"/>
    <w:rsid w:val="4DE3010F"/>
    <w:rsid w:val="4DF51B70"/>
    <w:rsid w:val="4DF54C49"/>
    <w:rsid w:val="4E1D0E57"/>
    <w:rsid w:val="4E2E49C6"/>
    <w:rsid w:val="4E3D7F6A"/>
    <w:rsid w:val="4E516C0B"/>
    <w:rsid w:val="4E5401B4"/>
    <w:rsid w:val="4E5B2D9E"/>
    <w:rsid w:val="4E634893"/>
    <w:rsid w:val="4E880C97"/>
    <w:rsid w:val="4EEA6837"/>
    <w:rsid w:val="4EF72C1C"/>
    <w:rsid w:val="4F072EB6"/>
    <w:rsid w:val="4F277310"/>
    <w:rsid w:val="4F6B4C35"/>
    <w:rsid w:val="4F734EC4"/>
    <w:rsid w:val="4F810626"/>
    <w:rsid w:val="4F9F52CF"/>
    <w:rsid w:val="4FB3554D"/>
    <w:rsid w:val="4FE23D67"/>
    <w:rsid w:val="501B08D9"/>
    <w:rsid w:val="502B4EDB"/>
    <w:rsid w:val="502B532A"/>
    <w:rsid w:val="5040732F"/>
    <w:rsid w:val="50426C4C"/>
    <w:rsid w:val="50B618F8"/>
    <w:rsid w:val="50DC1B38"/>
    <w:rsid w:val="51054824"/>
    <w:rsid w:val="51384AC3"/>
    <w:rsid w:val="513C1084"/>
    <w:rsid w:val="51C54122"/>
    <w:rsid w:val="51D677D1"/>
    <w:rsid w:val="52115791"/>
    <w:rsid w:val="526306BA"/>
    <w:rsid w:val="52BB00F0"/>
    <w:rsid w:val="52CB3561"/>
    <w:rsid w:val="53215BC3"/>
    <w:rsid w:val="532C3FB3"/>
    <w:rsid w:val="53311935"/>
    <w:rsid w:val="53341199"/>
    <w:rsid w:val="53871716"/>
    <w:rsid w:val="53C668F9"/>
    <w:rsid w:val="53CB52D5"/>
    <w:rsid w:val="544F1A7E"/>
    <w:rsid w:val="54595F7A"/>
    <w:rsid w:val="54FB3422"/>
    <w:rsid w:val="550840E8"/>
    <w:rsid w:val="550A5C7C"/>
    <w:rsid w:val="550C37A2"/>
    <w:rsid w:val="554538AF"/>
    <w:rsid w:val="5553766F"/>
    <w:rsid w:val="555C11F9"/>
    <w:rsid w:val="55640396"/>
    <w:rsid w:val="55774444"/>
    <w:rsid w:val="557E1851"/>
    <w:rsid w:val="55A5284F"/>
    <w:rsid w:val="55CD3824"/>
    <w:rsid w:val="55EA72CD"/>
    <w:rsid w:val="5624708F"/>
    <w:rsid w:val="562D06F0"/>
    <w:rsid w:val="56494E6F"/>
    <w:rsid w:val="56541FFD"/>
    <w:rsid w:val="566E6115"/>
    <w:rsid w:val="566E6F5B"/>
    <w:rsid w:val="56900EF9"/>
    <w:rsid w:val="56B011F9"/>
    <w:rsid w:val="56ED52AB"/>
    <w:rsid w:val="57034960"/>
    <w:rsid w:val="570D62DE"/>
    <w:rsid w:val="571A0105"/>
    <w:rsid w:val="573619C6"/>
    <w:rsid w:val="5767596D"/>
    <w:rsid w:val="57895085"/>
    <w:rsid w:val="57A03AFA"/>
    <w:rsid w:val="57AE5369"/>
    <w:rsid w:val="57E45843"/>
    <w:rsid w:val="57EB284D"/>
    <w:rsid w:val="58067F76"/>
    <w:rsid w:val="58550C2F"/>
    <w:rsid w:val="58556DFB"/>
    <w:rsid w:val="58743E2D"/>
    <w:rsid w:val="58922210"/>
    <w:rsid w:val="58AD748A"/>
    <w:rsid w:val="58ED0274"/>
    <w:rsid w:val="5910752F"/>
    <w:rsid w:val="593928F1"/>
    <w:rsid w:val="597020A8"/>
    <w:rsid w:val="59870472"/>
    <w:rsid w:val="599E4814"/>
    <w:rsid w:val="59B9352D"/>
    <w:rsid w:val="59EA0898"/>
    <w:rsid w:val="5A155256"/>
    <w:rsid w:val="5A4E6BB6"/>
    <w:rsid w:val="5A6575D1"/>
    <w:rsid w:val="5A6C3F51"/>
    <w:rsid w:val="5A6F289E"/>
    <w:rsid w:val="5AA62C03"/>
    <w:rsid w:val="5AB70B64"/>
    <w:rsid w:val="5AF01A36"/>
    <w:rsid w:val="5B0633BF"/>
    <w:rsid w:val="5B096777"/>
    <w:rsid w:val="5B0E18F6"/>
    <w:rsid w:val="5B165885"/>
    <w:rsid w:val="5B896C23"/>
    <w:rsid w:val="5B9E162E"/>
    <w:rsid w:val="5BA40927"/>
    <w:rsid w:val="5BB73395"/>
    <w:rsid w:val="5BD80C67"/>
    <w:rsid w:val="5C056287"/>
    <w:rsid w:val="5C081540"/>
    <w:rsid w:val="5C0A18C6"/>
    <w:rsid w:val="5C1B5E7E"/>
    <w:rsid w:val="5C216483"/>
    <w:rsid w:val="5C2937E8"/>
    <w:rsid w:val="5C41066B"/>
    <w:rsid w:val="5C59054A"/>
    <w:rsid w:val="5C675762"/>
    <w:rsid w:val="5C841E70"/>
    <w:rsid w:val="5C882D93"/>
    <w:rsid w:val="5CA347A5"/>
    <w:rsid w:val="5D0C0F86"/>
    <w:rsid w:val="5D120A4A"/>
    <w:rsid w:val="5D1B7FA1"/>
    <w:rsid w:val="5D236E89"/>
    <w:rsid w:val="5D3C7AE0"/>
    <w:rsid w:val="5D3F17E0"/>
    <w:rsid w:val="5D432941"/>
    <w:rsid w:val="5D826B2D"/>
    <w:rsid w:val="5D911291"/>
    <w:rsid w:val="5DBC03E8"/>
    <w:rsid w:val="5DDD390F"/>
    <w:rsid w:val="5DF21ABF"/>
    <w:rsid w:val="5E66013F"/>
    <w:rsid w:val="5E6F1E87"/>
    <w:rsid w:val="5E8E2D48"/>
    <w:rsid w:val="5EB815A0"/>
    <w:rsid w:val="5EF8550D"/>
    <w:rsid w:val="5F185879"/>
    <w:rsid w:val="5F28262C"/>
    <w:rsid w:val="5F5167FE"/>
    <w:rsid w:val="5F9A3865"/>
    <w:rsid w:val="5F9F1AF8"/>
    <w:rsid w:val="5FBD53D7"/>
    <w:rsid w:val="5FE054D2"/>
    <w:rsid w:val="5FFA4B83"/>
    <w:rsid w:val="601615E1"/>
    <w:rsid w:val="60435226"/>
    <w:rsid w:val="604D26C1"/>
    <w:rsid w:val="605B5184"/>
    <w:rsid w:val="606C66E6"/>
    <w:rsid w:val="60CE3C62"/>
    <w:rsid w:val="60D300EA"/>
    <w:rsid w:val="60D32623"/>
    <w:rsid w:val="60DA0BF8"/>
    <w:rsid w:val="61416CDB"/>
    <w:rsid w:val="6161547F"/>
    <w:rsid w:val="61640AD8"/>
    <w:rsid w:val="618743D2"/>
    <w:rsid w:val="61B31E2C"/>
    <w:rsid w:val="61BA6082"/>
    <w:rsid w:val="61EB288B"/>
    <w:rsid w:val="62423C64"/>
    <w:rsid w:val="62FE1FBD"/>
    <w:rsid w:val="63053144"/>
    <w:rsid w:val="63360306"/>
    <w:rsid w:val="634A0158"/>
    <w:rsid w:val="64430DDE"/>
    <w:rsid w:val="645028BC"/>
    <w:rsid w:val="64827BC4"/>
    <w:rsid w:val="64B02BE4"/>
    <w:rsid w:val="64B4763C"/>
    <w:rsid w:val="64DA3F5C"/>
    <w:rsid w:val="64DE2966"/>
    <w:rsid w:val="651548E6"/>
    <w:rsid w:val="65610EA0"/>
    <w:rsid w:val="6587291F"/>
    <w:rsid w:val="65A3544F"/>
    <w:rsid w:val="65E1265B"/>
    <w:rsid w:val="65E511F4"/>
    <w:rsid w:val="65E83187"/>
    <w:rsid w:val="65F74ED9"/>
    <w:rsid w:val="662C2DFD"/>
    <w:rsid w:val="664604DB"/>
    <w:rsid w:val="667C3927"/>
    <w:rsid w:val="66A650D9"/>
    <w:rsid w:val="66A84128"/>
    <w:rsid w:val="66A94529"/>
    <w:rsid w:val="66AA68D0"/>
    <w:rsid w:val="66B5671E"/>
    <w:rsid w:val="66F940CB"/>
    <w:rsid w:val="671F7831"/>
    <w:rsid w:val="672D7140"/>
    <w:rsid w:val="678C4F6F"/>
    <w:rsid w:val="67AE67A9"/>
    <w:rsid w:val="67EB0AAD"/>
    <w:rsid w:val="681443BD"/>
    <w:rsid w:val="685549B8"/>
    <w:rsid w:val="686C3EE3"/>
    <w:rsid w:val="68C17B77"/>
    <w:rsid w:val="690B62F2"/>
    <w:rsid w:val="694A1939"/>
    <w:rsid w:val="697002F0"/>
    <w:rsid w:val="69E26AA4"/>
    <w:rsid w:val="6A1139DE"/>
    <w:rsid w:val="6A261F6A"/>
    <w:rsid w:val="6A4C1A69"/>
    <w:rsid w:val="6A694423"/>
    <w:rsid w:val="6A70182F"/>
    <w:rsid w:val="6AB50D72"/>
    <w:rsid w:val="6AB55100"/>
    <w:rsid w:val="6B2B5D37"/>
    <w:rsid w:val="6B2F007F"/>
    <w:rsid w:val="6B402E01"/>
    <w:rsid w:val="6BCA3EE2"/>
    <w:rsid w:val="6BEA5819"/>
    <w:rsid w:val="6C17641E"/>
    <w:rsid w:val="6C2E1DA3"/>
    <w:rsid w:val="6C336F12"/>
    <w:rsid w:val="6C423AF6"/>
    <w:rsid w:val="6C5A499B"/>
    <w:rsid w:val="6CCF4801"/>
    <w:rsid w:val="6CD9515A"/>
    <w:rsid w:val="6CF02B48"/>
    <w:rsid w:val="6CF21078"/>
    <w:rsid w:val="6D0D1A0E"/>
    <w:rsid w:val="6D4E2EE1"/>
    <w:rsid w:val="6D625405"/>
    <w:rsid w:val="6D8433DC"/>
    <w:rsid w:val="6D8B4F45"/>
    <w:rsid w:val="6D9F4FC0"/>
    <w:rsid w:val="6DB46109"/>
    <w:rsid w:val="6DE72678"/>
    <w:rsid w:val="6DF90D44"/>
    <w:rsid w:val="6E086AFA"/>
    <w:rsid w:val="6E5D23A8"/>
    <w:rsid w:val="6EAB14DE"/>
    <w:rsid w:val="6EDB739F"/>
    <w:rsid w:val="6F486DA5"/>
    <w:rsid w:val="6F8E6FAB"/>
    <w:rsid w:val="6FE822A6"/>
    <w:rsid w:val="6FFD4164"/>
    <w:rsid w:val="700E4C63"/>
    <w:rsid w:val="70173163"/>
    <w:rsid w:val="702364F0"/>
    <w:rsid w:val="70252058"/>
    <w:rsid w:val="702B1923"/>
    <w:rsid w:val="70525CB9"/>
    <w:rsid w:val="70642C7D"/>
    <w:rsid w:val="70732E07"/>
    <w:rsid w:val="707577C9"/>
    <w:rsid w:val="707E74D3"/>
    <w:rsid w:val="709616C4"/>
    <w:rsid w:val="7097143E"/>
    <w:rsid w:val="709E2C65"/>
    <w:rsid w:val="70F44491"/>
    <w:rsid w:val="7116085D"/>
    <w:rsid w:val="714F49EA"/>
    <w:rsid w:val="716B07A3"/>
    <w:rsid w:val="717A29A8"/>
    <w:rsid w:val="718C71AE"/>
    <w:rsid w:val="71D04400"/>
    <w:rsid w:val="71E84D08"/>
    <w:rsid w:val="72237CF2"/>
    <w:rsid w:val="72505A98"/>
    <w:rsid w:val="725672EE"/>
    <w:rsid w:val="72941D3D"/>
    <w:rsid w:val="72A66EA6"/>
    <w:rsid w:val="72C15C3A"/>
    <w:rsid w:val="72F04F08"/>
    <w:rsid w:val="733C129F"/>
    <w:rsid w:val="739F00CA"/>
    <w:rsid w:val="73E55634"/>
    <w:rsid w:val="740542B2"/>
    <w:rsid w:val="740C7A72"/>
    <w:rsid w:val="74404A49"/>
    <w:rsid w:val="74791D0E"/>
    <w:rsid w:val="74884070"/>
    <w:rsid w:val="74D77E17"/>
    <w:rsid w:val="74E93BDD"/>
    <w:rsid w:val="74EE0065"/>
    <w:rsid w:val="750379B1"/>
    <w:rsid w:val="75120E16"/>
    <w:rsid w:val="753328B9"/>
    <w:rsid w:val="75565B93"/>
    <w:rsid w:val="755B2C17"/>
    <w:rsid w:val="756F34FD"/>
    <w:rsid w:val="75B9739F"/>
    <w:rsid w:val="75D8770A"/>
    <w:rsid w:val="760A490A"/>
    <w:rsid w:val="76203A14"/>
    <w:rsid w:val="764162C2"/>
    <w:rsid w:val="767F53BF"/>
    <w:rsid w:val="76C61E2C"/>
    <w:rsid w:val="77275DC2"/>
    <w:rsid w:val="773432D5"/>
    <w:rsid w:val="77477B6D"/>
    <w:rsid w:val="77490D24"/>
    <w:rsid w:val="77513D79"/>
    <w:rsid w:val="779E794E"/>
    <w:rsid w:val="779F7ADD"/>
    <w:rsid w:val="77AD6EE1"/>
    <w:rsid w:val="77C773EA"/>
    <w:rsid w:val="77D45F4A"/>
    <w:rsid w:val="77FB7237"/>
    <w:rsid w:val="784F4498"/>
    <w:rsid w:val="785C257D"/>
    <w:rsid w:val="789B15EE"/>
    <w:rsid w:val="78A22342"/>
    <w:rsid w:val="78A472B8"/>
    <w:rsid w:val="78C21F25"/>
    <w:rsid w:val="78DC478C"/>
    <w:rsid w:val="78E068EC"/>
    <w:rsid w:val="78E601AF"/>
    <w:rsid w:val="79106A45"/>
    <w:rsid w:val="79450F65"/>
    <w:rsid w:val="79BD6FB1"/>
    <w:rsid w:val="7A181268"/>
    <w:rsid w:val="7A1F66E8"/>
    <w:rsid w:val="7A6F61AA"/>
    <w:rsid w:val="7A8A2497"/>
    <w:rsid w:val="7A8F5AA2"/>
    <w:rsid w:val="7A9A3AF1"/>
    <w:rsid w:val="7ABB6E34"/>
    <w:rsid w:val="7AD71133"/>
    <w:rsid w:val="7AD77A0A"/>
    <w:rsid w:val="7AEF6BF7"/>
    <w:rsid w:val="7B131D25"/>
    <w:rsid w:val="7B1A41CB"/>
    <w:rsid w:val="7B345ABE"/>
    <w:rsid w:val="7B476A33"/>
    <w:rsid w:val="7B81632F"/>
    <w:rsid w:val="7BA5703E"/>
    <w:rsid w:val="7BC142DE"/>
    <w:rsid w:val="7BC55B1F"/>
    <w:rsid w:val="7BC938EC"/>
    <w:rsid w:val="7C066589"/>
    <w:rsid w:val="7C1B7C6D"/>
    <w:rsid w:val="7C341A17"/>
    <w:rsid w:val="7C3C6A63"/>
    <w:rsid w:val="7C3F1D3C"/>
    <w:rsid w:val="7C6505C5"/>
    <w:rsid w:val="7CB56262"/>
    <w:rsid w:val="7CC94239"/>
    <w:rsid w:val="7CDD5E7D"/>
    <w:rsid w:val="7CE56E6A"/>
    <w:rsid w:val="7D067652"/>
    <w:rsid w:val="7D171C49"/>
    <w:rsid w:val="7D7606F9"/>
    <w:rsid w:val="7DCA4F70"/>
    <w:rsid w:val="7DD52CF4"/>
    <w:rsid w:val="7DE106BF"/>
    <w:rsid w:val="7DEE6429"/>
    <w:rsid w:val="7EAE51E2"/>
    <w:rsid w:val="7EAF78FB"/>
    <w:rsid w:val="7EB05C56"/>
    <w:rsid w:val="7ED148FF"/>
    <w:rsid w:val="7EE37EAA"/>
    <w:rsid w:val="7EF31433"/>
    <w:rsid w:val="7EF91DDE"/>
    <w:rsid w:val="7F1A7122"/>
    <w:rsid w:val="7F294B2C"/>
    <w:rsid w:val="7F2F3AFE"/>
    <w:rsid w:val="7F371D32"/>
    <w:rsid w:val="7F402553"/>
    <w:rsid w:val="7FC5392C"/>
    <w:rsid w:val="7FD62DE9"/>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iPriority="0" w:semiHidden="0"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99" w:semiHidden="0" w:name="Body Text First Indent 2"/>
    <w:lsdException w:uiPriority="99" w:name="Note Heading"/>
    <w:lsdException w:qFormat="1"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2">
    <w:name w:val="heading 1"/>
    <w:basedOn w:val="1"/>
    <w:next w:val="1"/>
    <w:link w:val="88"/>
    <w:qFormat/>
    <w:uiPriority w:val="7"/>
    <w:pPr>
      <w:spacing w:before="0" w:after="330" w:line="576" w:lineRule="auto"/>
      <w:outlineLvl w:val="0"/>
    </w:pPr>
    <w:rPr>
      <w:b/>
      <w:sz w:val="44"/>
      <w:szCs w:val="44"/>
    </w:rPr>
  </w:style>
  <w:style w:type="paragraph" w:styleId="3">
    <w:name w:val="heading 2"/>
    <w:basedOn w:val="1"/>
    <w:next w:val="4"/>
    <w:qFormat/>
    <w:uiPriority w:val="8"/>
    <w:pPr>
      <w:spacing w:before="0" w:after="260" w:line="415" w:lineRule="auto"/>
      <w:outlineLvl w:val="1"/>
    </w:pPr>
    <w:rPr>
      <w:rFonts w:ascii="Arial" w:hAnsi="Arial" w:eastAsia="黑体"/>
      <w:b/>
      <w:sz w:val="32"/>
      <w:szCs w:val="32"/>
    </w:rPr>
  </w:style>
  <w:style w:type="paragraph" w:styleId="10">
    <w:name w:val="heading 3"/>
    <w:basedOn w:val="1"/>
    <w:next w:val="1"/>
    <w:qFormat/>
    <w:uiPriority w:val="9"/>
    <w:pPr>
      <w:outlineLvl w:val="2"/>
    </w:pPr>
    <w:rPr>
      <w:b/>
      <w:sz w:val="24"/>
      <w:szCs w:val="24"/>
    </w:rPr>
  </w:style>
  <w:style w:type="paragraph" w:styleId="11">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5"/>
    <w:link w:val="68"/>
    <w:unhideWhenUsed/>
    <w:qFormat/>
    <w:uiPriority w:val="99"/>
    <w:pPr>
      <w:spacing w:after="120"/>
    </w:pPr>
  </w:style>
  <w:style w:type="paragraph" w:styleId="5">
    <w:name w:val="Body Text First Indent 2"/>
    <w:basedOn w:val="6"/>
    <w:next w:val="8"/>
    <w:link w:val="76"/>
    <w:unhideWhenUsed/>
    <w:qFormat/>
    <w:uiPriority w:val="99"/>
    <w:pPr>
      <w:spacing w:after="120" w:line="240" w:lineRule="auto"/>
      <w:ind w:left="420" w:leftChars="200" w:firstLine="420"/>
    </w:pPr>
    <w:rPr>
      <w:rFonts w:ascii="Calibri" w:hAnsi="Calibri" w:eastAsia="Times New Roman"/>
    </w:rPr>
  </w:style>
  <w:style w:type="paragraph" w:styleId="6">
    <w:name w:val="Body Text Indent"/>
    <w:basedOn w:val="1"/>
    <w:next w:val="7"/>
    <w:link w:val="75"/>
    <w:qFormat/>
    <w:uiPriority w:val="99"/>
    <w:pPr>
      <w:spacing w:line="480" w:lineRule="exact"/>
      <w:ind w:firstLine="560" w:firstLineChars="200"/>
    </w:pPr>
    <w:rPr>
      <w:sz w:val="24"/>
    </w:rPr>
  </w:style>
  <w:style w:type="paragraph" w:styleId="7">
    <w:name w:val="envelope return"/>
    <w:basedOn w:val="1"/>
    <w:unhideWhenUsed/>
    <w:qFormat/>
    <w:uiPriority w:val="0"/>
    <w:pPr>
      <w:adjustRightInd w:val="0"/>
      <w:snapToGrid w:val="0"/>
      <w:spacing w:line="360" w:lineRule="auto"/>
      <w:ind w:right="240" w:firstLine="480" w:firstLineChars="200"/>
      <w:jc w:val="left"/>
    </w:pPr>
    <w:rPr>
      <w:rFonts w:ascii="Cambria" w:hAnsi="Cambria"/>
      <w:sz w:val="24"/>
    </w:rPr>
  </w:style>
  <w:style w:type="paragraph" w:customStyle="1" w:styleId="8">
    <w:name w:val="明显引用1"/>
    <w:basedOn w:val="9"/>
    <w:next w:val="9"/>
    <w:qFormat/>
    <w:uiPriority w:val="0"/>
    <w:pPr>
      <w:pBdr>
        <w:bottom w:val="single" w:color="4F81BD" w:sz="4" w:space="4"/>
      </w:pBdr>
      <w:spacing w:before="200" w:after="280"/>
      <w:ind w:left="936" w:right="936"/>
    </w:pPr>
    <w:rPr>
      <w:b/>
      <w:bCs/>
      <w:i/>
      <w:iCs/>
      <w:color w:val="4F81BD"/>
    </w:rPr>
  </w:style>
  <w:style w:type="paragraph" w:customStyle="1" w:styleId="9">
    <w:name w:val="Normal_1"/>
    <w:next w:val="5"/>
    <w:qFormat/>
    <w:uiPriority w:val="0"/>
    <w:pPr>
      <w:widowControl w:val="0"/>
      <w:jc w:val="both"/>
    </w:pPr>
    <w:rPr>
      <w:rFonts w:ascii="Calibri" w:hAnsi="Calibri" w:eastAsia="宋体" w:cs="Times New Roman"/>
      <w:lang w:val="en-US" w:eastAsia="zh-CN" w:bidi="ar-SA"/>
    </w:rPr>
  </w:style>
  <w:style w:type="paragraph" w:styleId="12">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13">
    <w:name w:val="Normal Indent"/>
    <w:basedOn w:val="1"/>
    <w:qFormat/>
    <w:uiPriority w:val="0"/>
    <w:pPr>
      <w:ind w:firstLine="420"/>
    </w:pPr>
    <w:rPr>
      <w:szCs w:val="20"/>
    </w:rPr>
  </w:style>
  <w:style w:type="paragraph" w:styleId="14">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5">
    <w:name w:val="Document Map"/>
    <w:basedOn w:val="1"/>
    <w:semiHidden/>
    <w:unhideWhenUsed/>
    <w:qFormat/>
    <w:uiPriority w:val="0"/>
    <w:rPr>
      <w:rFonts w:ascii="宋体"/>
      <w:sz w:val="18"/>
      <w:szCs w:val="18"/>
    </w:rPr>
  </w:style>
  <w:style w:type="paragraph" w:styleId="16">
    <w:name w:val="annotation text"/>
    <w:basedOn w:val="1"/>
    <w:semiHidden/>
    <w:unhideWhenUsed/>
    <w:qFormat/>
    <w:uiPriority w:val="0"/>
    <w:pPr>
      <w:jc w:val="left"/>
    </w:pPr>
  </w:style>
  <w:style w:type="paragraph" w:styleId="17">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8">
    <w:name w:val="toc 3"/>
    <w:basedOn w:val="1"/>
    <w:next w:val="1"/>
    <w:unhideWhenUsed/>
    <w:qFormat/>
    <w:uiPriority w:val="39"/>
    <w:pPr>
      <w:ind w:left="840" w:firstLine="0"/>
    </w:pPr>
  </w:style>
  <w:style w:type="paragraph" w:styleId="19">
    <w:name w:val="Plain Text"/>
    <w:basedOn w:val="1"/>
    <w:next w:val="11"/>
    <w:link w:val="66"/>
    <w:unhideWhenUsed/>
    <w:qFormat/>
    <w:uiPriority w:val="99"/>
    <w:rPr>
      <w:rFonts w:ascii="宋体" w:hAnsi="Courier New" w:cs="宋体"/>
      <w:sz w:val="20"/>
      <w:szCs w:val="20"/>
    </w:rPr>
  </w:style>
  <w:style w:type="paragraph" w:styleId="20">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21">
    <w:name w:val="Date"/>
    <w:basedOn w:val="1"/>
    <w:next w:val="1"/>
    <w:link w:val="70"/>
    <w:semiHidden/>
    <w:unhideWhenUsed/>
    <w:qFormat/>
    <w:uiPriority w:val="99"/>
    <w:pPr>
      <w:ind w:left="100" w:leftChars="2500"/>
    </w:pPr>
  </w:style>
  <w:style w:type="paragraph" w:styleId="22">
    <w:name w:val="Body Text Indent 2"/>
    <w:basedOn w:val="1"/>
    <w:qFormat/>
    <w:uiPriority w:val="0"/>
    <w:pPr>
      <w:ind w:firstLine="434" w:firstLineChars="181"/>
      <w:jc w:val="left"/>
    </w:pPr>
    <w:rPr>
      <w:rFonts w:ascii="宋体"/>
      <w:sz w:val="24"/>
    </w:rPr>
  </w:style>
  <w:style w:type="paragraph" w:styleId="23">
    <w:name w:val="Balloon Text"/>
    <w:basedOn w:val="1"/>
    <w:semiHidden/>
    <w:unhideWhenUsed/>
    <w:qFormat/>
    <w:uiPriority w:val="0"/>
    <w:pPr>
      <w:spacing w:after="0" w:line="240" w:lineRule="auto"/>
    </w:pPr>
    <w:rPr>
      <w:sz w:val="18"/>
      <w:szCs w:val="18"/>
    </w:rPr>
  </w:style>
  <w:style w:type="paragraph" w:styleId="24">
    <w:name w:val="footer"/>
    <w:basedOn w:val="1"/>
    <w:qFormat/>
    <w:uiPriority w:val="99"/>
    <w:pPr>
      <w:tabs>
        <w:tab w:val="center" w:pos="4153"/>
        <w:tab w:val="right" w:pos="8306"/>
      </w:tabs>
      <w:snapToGrid w:val="0"/>
      <w:jc w:val="left"/>
    </w:pPr>
    <w:rPr>
      <w:sz w:val="18"/>
      <w:szCs w:val="18"/>
    </w:rPr>
  </w:style>
  <w:style w:type="paragraph" w:styleId="25">
    <w:name w:val="header"/>
    <w:basedOn w:val="1"/>
    <w:link w:val="77"/>
    <w:qFormat/>
    <w:uiPriority w:val="99"/>
    <w:pPr>
      <w:pBdr>
        <w:bottom w:val="single" w:color="000000"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style>
  <w:style w:type="paragraph" w:styleId="27">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8">
    <w:name w:val="footnote text"/>
    <w:basedOn w:val="1"/>
    <w:semiHidden/>
    <w:unhideWhenUsed/>
    <w:qFormat/>
    <w:uiPriority w:val="0"/>
    <w:pPr>
      <w:snapToGrid w:val="0"/>
      <w:jc w:val="left"/>
    </w:pPr>
    <w:rPr>
      <w:sz w:val="18"/>
      <w:szCs w:val="18"/>
    </w:rPr>
  </w:style>
  <w:style w:type="paragraph" w:styleId="29">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30">
    <w:name w:val="Body Text Indent 3"/>
    <w:basedOn w:val="1"/>
    <w:qFormat/>
    <w:uiPriority w:val="0"/>
    <w:pPr>
      <w:spacing w:after="120"/>
      <w:ind w:left="420" w:firstLine="0"/>
    </w:pPr>
    <w:rPr>
      <w:sz w:val="16"/>
      <w:szCs w:val="16"/>
    </w:rPr>
  </w:style>
  <w:style w:type="paragraph" w:styleId="31">
    <w:name w:val="toc 2"/>
    <w:basedOn w:val="1"/>
    <w:next w:val="1"/>
    <w:unhideWhenUsed/>
    <w:qFormat/>
    <w:uiPriority w:val="39"/>
    <w:pPr>
      <w:ind w:left="420" w:firstLine="0"/>
    </w:pPr>
  </w:style>
  <w:style w:type="paragraph" w:styleId="32">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3">
    <w:name w:val="Body Text 2"/>
    <w:basedOn w:val="1"/>
    <w:unhideWhenUsed/>
    <w:qFormat/>
    <w:uiPriority w:val="0"/>
    <w:pPr>
      <w:spacing w:after="120" w:line="480" w:lineRule="auto"/>
    </w:pPr>
  </w:style>
  <w:style w:type="paragraph" w:styleId="34">
    <w:name w:val="Message Header"/>
    <w:basedOn w:val="1"/>
    <w:semiHidden/>
    <w:unhideWhenUsed/>
    <w:qFormat/>
    <w:uiPriority w:val="99"/>
    <w:pPr>
      <w:pBdr>
        <w:top w:val="none" w:color="auto" w:sz="0" w:space="1"/>
        <w:left w:val="none" w:color="auto" w:sz="0" w:space="1"/>
        <w:bottom w:val="none" w:color="auto" w:sz="0" w:space="1"/>
        <w:right w:val="none" w:color="auto" w:sz="0" w:space="1"/>
      </w:pBdr>
      <w:shd w:val="solid" w:color="FFFFFF" w:fill="FFFFFF"/>
      <w:ind w:left="1080" w:leftChars="500" w:hanging="1080" w:hangingChars="500"/>
    </w:pPr>
    <w:rPr>
      <w:rFonts w:ascii="Cambria" w:hAnsi="Cambria"/>
      <w:szCs w:val="24"/>
    </w:rPr>
  </w:style>
  <w:style w:type="paragraph" w:styleId="35">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6">
    <w:name w:val="annotation subject"/>
    <w:basedOn w:val="16"/>
    <w:next w:val="16"/>
    <w:semiHidden/>
    <w:unhideWhenUsed/>
    <w:qFormat/>
    <w:uiPriority w:val="0"/>
    <w:rPr>
      <w:b/>
    </w:rPr>
  </w:style>
  <w:style w:type="paragraph" w:styleId="37">
    <w:name w:val="Body Text First Indent"/>
    <w:basedOn w:val="4"/>
    <w:qFormat/>
    <w:uiPriority w:val="0"/>
    <w:pPr>
      <w:snapToGrid w:val="0"/>
      <w:spacing w:after="120" w:line="360" w:lineRule="auto"/>
      <w:ind w:right="240" w:firstLine="420" w:firstLineChars="100"/>
      <w:jc w:val="left"/>
    </w:pPr>
    <w:rPr>
      <w:rFonts w:ascii="宋体" w:hAnsi="宋体" w:eastAsia="方正仿宋_GBK"/>
      <w:szCs w:val="28"/>
    </w:rPr>
  </w:style>
  <w:style w:type="table" w:styleId="39">
    <w:name w:val="Table Grid"/>
    <w:basedOn w:val="3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20"/>
    <w:rPr>
      <w:rFonts w:cs="Times New Roman"/>
      <w:b/>
    </w:rPr>
  </w:style>
  <w:style w:type="character" w:styleId="42">
    <w:name w:val="page number"/>
    <w:basedOn w:val="40"/>
    <w:qFormat/>
    <w:uiPriority w:val="0"/>
  </w:style>
  <w:style w:type="character" w:styleId="43">
    <w:name w:val="FollowedHyperlink"/>
    <w:basedOn w:val="40"/>
    <w:semiHidden/>
    <w:unhideWhenUsed/>
    <w:qFormat/>
    <w:uiPriority w:val="99"/>
    <w:rPr>
      <w:color w:val="666666"/>
      <w:u w:val="none"/>
    </w:rPr>
  </w:style>
  <w:style w:type="character" w:styleId="44">
    <w:name w:val="HTML Definition"/>
    <w:basedOn w:val="40"/>
    <w:semiHidden/>
    <w:unhideWhenUsed/>
    <w:qFormat/>
    <w:uiPriority w:val="99"/>
    <w:rPr>
      <w:i/>
      <w:iCs/>
    </w:rPr>
  </w:style>
  <w:style w:type="character" w:styleId="45">
    <w:name w:val="Hyperlink"/>
    <w:basedOn w:val="40"/>
    <w:unhideWhenUsed/>
    <w:qFormat/>
    <w:uiPriority w:val="99"/>
    <w:rPr>
      <w:color w:val="0000FF"/>
      <w:u w:val="single"/>
    </w:rPr>
  </w:style>
  <w:style w:type="character" w:styleId="46">
    <w:name w:val="HTML Code"/>
    <w:basedOn w:val="40"/>
    <w:semiHidden/>
    <w:unhideWhenUsed/>
    <w:qFormat/>
    <w:uiPriority w:val="99"/>
    <w:rPr>
      <w:rFonts w:ascii="Consolas" w:hAnsi="Consolas" w:eastAsia="Consolas" w:cs="Consolas"/>
      <w:color w:val="C7254E"/>
      <w:sz w:val="21"/>
      <w:szCs w:val="21"/>
      <w:shd w:val="clear" w:color="auto" w:fill="F9F2F4"/>
    </w:rPr>
  </w:style>
  <w:style w:type="character" w:styleId="47">
    <w:name w:val="annotation reference"/>
    <w:basedOn w:val="40"/>
    <w:semiHidden/>
    <w:unhideWhenUsed/>
    <w:qFormat/>
    <w:uiPriority w:val="0"/>
    <w:rPr>
      <w:sz w:val="21"/>
      <w:szCs w:val="21"/>
    </w:rPr>
  </w:style>
  <w:style w:type="character" w:styleId="48">
    <w:name w:val="footnote reference"/>
    <w:basedOn w:val="40"/>
    <w:semiHidden/>
    <w:unhideWhenUsed/>
    <w:qFormat/>
    <w:uiPriority w:val="0"/>
    <w:rPr>
      <w:vertAlign w:val="superscript"/>
    </w:rPr>
  </w:style>
  <w:style w:type="character" w:styleId="49">
    <w:name w:val="HTML Keyboard"/>
    <w:basedOn w:val="40"/>
    <w:semiHidden/>
    <w:unhideWhenUsed/>
    <w:qFormat/>
    <w:uiPriority w:val="99"/>
    <w:rPr>
      <w:rFonts w:hint="default" w:ascii="Consolas" w:hAnsi="Consolas" w:eastAsia="Consolas" w:cs="Consolas"/>
      <w:color w:val="FFFFFF"/>
      <w:sz w:val="21"/>
      <w:szCs w:val="21"/>
      <w:shd w:val="clear" w:color="auto" w:fill="333333"/>
    </w:rPr>
  </w:style>
  <w:style w:type="character" w:styleId="50">
    <w:name w:val="HTML Sample"/>
    <w:basedOn w:val="40"/>
    <w:semiHidden/>
    <w:unhideWhenUsed/>
    <w:qFormat/>
    <w:uiPriority w:val="99"/>
    <w:rPr>
      <w:rFonts w:hint="default" w:ascii="Consolas" w:hAnsi="Consolas" w:eastAsia="Consolas" w:cs="Consolas"/>
      <w:sz w:val="21"/>
      <w:szCs w:val="21"/>
    </w:rPr>
  </w:style>
  <w:style w:type="paragraph" w:customStyle="1" w:styleId="51">
    <w:name w:val="Intense Quote"/>
    <w:basedOn w:val="9"/>
    <w:next w:val="9"/>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52">
    <w:name w:val="样式 行距: 1.5 倍行距 首行缩进:  2 字符"/>
    <w:basedOn w:val="1"/>
    <w:qFormat/>
    <w:uiPriority w:val="0"/>
    <w:pPr>
      <w:snapToGrid w:val="0"/>
      <w:spacing w:line="460" w:lineRule="exact"/>
    </w:pPr>
    <w:rPr>
      <w:sz w:val="24"/>
    </w:rPr>
  </w:style>
  <w:style w:type="paragraph" w:styleId="53">
    <w:name w:val="List Paragraph"/>
    <w:basedOn w:val="1"/>
    <w:qFormat/>
    <w:uiPriority w:val="34"/>
    <w:pPr>
      <w:ind w:firstLine="200"/>
    </w:pPr>
    <w:rPr>
      <w:rFonts w:ascii="Calibri" w:hAnsi="Calibri"/>
    </w:rPr>
  </w:style>
  <w:style w:type="character" w:customStyle="1" w:styleId="54">
    <w:name w:val="正文文本 2 Char"/>
    <w:basedOn w:val="40"/>
    <w:qFormat/>
    <w:uiPriority w:val="0"/>
    <w:rPr>
      <w:rFonts w:ascii="Times New Roman" w:hAnsi="Times New Roman" w:eastAsia="宋体" w:cs="Times New Roman"/>
    </w:rPr>
  </w:style>
  <w:style w:type="character" w:customStyle="1" w:styleId="55">
    <w:name w:val="16"/>
    <w:basedOn w:val="40"/>
    <w:qFormat/>
    <w:uiPriority w:val="0"/>
    <w:rPr>
      <w:rFonts w:hint="default" w:ascii="Times New Roman" w:hAnsi="Times New Roman" w:cs="Times New Roman"/>
      <w:color w:val="0000FF"/>
      <w:u w:val="single"/>
    </w:rPr>
  </w:style>
  <w:style w:type="character" w:customStyle="1" w:styleId="56">
    <w:name w:val="15"/>
    <w:basedOn w:val="40"/>
    <w:qFormat/>
    <w:uiPriority w:val="0"/>
    <w:rPr>
      <w:rFonts w:hint="default" w:ascii="Times New Roman" w:hAnsi="Times New Roman" w:cs="Times New Roman"/>
      <w:color w:val="0000FF"/>
      <w:u w:val="single"/>
    </w:rPr>
  </w:style>
  <w:style w:type="character" w:customStyle="1" w:styleId="57">
    <w:name w:val="标题 3 Char"/>
    <w:qFormat/>
    <w:uiPriority w:val="0"/>
    <w:rPr>
      <w:b/>
      <w:sz w:val="24"/>
      <w:szCs w:val="24"/>
    </w:rPr>
  </w:style>
  <w:style w:type="character" w:customStyle="1" w:styleId="58">
    <w:name w:val="标题 2 Char"/>
    <w:qFormat/>
    <w:uiPriority w:val="0"/>
    <w:rPr>
      <w:rFonts w:ascii="Arial" w:hAnsi="Arial" w:eastAsia="黑体"/>
      <w:b/>
      <w:sz w:val="32"/>
      <w:szCs w:val="32"/>
    </w:rPr>
  </w:style>
  <w:style w:type="character" w:customStyle="1" w:styleId="59">
    <w:name w:val="批注框文本 Char"/>
    <w:basedOn w:val="40"/>
    <w:semiHidden/>
    <w:qFormat/>
    <w:uiPriority w:val="0"/>
    <w:rPr>
      <w:sz w:val="18"/>
      <w:szCs w:val="18"/>
    </w:rPr>
  </w:style>
  <w:style w:type="character" w:customStyle="1" w:styleId="60">
    <w:name w:val="批注文字 Char"/>
    <w:basedOn w:val="40"/>
    <w:semiHidden/>
    <w:qFormat/>
    <w:uiPriority w:val="0"/>
    <w:rPr>
      <w:sz w:val="21"/>
      <w:szCs w:val="21"/>
    </w:rPr>
  </w:style>
  <w:style w:type="character" w:customStyle="1" w:styleId="61">
    <w:name w:val="批注主题 Char"/>
    <w:basedOn w:val="60"/>
    <w:semiHidden/>
    <w:qFormat/>
    <w:uiPriority w:val="0"/>
    <w:rPr>
      <w:b/>
      <w:sz w:val="21"/>
      <w:szCs w:val="21"/>
    </w:rPr>
  </w:style>
  <w:style w:type="character" w:customStyle="1" w:styleId="62">
    <w:name w:val="文档结构图 Char"/>
    <w:basedOn w:val="40"/>
    <w:semiHidden/>
    <w:qFormat/>
    <w:uiPriority w:val="0"/>
    <w:rPr>
      <w:rFonts w:ascii="宋体"/>
      <w:sz w:val="18"/>
      <w:szCs w:val="18"/>
    </w:rPr>
  </w:style>
  <w:style w:type="character" w:customStyle="1" w:styleId="63">
    <w:name w:val="页脚 Char"/>
    <w:qFormat/>
    <w:uiPriority w:val="99"/>
    <w:rPr>
      <w:sz w:val="18"/>
      <w:szCs w:val="18"/>
    </w:rPr>
  </w:style>
  <w:style w:type="character" w:customStyle="1" w:styleId="64">
    <w:name w:val="脚注文本 Char"/>
    <w:basedOn w:val="40"/>
    <w:semiHidden/>
    <w:qFormat/>
    <w:uiPriority w:val="0"/>
    <w:rPr>
      <w:sz w:val="18"/>
      <w:szCs w:val="18"/>
    </w:rPr>
  </w:style>
  <w:style w:type="paragraph" w:customStyle="1" w:styleId="65">
    <w:name w:val="TOC 标题1"/>
    <w:basedOn w:val="2"/>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6">
    <w:name w:val="纯文本 字符"/>
    <w:link w:val="19"/>
    <w:qFormat/>
    <w:locked/>
    <w:uiPriority w:val="99"/>
    <w:rPr>
      <w:rFonts w:ascii="宋体" w:hAnsi="Courier New" w:cs="宋体"/>
    </w:rPr>
  </w:style>
  <w:style w:type="paragraph" w:customStyle="1" w:styleId="67">
    <w:name w:val="修订1"/>
    <w:hidden/>
    <w:semiHidden/>
    <w:qFormat/>
    <w:uiPriority w:val="99"/>
    <w:rPr>
      <w:rFonts w:ascii="Times New Roman" w:hAnsi="Times New Roman" w:eastAsia="宋体" w:cs="Times New Roman"/>
      <w:sz w:val="21"/>
      <w:szCs w:val="21"/>
      <w:lang w:val="en-US" w:eastAsia="zh-CN" w:bidi="ar-SA"/>
    </w:rPr>
  </w:style>
  <w:style w:type="character" w:customStyle="1" w:styleId="68">
    <w:name w:val="正文文本 字符"/>
    <w:basedOn w:val="40"/>
    <w:link w:val="4"/>
    <w:qFormat/>
    <w:uiPriority w:val="99"/>
    <w:rPr>
      <w:sz w:val="21"/>
      <w:szCs w:val="21"/>
    </w:rPr>
  </w:style>
  <w:style w:type="paragraph" w:customStyle="1" w:styleId="69">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70">
    <w:name w:val="日期 字符"/>
    <w:basedOn w:val="40"/>
    <w:link w:val="21"/>
    <w:semiHidden/>
    <w:qFormat/>
    <w:uiPriority w:val="99"/>
    <w:rPr>
      <w:sz w:val="21"/>
      <w:szCs w:val="21"/>
    </w:rPr>
  </w:style>
  <w:style w:type="paragraph" w:customStyle="1" w:styleId="71">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72">
    <w:name w:val="disabled1"/>
    <w:basedOn w:val="40"/>
    <w:qFormat/>
    <w:uiPriority w:val="0"/>
  </w:style>
  <w:style w:type="character" w:customStyle="1" w:styleId="73">
    <w:name w:val="layui-layer-tabnow"/>
    <w:basedOn w:val="40"/>
    <w:qFormat/>
    <w:uiPriority w:val="0"/>
    <w:rPr>
      <w:bdr w:val="single" w:color="CCCCCC" w:sz="4" w:space="0"/>
      <w:shd w:val="clear" w:color="auto" w:fill="FFFFFF"/>
    </w:rPr>
  </w:style>
  <w:style w:type="character" w:customStyle="1" w:styleId="74">
    <w:name w:val="first-child"/>
    <w:basedOn w:val="40"/>
    <w:qFormat/>
    <w:uiPriority w:val="0"/>
  </w:style>
  <w:style w:type="character" w:customStyle="1" w:styleId="75">
    <w:name w:val="正文文本缩进 字符"/>
    <w:basedOn w:val="40"/>
    <w:link w:val="6"/>
    <w:qFormat/>
    <w:uiPriority w:val="99"/>
    <w:rPr>
      <w:sz w:val="24"/>
      <w:szCs w:val="21"/>
    </w:rPr>
  </w:style>
  <w:style w:type="character" w:customStyle="1" w:styleId="76">
    <w:name w:val="正文文本首行缩进 2 字符"/>
    <w:basedOn w:val="75"/>
    <w:link w:val="5"/>
    <w:qFormat/>
    <w:uiPriority w:val="99"/>
    <w:rPr>
      <w:rFonts w:ascii="Calibri" w:hAnsi="Calibri" w:eastAsia="Times New Roman"/>
      <w:sz w:val="24"/>
      <w:szCs w:val="21"/>
    </w:rPr>
  </w:style>
  <w:style w:type="character" w:customStyle="1" w:styleId="77">
    <w:name w:val="页眉 字符"/>
    <w:basedOn w:val="40"/>
    <w:link w:val="25"/>
    <w:qFormat/>
    <w:uiPriority w:val="99"/>
    <w:rPr>
      <w:sz w:val="18"/>
      <w:szCs w:val="18"/>
    </w:rPr>
  </w:style>
  <w:style w:type="paragraph" w:customStyle="1" w:styleId="78">
    <w:name w:val="p18"/>
    <w:basedOn w:val="1"/>
    <w:qFormat/>
    <w:uiPriority w:val="0"/>
    <w:pPr>
      <w:ind w:firstLine="420"/>
    </w:pPr>
  </w:style>
  <w:style w:type="paragraph" w:customStyle="1" w:styleId="79">
    <w:name w:val="p0"/>
    <w:basedOn w:val="1"/>
    <w:qFormat/>
    <w:uiPriority w:val="0"/>
  </w:style>
  <w:style w:type="paragraph" w:customStyle="1" w:styleId="80">
    <w:name w:val="WPSOffice手动目录 1"/>
    <w:qFormat/>
    <w:uiPriority w:val="0"/>
    <w:rPr>
      <w:rFonts w:ascii="Times New Roman" w:hAnsi="Times New Roman" w:eastAsia="宋体" w:cs="Times New Roman"/>
      <w:lang w:val="en-US" w:eastAsia="zh-CN" w:bidi="ar-SA"/>
    </w:rPr>
  </w:style>
  <w:style w:type="paragraph" w:customStyle="1" w:styleId="81">
    <w:name w:val="_Style 1"/>
    <w:basedOn w:val="1"/>
    <w:qFormat/>
    <w:uiPriority w:val="0"/>
    <w:pPr>
      <w:ind w:firstLine="420" w:firstLineChars="200"/>
    </w:pPr>
  </w:style>
  <w:style w:type="character" w:customStyle="1" w:styleId="82">
    <w:name w:val="awspan"/>
    <w:basedOn w:val="40"/>
    <w:qFormat/>
    <w:uiPriority w:val="0"/>
  </w:style>
  <w:style w:type="paragraph" w:styleId="83">
    <w:name w:val="No Spacing"/>
    <w:qFormat/>
    <w:uiPriority w:val="1"/>
    <w:pPr>
      <w:widowControl w:val="0"/>
      <w:adjustRightInd w:val="0"/>
      <w:jc w:val="both"/>
      <w:textAlignment w:val="baseline"/>
    </w:pPr>
    <w:rPr>
      <w:rFonts w:ascii="Times New Roman" w:hAnsi="Times New Roman" w:eastAsia="宋体" w:cs="Times New Roman"/>
      <w:sz w:val="21"/>
      <w:lang w:val="en-US" w:eastAsia="zh-CN" w:bidi="ar-SA"/>
    </w:rPr>
  </w:style>
  <w:style w:type="paragraph" w:customStyle="1" w:styleId="84">
    <w:name w:val="列出段落3"/>
    <w:basedOn w:val="1"/>
    <w:qFormat/>
    <w:uiPriority w:val="99"/>
    <w:pPr>
      <w:ind w:firstLine="420" w:firstLineChars="200"/>
    </w:pPr>
  </w:style>
  <w:style w:type="paragraph" w:customStyle="1" w:styleId="85">
    <w:name w:val="列出段落1"/>
    <w:basedOn w:val="1"/>
    <w:qFormat/>
    <w:uiPriority w:val="34"/>
    <w:pPr>
      <w:ind w:firstLine="420" w:firstLineChars="200"/>
    </w:pPr>
    <w:rPr>
      <w:rFonts w:ascii="Calibri" w:hAnsi="Calibri"/>
      <w:szCs w:val="22"/>
    </w:rPr>
  </w:style>
  <w:style w:type="paragraph" w:customStyle="1" w:styleId="86">
    <w:name w:val="修订3"/>
    <w:hidden/>
    <w:semiHidden/>
    <w:qFormat/>
    <w:uiPriority w:val="99"/>
    <w:rPr>
      <w:rFonts w:ascii="Times New Roman" w:hAnsi="Times New Roman" w:eastAsia="宋体" w:cs="Times New Roman"/>
      <w:sz w:val="21"/>
      <w:szCs w:val="21"/>
      <w:lang w:val="en-US" w:eastAsia="zh-CN" w:bidi="ar-SA"/>
    </w:rPr>
  </w:style>
  <w:style w:type="paragraph" w:customStyle="1" w:styleId="87">
    <w:name w:val="reader-word-layer"/>
    <w:basedOn w:val="1"/>
    <w:qFormat/>
    <w:uiPriority w:val="0"/>
    <w:pPr>
      <w:spacing w:before="100" w:beforeAutospacing="1"/>
      <w:jc w:val="left"/>
    </w:pPr>
    <w:rPr>
      <w:rFonts w:ascii="宋体" w:hAnsi="宋体" w:cs="宋体"/>
      <w:sz w:val="24"/>
    </w:rPr>
  </w:style>
  <w:style w:type="character" w:customStyle="1" w:styleId="88">
    <w:name w:val="标题 1 Char"/>
    <w:link w:val="2"/>
    <w:qFormat/>
    <w:uiPriority w:val="7"/>
    <w:rPr>
      <w:b/>
      <w:sz w:val="44"/>
      <w:szCs w:val="44"/>
    </w:rPr>
  </w:style>
  <w:style w:type="paragraph" w:customStyle="1" w:styleId="89">
    <w:name w:val="正文_2"/>
    <w:next w:val="90"/>
    <w:qFormat/>
    <w:uiPriority w:val="0"/>
    <w:pPr>
      <w:widowControl w:val="0"/>
      <w:jc w:val="both"/>
    </w:pPr>
    <w:rPr>
      <w:rFonts w:ascii="Calibri" w:hAnsi="Calibri" w:eastAsia="宋体" w:cs="Times New Roman"/>
      <w:kern w:val="2"/>
      <w:sz w:val="21"/>
      <w:szCs w:val="22"/>
      <w:lang w:val="en-US" w:eastAsia="zh-CN" w:bidi="ar-SA"/>
    </w:rPr>
  </w:style>
  <w:style w:type="paragraph" w:customStyle="1" w:styleId="90">
    <w:name w:val="正文首行缩进 2_0"/>
    <w:basedOn w:val="91"/>
    <w:qFormat/>
    <w:uiPriority w:val="0"/>
    <w:pPr>
      <w:ind w:firstLine="200"/>
    </w:pPr>
    <w:rPr>
      <w:rFonts w:ascii="Times New Roman" w:hAnsi="Times New Roman"/>
      <w:szCs w:val="20"/>
    </w:rPr>
  </w:style>
  <w:style w:type="paragraph" w:customStyle="1" w:styleId="91">
    <w:name w:val="正文文本缩进_0"/>
    <w:basedOn w:val="89"/>
    <w:unhideWhenUsed/>
    <w:qFormat/>
    <w:uiPriority w:val="0"/>
    <w:pPr>
      <w:spacing w:after="120"/>
      <w:ind w:left="420" w:leftChars="200"/>
    </w:pPr>
  </w:style>
  <w:style w:type="paragraph" w:customStyle="1" w:styleId="92">
    <w:name w:val="TOC 标题1_0"/>
    <w:basedOn w:val="93"/>
    <w:next w:val="89"/>
    <w:qFormat/>
    <w:uiPriority w:val="0"/>
    <w:pPr>
      <w:spacing w:line="576" w:lineRule="auto"/>
      <w:outlineLvl w:val="9"/>
    </w:pPr>
    <w:rPr>
      <w:rFonts w:ascii="Calibri" w:hAnsi="Calibri" w:cs="Calibri"/>
      <w:sz w:val="44"/>
      <w:lang w:val="zh-CN"/>
    </w:rPr>
  </w:style>
  <w:style w:type="paragraph" w:customStyle="1" w:styleId="93">
    <w:name w:val="标题 1_0"/>
    <w:basedOn w:val="89"/>
    <w:next w:val="89"/>
    <w:qFormat/>
    <w:uiPriority w:val="0"/>
    <w:pPr>
      <w:keepNext/>
      <w:keepLines/>
      <w:spacing w:before="340" w:after="330" w:line="578" w:lineRule="auto"/>
      <w:outlineLvl w:val="0"/>
    </w:pPr>
    <w:rPr>
      <w:rFonts w:ascii="Times New Roman" w:hAnsi="Times New Roman" w:eastAsia="黑体"/>
      <w:b/>
      <w:bCs/>
      <w:kern w:val="44"/>
      <w:sz w:val="32"/>
      <w:szCs w:val="44"/>
    </w:rPr>
  </w:style>
  <w:style w:type="paragraph" w:customStyle="1" w:styleId="94">
    <w:name w:val="标题 2_0"/>
    <w:basedOn w:val="89"/>
    <w:next w:val="89"/>
    <w:qFormat/>
    <w:uiPriority w:val="0"/>
    <w:pPr>
      <w:keepNext/>
      <w:keepLines/>
      <w:spacing w:before="260" w:after="260" w:line="412" w:lineRule="auto"/>
      <w:outlineLvl w:val="1"/>
    </w:pPr>
    <w:rPr>
      <w:rFonts w:ascii="Arial" w:hAnsi="Arial" w:eastAsia="黑体"/>
      <w:b/>
      <w:sz w:val="32"/>
      <w:szCs w:val="20"/>
    </w:rPr>
  </w:style>
  <w:style w:type="paragraph" w:customStyle="1" w:styleId="95">
    <w:name w:val="标题 3_0"/>
    <w:basedOn w:val="89"/>
    <w:next w:val="89"/>
    <w:unhideWhenUsed/>
    <w:qFormat/>
    <w:uiPriority w:val="0"/>
    <w:pPr>
      <w:keepNext/>
      <w:keepLines/>
      <w:spacing w:before="260" w:after="260" w:line="416" w:lineRule="auto"/>
      <w:outlineLvl w:val="2"/>
    </w:pPr>
    <w:rPr>
      <w:b/>
      <w:bCs/>
      <w:sz w:val="32"/>
      <w:szCs w:val="32"/>
    </w:rPr>
  </w:style>
  <w:style w:type="paragraph" w:customStyle="1" w:styleId="96">
    <w:name w:val="纯文本_0"/>
    <w:basedOn w:val="89"/>
    <w:qFormat/>
    <w:uiPriority w:val="0"/>
    <w:rPr>
      <w:rFonts w:ascii="宋体" w:hAnsi="Courier New"/>
      <w:szCs w:val="20"/>
    </w:rPr>
  </w:style>
  <w:style w:type="paragraph" w:customStyle="1" w:styleId="97">
    <w:name w:val="标题 2_1"/>
    <w:basedOn w:val="98"/>
    <w:next w:val="98"/>
    <w:qFormat/>
    <w:uiPriority w:val="0"/>
    <w:pPr>
      <w:keepNext/>
      <w:keepLines/>
      <w:spacing w:before="260" w:after="260" w:line="416" w:lineRule="auto"/>
      <w:outlineLvl w:val="1"/>
    </w:pPr>
    <w:rPr>
      <w:rFonts w:ascii="Cambria" w:hAnsi="Cambria"/>
      <w:b/>
      <w:bCs/>
      <w:sz w:val="32"/>
      <w:szCs w:val="32"/>
    </w:rPr>
  </w:style>
  <w:style w:type="paragraph" w:customStyle="1" w:styleId="98">
    <w:name w:val="正文_5"/>
    <w:qFormat/>
    <w:uiPriority w:val="0"/>
    <w:pPr>
      <w:widowControl w:val="0"/>
      <w:jc w:val="both"/>
    </w:pPr>
    <w:rPr>
      <w:rFonts w:ascii="Calibri" w:hAnsi="Calibri" w:eastAsia="宋体" w:cs="Times New Roman"/>
      <w:kern w:val="2"/>
      <w:sz w:val="21"/>
      <w:szCs w:val="22"/>
      <w:lang w:val="en-US" w:eastAsia="zh-CN" w:bidi="ar-SA"/>
    </w:rPr>
  </w:style>
  <w:style w:type="paragraph" w:customStyle="1" w:styleId="99">
    <w:name w:val="正文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0">
    <w:name w:val="标题 2_2"/>
    <w:basedOn w:val="101"/>
    <w:next w:val="101"/>
    <w:qFormat/>
    <w:uiPriority w:val="0"/>
    <w:pPr>
      <w:keepNext/>
      <w:keepLines/>
      <w:spacing w:before="60" w:after="60" w:line="413" w:lineRule="auto"/>
      <w:jc w:val="left"/>
      <w:outlineLvl w:val="1"/>
    </w:pPr>
    <w:rPr>
      <w:rFonts w:ascii="Arial" w:hAnsi="Arial" w:eastAsia="黑体"/>
      <w:b/>
      <w:bCs/>
      <w:szCs w:val="32"/>
    </w:rPr>
  </w:style>
  <w:style w:type="paragraph" w:customStyle="1" w:styleId="101">
    <w:name w:val="正文_3"/>
    <w:next w:val="10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正文文本_1"/>
    <w:basedOn w:val="101"/>
    <w:next w:val="103"/>
    <w:qFormat/>
    <w:uiPriority w:val="0"/>
    <w:pPr>
      <w:adjustRightInd w:val="0"/>
      <w:spacing w:after="60" w:line="360" w:lineRule="atLeast"/>
      <w:ind w:left="72" w:leftChars="30" w:right="30" w:rightChars="30"/>
      <w:jc w:val="center"/>
      <w:textAlignment w:val="baseline"/>
    </w:pPr>
    <w:rPr>
      <w:szCs w:val="22"/>
    </w:rPr>
  </w:style>
  <w:style w:type="paragraph" w:customStyle="1" w:styleId="103">
    <w:name w:val="Default_1"/>
    <w:qFormat/>
    <w:uiPriority w:val="99"/>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04">
    <w:name w:val="无间隔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69AED-A99F-4156-81F7-EBB6104EA9B8}">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102</Pages>
  <Words>43710</Words>
  <Characters>45833</Characters>
  <Lines>213</Lines>
  <Paragraphs>60</Paragraphs>
  <TotalTime>27</TotalTime>
  <ScaleCrop>false</ScaleCrop>
  <LinksUpToDate>false</LinksUpToDate>
  <CharactersWithSpaces>48672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2023-06-07T09:34:00Z</dcterms:created>
  <dc:creator>NTKO</dc:creator>
  <cp:lastModifiedBy>会思考的羊</cp:lastModifiedBy>
  <cp:lastPrinted>2023-05-24T10:36:00Z</cp:lastPrinted>
  <dcterms:modified xsi:type="dcterms:W3CDTF">2024-09-11T15:40:58Z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69FB3B728E1E4C45880C90E1CDEB20B7_13</vt:lpwstr>
  </property>
</Properties>
</file>