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rPr>
          <w:rFonts w:hAnsi="宋体"/>
          <w:color w:val="000000" w:themeColor="text1"/>
          <w:highlight w:val="none"/>
          <w14:textFill>
            <w14:solidFill>
              <w14:schemeClr w14:val="tx1"/>
            </w14:solidFill>
          </w14:textFill>
        </w:rPr>
      </w:pPr>
    </w:p>
    <w:p>
      <w:pPr>
        <w:pStyle w:val="15"/>
        <w:ind w:left="0" w:firstLine="0"/>
        <w:rPr>
          <w:rFonts w:hAnsi="宋体"/>
          <w:color w:val="000000" w:themeColor="text1"/>
          <w:highlight w:val="none"/>
          <w14:textFill>
            <w14:solidFill>
              <w14:schemeClr w14:val="tx1"/>
            </w14:solidFill>
          </w14:textFill>
        </w:rPr>
      </w:pPr>
    </w:p>
    <w:p>
      <w:pPr>
        <w:spacing w:before="0"/>
        <w:ind w:right="-57" w:firstLine="0"/>
        <w:jc w:val="center"/>
        <w:rPr>
          <w:rFonts w:ascii="宋体" w:hAnsi="宋体"/>
          <w:color w:val="000000" w:themeColor="text1"/>
          <w:sz w:val="72"/>
          <w:szCs w:val="72"/>
          <w:highlight w:val="none"/>
          <w14:textFill>
            <w14:solidFill>
              <w14:schemeClr w14:val="tx1"/>
            </w14:solidFill>
          </w14:textFill>
        </w:rPr>
      </w:pPr>
      <w:r>
        <w:rPr>
          <w:rFonts w:hint="eastAsia" w:ascii="宋体" w:hAnsi="宋体"/>
          <w:b/>
          <w:color w:val="000000" w:themeColor="text1"/>
          <w:spacing w:val="-4"/>
          <w:sz w:val="44"/>
          <w:szCs w:val="44"/>
          <w:highlight w:val="none"/>
          <w:lang w:val="en-US" w:eastAsia="zh-CN"/>
          <w14:textFill>
            <w14:solidFill>
              <w14:schemeClr w14:val="tx1"/>
            </w14:solidFill>
          </w14:textFill>
        </w:rPr>
        <w:t>南宁市白沙半岛片区城中村改造项目安置住房小区4号地块配套基础设施-纵一路设计</w:t>
      </w:r>
      <w:r>
        <w:rPr>
          <w:rFonts w:hint="eastAsia" w:ascii="宋体" w:hAnsi="宋体"/>
          <w:color w:val="000000" w:themeColor="text1"/>
          <w:sz w:val="72"/>
          <w:szCs w:val="72"/>
          <w:highlight w:val="none"/>
          <w14:textFill>
            <w14:solidFill>
              <w14:schemeClr w14:val="tx1"/>
            </w14:solidFill>
          </w14:textFill>
        </w:rPr>
        <w:t>比选</w:t>
      </w:r>
      <w:r>
        <w:rPr>
          <w:rFonts w:ascii="宋体" w:hAnsi="宋体"/>
          <w:color w:val="000000" w:themeColor="text1"/>
          <w:sz w:val="72"/>
          <w:szCs w:val="72"/>
          <w:highlight w:val="none"/>
          <w14:textFill>
            <w14:solidFill>
              <w14:schemeClr w14:val="tx1"/>
            </w14:solidFill>
          </w14:textFill>
        </w:rPr>
        <w:t>文件</w:t>
      </w:r>
    </w:p>
    <w:p>
      <w:pPr>
        <w:spacing w:before="720"/>
        <w:ind w:left="1801" w:right="-57" w:hanging="180"/>
        <w:rPr>
          <w:rFonts w:ascii="宋体" w:hAnsi="宋体"/>
          <w:b/>
          <w:color w:val="000000" w:themeColor="text1"/>
          <w:sz w:val="32"/>
          <w:szCs w:val="32"/>
          <w:highlight w:val="none"/>
          <w14:textFill>
            <w14:solidFill>
              <w14:schemeClr w14:val="tx1"/>
            </w14:solidFill>
          </w14:textFill>
        </w:rPr>
      </w:pPr>
    </w:p>
    <w:p>
      <w:pPr>
        <w:spacing w:before="0"/>
        <w:ind w:left="0" w:right="-57" w:firstLine="0"/>
        <w:rPr>
          <w:rFonts w:ascii="宋体" w:hAnsi="宋体"/>
          <w:color w:val="000000" w:themeColor="text1"/>
          <w:highlight w:val="none"/>
          <w14:textFill>
            <w14:solidFill>
              <w14:schemeClr w14:val="tx1"/>
            </w14:solidFill>
          </w14:textFill>
        </w:rPr>
      </w:pPr>
    </w:p>
    <w:p>
      <w:pPr>
        <w:spacing w:before="0"/>
        <w:ind w:left="1801" w:right="-57" w:hanging="180"/>
        <w:rPr>
          <w:rFonts w:hint="eastAsia" w:ascii="宋体" w:hAnsi="宋体" w:eastAsia="宋体"/>
          <w:color w:val="000000" w:themeColor="text1"/>
          <w:sz w:val="30"/>
          <w:szCs w:val="30"/>
          <w:highlight w:val="none"/>
          <w:lang w:eastAsia="zh-CN"/>
          <w14:textFill>
            <w14:solidFill>
              <w14:schemeClr w14:val="tx1"/>
            </w14:solidFill>
          </w14:textFill>
        </w:rPr>
      </w:pPr>
      <w:r>
        <w:rPr>
          <w:rFonts w:ascii="宋体" w:hAnsi="宋体"/>
          <w:b/>
          <w:color w:val="000000" w:themeColor="text1"/>
          <w:sz w:val="32"/>
          <w:szCs w:val="32"/>
          <w:highlight w:val="none"/>
          <w14:textFill>
            <w14:solidFill>
              <w14:schemeClr w14:val="tx1"/>
            </w14:solidFill>
          </w14:textFill>
        </w:rPr>
        <w:t>比选人：</w:t>
      </w:r>
      <w:r>
        <w:rPr>
          <w:rFonts w:hint="eastAsia" w:ascii="宋体" w:hAnsi="宋体"/>
          <w:b/>
          <w:color w:val="000000" w:themeColor="text1"/>
          <w:sz w:val="32"/>
          <w:szCs w:val="32"/>
          <w:highlight w:val="none"/>
          <w:u w:val="single"/>
          <w:lang w:eastAsia="zh-CN"/>
          <w14:textFill>
            <w14:solidFill>
              <w14:schemeClr w14:val="tx1"/>
            </w14:solidFill>
          </w14:textFill>
        </w:rPr>
        <w:t>南宁兴邕城市更新有限责任公司</w:t>
      </w:r>
    </w:p>
    <w:p>
      <w:pPr>
        <w:spacing w:before="0"/>
        <w:ind w:right="-57" w:firstLine="0"/>
        <w:jc w:val="center"/>
        <w:rPr>
          <w:rFonts w:ascii="宋体" w:hAnsi="宋体" w:cs="宋体"/>
          <w:b/>
          <w:color w:val="000000" w:themeColor="text1"/>
          <w:sz w:val="36"/>
          <w:szCs w:val="36"/>
          <w:highlight w:val="none"/>
          <w14:textFill>
            <w14:solidFill>
              <w14:schemeClr w14:val="tx1"/>
            </w14:solidFill>
          </w14:textFill>
        </w:rPr>
        <w:sectPr>
          <w:headerReference r:id="rId5" w:type="default"/>
          <w:footerReference r:id="rId6" w:type="default"/>
          <w:pgSz w:w="11905" w:h="16838"/>
          <w:pgMar w:top="1417" w:right="1417" w:bottom="1417" w:left="1417" w:header="454" w:footer="567" w:gutter="0"/>
          <w:pgNumType w:start="1" w:chapStyle="1"/>
          <w:cols w:space="720" w:num="1"/>
          <w:docGrid w:linePitch="312" w:charSpace="0"/>
        </w:sectPr>
      </w:pPr>
      <w:r>
        <w:rPr>
          <w:rFonts w:hint="eastAsia" w:ascii="宋体" w:hAnsi="宋体"/>
          <w:b/>
          <w:color w:val="000000" w:themeColor="text1"/>
          <w:sz w:val="36"/>
          <w:szCs w:val="36"/>
          <w:highlight w:val="none"/>
          <w14:textFill>
            <w14:solidFill>
              <w14:schemeClr w14:val="tx1"/>
            </w14:solidFill>
          </w14:textFill>
        </w:rPr>
        <w:t>202</w:t>
      </w:r>
      <w:r>
        <w:rPr>
          <w:rFonts w:hint="eastAsia" w:ascii="宋体" w:hAnsi="宋体"/>
          <w:b/>
          <w:color w:val="000000" w:themeColor="text1"/>
          <w:sz w:val="36"/>
          <w:szCs w:val="36"/>
          <w:highlight w:val="none"/>
          <w:lang w:val="en-US" w:eastAsia="zh-CN"/>
          <w14:textFill>
            <w14:solidFill>
              <w14:schemeClr w14:val="tx1"/>
            </w14:solidFill>
          </w14:textFill>
        </w:rPr>
        <w:t>4</w:t>
      </w:r>
      <w:r>
        <w:rPr>
          <w:rFonts w:ascii="宋体" w:hAnsi="宋体"/>
          <w:b/>
          <w:color w:val="000000" w:themeColor="text1"/>
          <w:sz w:val="36"/>
          <w:szCs w:val="36"/>
          <w:highlight w:val="none"/>
          <w14:textFill>
            <w14:solidFill>
              <w14:schemeClr w14:val="tx1"/>
            </w14:solidFill>
          </w14:textFill>
        </w:rPr>
        <w:t>年</w:t>
      </w:r>
      <w:r>
        <w:rPr>
          <w:rFonts w:hint="eastAsia" w:ascii="宋体" w:hAnsi="宋体"/>
          <w:b/>
          <w:color w:val="000000" w:themeColor="text1"/>
          <w:sz w:val="36"/>
          <w:szCs w:val="36"/>
          <w:highlight w:val="none"/>
          <w:lang w:val="en-US" w:eastAsia="zh-CN"/>
          <w14:textFill>
            <w14:solidFill>
              <w14:schemeClr w14:val="tx1"/>
            </w14:solidFill>
          </w14:textFill>
        </w:rPr>
        <w:t xml:space="preserve"> </w:t>
      </w:r>
      <w:r>
        <w:rPr>
          <w:rFonts w:ascii="宋体" w:hAnsi="宋体"/>
          <w:b/>
          <w:color w:val="000000" w:themeColor="text1"/>
          <w:sz w:val="36"/>
          <w:szCs w:val="36"/>
          <w:highlight w:val="none"/>
          <w14:textFill>
            <w14:solidFill>
              <w14:schemeClr w14:val="tx1"/>
            </w14:solidFill>
          </w14:textFill>
        </w:rPr>
        <w:t>月</w:t>
      </w:r>
    </w:p>
    <w:p>
      <w:pPr>
        <w:spacing w:before="0" w:after="0" w:afterAutospacing="0"/>
        <w:ind w:left="0" w:right="0" w:firstLine="0"/>
        <w:rPr>
          <w:rFonts w:ascii="宋体" w:hAnsi="宋体"/>
          <w:color w:val="000000" w:themeColor="text1"/>
          <w:highlight w:val="none"/>
          <w14:textFill>
            <w14:solidFill>
              <w14:schemeClr w14:val="tx1"/>
            </w14:solidFill>
          </w14:textFill>
        </w:rPr>
      </w:pPr>
    </w:p>
    <w:sdt>
      <w:sdtPr>
        <w:rPr>
          <w:rFonts w:hint="eastAsia" w:ascii="宋体" w:hAnsi="宋体" w:eastAsia="宋体" w:cs="宋体"/>
          <w:b w:val="0"/>
          <w:bCs w:val="0"/>
          <w:color w:val="000000" w:themeColor="text1"/>
          <w:sz w:val="21"/>
          <w:szCs w:val="21"/>
          <w:highlight w:val="none"/>
          <w:lang w:val="zh-CN"/>
          <w14:textFill>
            <w14:solidFill>
              <w14:schemeClr w14:val="tx1"/>
            </w14:solidFill>
          </w14:textFill>
        </w:rPr>
        <w:id w:val="1243295833"/>
        <w:docPartObj>
          <w:docPartGallery w:val="Table of Contents"/>
          <w:docPartUnique/>
        </w:docPartObj>
      </w:sdtPr>
      <w:sdtEndPr>
        <w:rPr>
          <w:rFonts w:hint="default" w:ascii="宋体" w:hAnsi="宋体" w:eastAsia="宋体" w:cs="Times New Roman"/>
          <w:b w:val="0"/>
          <w:bCs w:val="0"/>
          <w:color w:val="000000" w:themeColor="text1"/>
          <w:sz w:val="21"/>
          <w:szCs w:val="21"/>
          <w:highlight w:val="none"/>
          <w:lang w:val="zh-CN"/>
          <w14:textFill>
            <w14:solidFill>
              <w14:schemeClr w14:val="tx1"/>
            </w14:solidFill>
          </w14:textFill>
        </w:rPr>
      </w:sdtEndPr>
      <w:sdtContent>
        <w:p>
          <w:pPr>
            <w:pStyle w:val="60"/>
            <w:spacing w:before="0" w:line="240" w:lineRule="auto"/>
            <w:jc w:val="center"/>
            <w:rPr>
              <w:rFonts w:ascii="宋体" w:hAnsi="宋体" w:eastAsia="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zh-CN"/>
              <w14:textFill>
                <w14:solidFill>
                  <w14:schemeClr w14:val="tx1"/>
                </w14:solidFill>
              </w14:textFill>
            </w:rPr>
            <w:t>目录</w:t>
          </w:r>
        </w:p>
        <w:p>
          <w:pPr>
            <w:pStyle w:val="21"/>
            <w:tabs>
              <w:tab w:val="right" w:leader="dot" w:pos="9071"/>
            </w:tabs>
            <w:rPr>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fldChar w:fldCharType="begin"/>
          </w:r>
          <w:r>
            <w:rPr>
              <w:rFonts w:ascii="宋体" w:hAnsi="宋体"/>
              <w:color w:val="000000" w:themeColor="text1"/>
              <w:highlight w:val="none"/>
              <w14:textFill>
                <w14:solidFill>
                  <w14:schemeClr w14:val="tx1"/>
                </w14:solidFill>
              </w14:textFill>
            </w:rPr>
            <w:instrText xml:space="preserve"> TOC \o "1-3" \h \z \u </w:instrText>
          </w:r>
          <w:r>
            <w:rPr>
              <w:rFonts w:ascii="宋体" w:hAnsi="宋体"/>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"_Toc31714"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第一章比选公告</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_Toc31714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21"/>
            <w:tabs>
              <w:tab w:val="right" w:leader="dot" w:pos="9071"/>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"_Toc4114"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第二章比选申请须知</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_Toc4114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5</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21"/>
            <w:tabs>
              <w:tab w:val="right" w:leader="dot" w:pos="9071"/>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"_Toc10158"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第三章合同条款及格式</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_Toc10158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18</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21"/>
            <w:tabs>
              <w:tab w:val="right" w:leader="dot" w:pos="9071"/>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"_Toc26465"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第四章比选申请文件格式</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_Toc26465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44</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21"/>
            <w:tabs>
              <w:tab w:val="right" w:leader="dot" w:pos="9071"/>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"_Toc5856"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w:t>
          </w:r>
          <w:r>
            <w:rPr>
              <w:rFonts w:hint="eastAsia" w:hAnsi="宋体"/>
              <w:color w:val="000000" w:themeColor="text1"/>
              <w:highlight w:val="none"/>
              <w:lang w:val="en-US" w:eastAsia="zh-CN"/>
              <w14:textFill>
                <w14:solidFill>
                  <w14:schemeClr w14:val="tx1"/>
                </w14:solidFill>
              </w14:textFill>
            </w:rPr>
            <w:t>五</w:t>
          </w:r>
          <w:r>
            <w:rPr>
              <w:rFonts w:hint="eastAsia" w:ascii="宋体" w:hAnsi="宋体"/>
              <w:color w:val="000000" w:themeColor="text1"/>
              <w:highlight w:val="none"/>
              <w14:textFill>
                <w14:solidFill>
                  <w14:schemeClr w14:val="tx1"/>
                </w14:solidFill>
              </w14:textFill>
            </w:rPr>
            <w:t>章评分办法</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_Toc5856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61</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21"/>
            <w:tabs>
              <w:tab w:val="right" w:leader="dot" w:pos="9071"/>
            </w:tabs>
            <w:rPr>
              <w:color w:val="000000" w:themeColor="text1"/>
              <w:highlight w:val="none"/>
              <w14:textFill>
                <w14:solidFill>
                  <w14:schemeClr w14:val="tx1"/>
                </w14:solidFill>
              </w14:textFill>
            </w:rPr>
          </w:pPr>
        </w:p>
        <w:p>
          <w:pPr>
            <w:pStyle w:val="26"/>
            <w:tabs>
              <w:tab w:val="right" w:leader="dot" w:pos="9061"/>
            </w:tabs>
            <w:spacing w:line="240" w:lineRule="auto"/>
            <w:ind w:left="0"/>
            <w:rPr>
              <w:rFonts w:ascii="宋体" w:hAnsi="宋体"/>
              <w:color w:val="000000" w:themeColor="text1"/>
              <w:highlight w:val="none"/>
              <w14:textFill>
                <w14:solidFill>
                  <w14:schemeClr w14:val="tx1"/>
                </w14:solidFill>
              </w14:textFill>
            </w:rPr>
          </w:pPr>
          <w:r>
            <w:rPr>
              <w:rFonts w:ascii="宋体" w:hAnsi="宋体"/>
              <w:bCs/>
              <w:color w:val="000000" w:themeColor="text1"/>
              <w:highlight w:val="none"/>
              <w:lang w:val="zh-CN"/>
              <w14:textFill>
                <w14:solidFill>
                  <w14:schemeClr w14:val="tx1"/>
                </w14:solidFill>
              </w14:textFill>
            </w:rPr>
            <w:fldChar w:fldCharType="end"/>
          </w:r>
        </w:p>
      </w:sdtContent>
    </w:sdt>
    <w:p>
      <w:pPr>
        <w:ind w:left="0" w:firstLine="0"/>
        <w:rPr>
          <w:rStyle w:val="53"/>
          <w:rFonts w:ascii="宋体" w:hAnsi="宋体" w:eastAsia="宋体"/>
          <w:color w:val="000000" w:themeColor="text1"/>
          <w:highlight w:val="none"/>
          <w14:textFill>
            <w14:solidFill>
              <w14:schemeClr w14:val="tx1"/>
            </w14:solidFill>
          </w14:textFill>
        </w:rPr>
      </w:pPr>
      <w:bookmarkStart w:id="0" w:name="_Toc237"/>
      <w:bookmarkStart w:id="1" w:name="_Toc23476"/>
      <w:bookmarkStart w:id="2" w:name="_Toc26620"/>
      <w:bookmarkStart w:id="3" w:name="_Toc1227"/>
      <w:bookmarkStart w:id="4" w:name="_Toc5910"/>
      <w:bookmarkStart w:id="5" w:name="_Toc14762"/>
      <w:bookmarkStart w:id="6" w:name="_Toc30647"/>
      <w:bookmarkStart w:id="7" w:name="_Toc375039061"/>
      <w:bookmarkStart w:id="8" w:name="_Toc26192"/>
      <w:bookmarkStart w:id="9" w:name="_Toc26939"/>
      <w:bookmarkStart w:id="10" w:name="_Toc25355"/>
      <w:bookmarkStart w:id="11" w:name="_Toc23367"/>
      <w:bookmarkStart w:id="12" w:name="_Toc3400"/>
      <w:bookmarkStart w:id="13" w:name="_Toc492478714"/>
      <w:bookmarkStart w:id="14" w:name="_Toc3658"/>
      <w:bookmarkStart w:id="15" w:name="_Toc481"/>
      <w:bookmarkStart w:id="16" w:name="_Toc15211"/>
      <w:bookmarkStart w:id="17" w:name="_Toc1363"/>
      <w:bookmarkStart w:id="18" w:name="_Toc17906"/>
    </w:p>
    <w:p>
      <w:pPr>
        <w:ind w:left="0" w:firstLine="0"/>
        <w:jc w:val="left"/>
        <w:rPr>
          <w:rStyle w:val="53"/>
          <w:rFonts w:ascii="宋体" w:hAnsi="宋体" w:eastAsia="宋体"/>
          <w:color w:val="000000" w:themeColor="text1"/>
          <w:highlight w:val="none"/>
          <w14:textFill>
            <w14:solidFill>
              <w14:schemeClr w14:val="tx1"/>
            </w14:solidFill>
          </w14:textFill>
        </w:rPr>
        <w:sectPr>
          <w:footerReference r:id="rId7" w:type="default"/>
          <w:pgSz w:w="11905" w:h="16838"/>
          <w:pgMar w:top="1417" w:right="1417" w:bottom="1417" w:left="1417" w:header="454" w:footer="567" w:gutter="0"/>
          <w:cols w:space="720" w:num="1"/>
          <w:docGrid w:linePitch="312" w:charSpace="0"/>
        </w:sectPr>
      </w:pPr>
    </w:p>
    <w:p>
      <w:pPr>
        <w:pStyle w:val="15"/>
        <w:pageBreakBefore/>
        <w:ind w:right="-57"/>
        <w:jc w:val="center"/>
        <w:outlineLvl w:val="0"/>
        <w:rPr>
          <w:rStyle w:val="53"/>
          <w:rFonts w:ascii="宋体" w:hAnsi="宋体" w:eastAsia="宋体"/>
          <w:color w:val="000000" w:themeColor="text1"/>
          <w:highlight w:val="none"/>
          <w14:textFill>
            <w14:solidFill>
              <w14:schemeClr w14:val="tx1"/>
            </w14:solidFill>
          </w14:textFill>
        </w:rPr>
      </w:pPr>
      <w:bookmarkStart w:id="19" w:name="_Toc31714"/>
      <w:r>
        <w:rPr>
          <w:rStyle w:val="53"/>
          <w:rFonts w:hint="eastAsia" w:ascii="宋体" w:hAnsi="宋体" w:eastAsia="宋体"/>
          <w:color w:val="000000" w:themeColor="text1"/>
          <w:highlight w:val="none"/>
          <w14:textFill>
            <w14:solidFill>
              <w14:schemeClr w14:val="tx1"/>
            </w14:solidFill>
          </w14:textFill>
        </w:rPr>
        <w:t>第一章比选公告</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spacing w:before="0" w:after="0" w:afterAutospacing="0"/>
        <w:ind w:right="-57" w:firstLine="0"/>
        <w:jc w:val="center"/>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lang w:val="zh-CN"/>
          <w14:textFill>
            <w14:solidFill>
              <w14:schemeClr w14:val="tx1"/>
            </w14:solidFill>
          </w14:textFill>
        </w:rPr>
        <w:t>南宁市白沙半岛片区城中村改造项目安置住房小区4号地块配套基础设施-纵一路设计</w:t>
      </w:r>
      <w:r>
        <w:rPr>
          <w:rFonts w:hint="eastAsia" w:ascii="宋体" w:hAnsi="宋体"/>
          <w:b/>
          <w:color w:val="000000" w:themeColor="text1"/>
          <w:sz w:val="28"/>
          <w:szCs w:val="28"/>
          <w:highlight w:val="none"/>
          <w14:textFill>
            <w14:solidFill>
              <w14:schemeClr w14:val="tx1"/>
            </w14:solidFill>
          </w14:textFill>
        </w:rPr>
        <w:t>比选公告</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bookmarkStart w:id="20" w:name="OLE_LINK4"/>
      <w:bookmarkEnd w:id="20"/>
      <w:r>
        <w:rPr>
          <w:rFonts w:hint="eastAsia" w:ascii="宋体" w:hAnsi="宋体"/>
          <w:b/>
          <w:color w:val="000000" w:themeColor="text1"/>
          <w:highlight w:val="none"/>
          <w14:textFill>
            <w14:solidFill>
              <w14:schemeClr w14:val="tx1"/>
            </w14:solidFill>
          </w14:textFill>
        </w:rPr>
        <w:t>1.比选条件</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本比选项目</w:t>
      </w:r>
      <w:r>
        <w:rPr>
          <w:rFonts w:hint="eastAsia" w:ascii="宋体" w:hAnsi="宋体"/>
          <w:color w:val="000000" w:themeColor="text1"/>
          <w:highlight w:val="none"/>
          <w:u w:val="single"/>
          <w:lang w:eastAsia="zh-CN"/>
          <w14:textFill>
            <w14:solidFill>
              <w14:schemeClr w14:val="tx1"/>
            </w14:solidFill>
          </w14:textFill>
        </w:rPr>
        <w:t>南宁市白沙半岛片区城中村改造项目安置住房小区4号地块配套基础设施-纵一路设计</w:t>
      </w:r>
      <w:r>
        <w:rPr>
          <w:rFonts w:hint="eastAsia" w:ascii="宋体" w:hAnsi="宋体"/>
          <w:color w:val="000000" w:themeColor="text1"/>
          <w:highlight w:val="none"/>
          <w14:textFill>
            <w14:solidFill>
              <w14:schemeClr w14:val="tx1"/>
            </w14:solidFill>
          </w14:textFill>
        </w:rPr>
        <w:t>比选人为</w:t>
      </w:r>
      <w:r>
        <w:rPr>
          <w:rFonts w:hint="eastAsia" w:ascii="宋体" w:hAnsi="宋体"/>
          <w:color w:val="000000" w:themeColor="text1"/>
          <w:highlight w:val="none"/>
          <w:u w:val="single"/>
          <w:lang w:eastAsia="zh-CN"/>
          <w14:textFill>
            <w14:solidFill>
              <w14:schemeClr w14:val="tx1"/>
            </w14:solidFill>
          </w14:textFill>
        </w:rPr>
        <w:t>南宁兴邕城市更新有限责任公司</w:t>
      </w:r>
      <w:r>
        <w:rPr>
          <w:rFonts w:hint="eastAsia" w:ascii="宋体" w:hAnsi="宋体"/>
          <w:color w:val="000000" w:themeColor="text1"/>
          <w:highlight w:val="none"/>
          <w14:textFill>
            <w14:solidFill>
              <w14:schemeClr w14:val="tx1"/>
            </w14:solidFill>
          </w14:textFill>
        </w:rPr>
        <w:t>，比选项目资金来源为</w:t>
      </w:r>
      <w:r>
        <w:rPr>
          <w:rFonts w:hint="eastAsia" w:ascii="宋体" w:hAnsi="宋体"/>
          <w:color w:val="000000" w:themeColor="text1"/>
          <w:highlight w:val="none"/>
          <w:lang w:val="en-US" w:eastAsia="zh-CN"/>
          <w14:textFill>
            <w14:solidFill>
              <w14:schemeClr w14:val="tx1"/>
            </w14:solidFill>
          </w14:textFill>
        </w:rPr>
        <w:t>财政资金</w:t>
      </w:r>
      <w:r>
        <w:rPr>
          <w:rFonts w:hint="eastAsia" w:ascii="宋体" w:hAnsi="宋体"/>
          <w:color w:val="000000" w:themeColor="text1"/>
          <w:highlight w:val="none"/>
          <w14:textFill>
            <w14:solidFill>
              <w14:schemeClr w14:val="tx1"/>
            </w14:solidFill>
          </w14:textFill>
        </w:rPr>
        <w:t>。</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2.项目概况与比选范围</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项目名称：</w:t>
      </w:r>
      <w:r>
        <w:rPr>
          <w:rFonts w:hint="eastAsia" w:ascii="宋体" w:hAnsi="宋体"/>
          <w:color w:val="000000" w:themeColor="text1"/>
          <w:highlight w:val="none"/>
          <w:u w:val="single"/>
          <w:lang w:eastAsia="zh-CN"/>
          <w14:textFill>
            <w14:solidFill>
              <w14:schemeClr w14:val="tx1"/>
            </w14:solidFill>
          </w14:textFill>
        </w:rPr>
        <w:t>南宁市白沙半岛片区城中村改造项目安置住房小区4号地块配套基础设施-纵一路设计</w:t>
      </w:r>
      <w:r>
        <w:rPr>
          <w:rFonts w:hint="eastAsia" w:ascii="宋体" w:hAnsi="宋体"/>
          <w:color w:val="000000" w:themeColor="text1"/>
          <w:highlight w:val="none"/>
          <w:u w:val="single"/>
          <w14:textFill>
            <w14:solidFill>
              <w14:schemeClr w14:val="tx1"/>
            </w14:solidFill>
          </w14:textFill>
        </w:rPr>
        <w:t>。</w:t>
      </w:r>
    </w:p>
    <w:p>
      <w:pPr>
        <w:spacing w:before="0" w:after="0" w:afterAutospacing="0"/>
        <w:ind w:left="0" w:right="0" w:firstLine="420" w:firstLineChars="200"/>
        <w:rPr>
          <w:rFonts w:hint="default"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zh-CN"/>
          <w14:textFill>
            <w14:solidFill>
              <w14:schemeClr w14:val="tx1"/>
            </w14:solidFill>
          </w14:textFill>
        </w:rPr>
        <w:t>项目</w:t>
      </w:r>
      <w:r>
        <w:rPr>
          <w:rFonts w:hint="eastAsia" w:ascii="宋体" w:hAnsi="宋体"/>
          <w:color w:val="000000" w:themeColor="text1"/>
          <w:highlight w:val="none"/>
          <w:lang w:val="en-US" w:eastAsia="zh-CN"/>
          <w14:textFill>
            <w14:solidFill>
              <w14:schemeClr w14:val="tx1"/>
            </w14:solidFill>
          </w14:textFill>
        </w:rPr>
        <w:t>概括：</w:t>
      </w:r>
      <w:r>
        <w:rPr>
          <w:rFonts w:hint="eastAsia" w:ascii="宋体" w:hAnsi="宋体"/>
          <w:color w:val="000000" w:themeColor="text1"/>
          <w:highlight w:val="none"/>
          <w:u w:val="single"/>
          <w:lang w:eastAsia="zh-CN"/>
          <w14:textFill>
            <w14:solidFill>
              <w14:schemeClr w14:val="tx1"/>
            </w14:solidFill>
          </w14:textFill>
        </w:rPr>
        <w:t>南宁市白沙半岛片区城中村改造项目安置住房小区4号地块配套基础设施-纵一路，</w:t>
      </w:r>
      <w:r>
        <w:rPr>
          <w:rFonts w:hint="eastAsia" w:ascii="宋体" w:hAnsi="宋体"/>
          <w:color w:val="000000" w:themeColor="text1"/>
          <w:highlight w:val="none"/>
          <w:u w:val="single"/>
          <w:lang w:val="en-US" w:eastAsia="zh-CN"/>
          <w14:textFill>
            <w14:solidFill>
              <w14:schemeClr w14:val="tx1"/>
            </w14:solidFill>
          </w14:textFill>
        </w:rPr>
        <w:t>线路长度415m，红线宽度30m，设计范围包含道路工程、排水（含污水）工程、交通工程、照明工程、绿化工程、电力管沟工程；</w:t>
      </w:r>
    </w:p>
    <w:p>
      <w:pPr>
        <w:spacing w:before="0" w:after="0" w:afterAutospacing="0"/>
        <w:ind w:left="0" w:right="0" w:firstLine="420" w:firstLineChars="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比选内容概括：</w:t>
      </w:r>
      <w:r>
        <w:rPr>
          <w:rFonts w:hint="eastAsia" w:ascii="宋体" w:hAnsi="宋体"/>
          <w:color w:val="000000" w:themeColor="text1"/>
          <w:highlight w:val="none"/>
          <w:lang w:eastAsia="zh-CN"/>
          <w14:textFill>
            <w14:solidFill>
              <w14:schemeClr w14:val="tx1"/>
            </w14:solidFill>
          </w14:textFill>
        </w:rPr>
        <w:t>南宁市白沙半岛片区城中村改造项目安置住房小区4号地块配套基础设施-纵一路设计</w:t>
      </w:r>
      <w:r>
        <w:rPr>
          <w:rFonts w:hint="eastAsia" w:ascii="宋体" w:hAnsi="宋体"/>
          <w:color w:val="000000" w:themeColor="text1"/>
          <w:highlight w:val="none"/>
          <w14:textFill>
            <w14:solidFill>
              <w14:schemeClr w14:val="tx1"/>
            </w14:solidFill>
          </w14:textFill>
        </w:rPr>
        <w:t>，设计服务包含方案设计</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初步设计、施工图设计、</w:t>
      </w:r>
      <w:r>
        <w:rPr>
          <w:rFonts w:hint="eastAsia" w:ascii="宋体" w:hAnsi="宋体"/>
          <w:color w:val="000000" w:themeColor="text1"/>
          <w:highlight w:val="none"/>
          <w14:textFill>
            <w14:solidFill>
              <w14:schemeClr w14:val="tx1"/>
            </w14:solidFill>
          </w14:textFill>
        </w:rPr>
        <w:t>工程概算</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施工图预算</w:t>
      </w:r>
      <w:r>
        <w:rPr>
          <w:rFonts w:hint="eastAsia" w:ascii="宋体" w:hAnsi="宋体"/>
          <w:color w:val="000000" w:themeColor="text1"/>
          <w:highlight w:val="none"/>
          <w14:textFill>
            <w14:solidFill>
              <w14:schemeClr w14:val="tx1"/>
            </w14:solidFill>
          </w14:textFill>
        </w:rPr>
        <w:t>等设计成果</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规划设计审查</w:t>
      </w:r>
      <w:r>
        <w:rPr>
          <w:rFonts w:hint="eastAsia" w:ascii="宋体" w:hAnsi="宋体"/>
          <w:color w:val="000000" w:themeColor="text1"/>
          <w:highlight w:val="none"/>
          <w14:textFill>
            <w14:solidFill>
              <w14:schemeClr w14:val="tx1"/>
            </w14:solidFill>
          </w14:textFill>
        </w:rPr>
        <w:t>、施工阶段配合。</w:t>
      </w:r>
    </w:p>
    <w:p>
      <w:pPr>
        <w:spacing w:before="0" w:after="0" w:afterAutospacing="0"/>
        <w:ind w:left="0" w:right="0" w:firstLine="420" w:firstLineChars="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上限控制价（含税）：</w:t>
      </w:r>
      <w:r>
        <w:rPr>
          <w:rFonts w:hint="eastAsia" w:ascii="宋体" w:hAnsi="宋体"/>
          <w:color w:val="000000" w:themeColor="text1"/>
          <w:highlight w:val="none"/>
          <w:lang w:val="en-US" w:eastAsia="zh-CN"/>
          <w14:textFill>
            <w14:solidFill>
              <w14:schemeClr w14:val="tx1"/>
            </w14:solidFill>
          </w14:textFill>
        </w:rPr>
        <w:t xml:space="preserve">611,600.00 </w:t>
      </w:r>
      <w:r>
        <w:rPr>
          <w:rFonts w:hint="eastAsia" w:ascii="宋体" w:hAnsi="宋体"/>
          <w:color w:val="000000" w:themeColor="text1"/>
          <w:highlight w:val="none"/>
          <w14:textFill>
            <w14:solidFill>
              <w14:schemeClr w14:val="tx1"/>
            </w14:solidFill>
          </w14:textFill>
        </w:rPr>
        <w:t>元。比选申请报价高于上限控制价（或分项上限控制价）的比选申请文件将按否决比选申请处理。</w:t>
      </w:r>
    </w:p>
    <w:p>
      <w:pPr>
        <w:spacing w:before="0" w:after="0" w:afterAutospacing="0"/>
        <w:ind w:left="0" w:right="0" w:firstLine="420" w:firstLineChars="200"/>
        <w:rPr>
          <w:rFonts w:hint="eastAsia" w:ascii="宋体" w:hAnsi="宋体"/>
          <w:color w:val="000000" w:themeColor="text1"/>
          <w:highlight w:val="none"/>
          <w:lang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合同服务期</w:t>
      </w:r>
      <w:r>
        <w:rPr>
          <w:rFonts w:hint="eastAsia" w:ascii="宋体" w:hAnsi="宋体" w:eastAsia="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自比选人与中选人签订的合同生效之日起至项目竣工验收。</w:t>
      </w:r>
    </w:p>
    <w:p>
      <w:pPr>
        <w:spacing w:before="0" w:after="0" w:afterAutospacing="0"/>
        <w:ind w:left="0" w:right="0" w:firstLine="420" w:firstLineChars="200"/>
        <w:rPr>
          <w:rFonts w:hint="eastAsia"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设计周期：①设计合同载明的计划开始设计之日起20日历天内完成方案</w:t>
      </w:r>
      <w:r>
        <w:rPr>
          <w:rFonts w:hint="default" w:ascii="宋体" w:hAnsi="宋体"/>
          <w:color w:val="000000" w:themeColor="text1"/>
          <w:highlight w:val="none"/>
          <w:lang w:val="en-US" w:eastAsia="zh-CN"/>
          <w14:textFill>
            <w14:solidFill>
              <w14:schemeClr w14:val="tx1"/>
            </w14:solidFill>
          </w14:textFill>
        </w:rPr>
        <w:t xml:space="preserve">设计； </w:t>
      </w:r>
    </w:p>
    <w:p>
      <w:pPr>
        <w:spacing w:before="0" w:after="0" w:afterAutospacing="0"/>
        <w:ind w:left="0" w:right="0" w:firstLine="420" w:firstLineChars="200"/>
        <w:rPr>
          <w:rFonts w:hint="eastAsia" w:ascii="宋体" w:hAnsi="宋体"/>
          <w:color w:val="000000" w:themeColor="text1"/>
          <w:highlight w:val="none"/>
          <w:lang w:val="en-US" w:eastAsia="zh-CN"/>
          <w14:textFill>
            <w14:solidFill>
              <w14:schemeClr w14:val="tx1"/>
            </w14:solidFill>
          </w14:textFill>
        </w:rPr>
      </w:pPr>
      <w:r>
        <w:rPr>
          <w:rFonts w:hint="default" w:ascii="宋体" w:hAnsi="宋体"/>
          <w:color w:val="000000" w:themeColor="text1"/>
          <w:highlight w:val="none"/>
          <w:lang w:val="en-US" w:eastAsia="zh-CN"/>
          <w14:textFill>
            <w14:solidFill>
              <w14:schemeClr w14:val="tx1"/>
            </w14:solidFill>
          </w14:textFill>
        </w:rPr>
        <w:t>②设计方案经相关部门批准后</w:t>
      </w:r>
      <w:r>
        <w:rPr>
          <w:rFonts w:hint="eastAsia" w:ascii="宋体" w:hAnsi="宋体"/>
          <w:color w:val="000000" w:themeColor="text1"/>
          <w:highlight w:val="none"/>
          <w:lang w:val="en-US" w:eastAsia="zh-CN"/>
          <w14:textFill>
            <w14:solidFill>
              <w14:schemeClr w14:val="tx1"/>
            </w14:solidFill>
          </w14:textFill>
        </w:rPr>
        <w:t>10</w:t>
      </w:r>
      <w:r>
        <w:rPr>
          <w:rFonts w:hint="default" w:ascii="宋体" w:hAnsi="宋体"/>
          <w:color w:val="000000" w:themeColor="text1"/>
          <w:highlight w:val="none"/>
          <w:lang w:val="en-US" w:eastAsia="zh-CN"/>
          <w14:textFill>
            <w14:solidFill>
              <w14:schemeClr w14:val="tx1"/>
            </w14:solidFill>
          </w14:textFill>
        </w:rPr>
        <w:t>日历天内完成初步设计；</w:t>
      </w:r>
    </w:p>
    <w:p>
      <w:pPr>
        <w:spacing w:before="0" w:after="0" w:afterAutospacing="0"/>
        <w:ind w:left="0" w:right="0" w:firstLine="420" w:firstLineChars="200"/>
        <w:rPr>
          <w:rFonts w:hint="eastAsia" w:ascii="宋体" w:hAnsi="宋体"/>
          <w:color w:val="000000" w:themeColor="text1"/>
          <w:highlight w:val="none"/>
          <w:lang w:val="en-US" w:eastAsia="zh-CN"/>
          <w14:textFill>
            <w14:solidFill>
              <w14:schemeClr w14:val="tx1"/>
            </w14:solidFill>
          </w14:textFill>
        </w:rPr>
      </w:pPr>
      <w:r>
        <w:rPr>
          <w:rFonts w:hint="default" w:ascii="宋体" w:hAnsi="宋体"/>
          <w:color w:val="000000" w:themeColor="text1"/>
          <w:highlight w:val="none"/>
          <w:lang w:val="en-US" w:eastAsia="zh-CN"/>
          <w14:textFill>
            <w14:solidFill>
              <w14:schemeClr w14:val="tx1"/>
            </w14:solidFill>
          </w14:textFill>
        </w:rPr>
        <w:t>③初步设计审查批准后</w:t>
      </w:r>
      <w:r>
        <w:rPr>
          <w:rFonts w:hint="eastAsia" w:ascii="宋体" w:hAnsi="宋体"/>
          <w:color w:val="000000" w:themeColor="text1"/>
          <w:highlight w:val="none"/>
          <w:lang w:val="en-US" w:eastAsia="zh-CN"/>
          <w14:textFill>
            <w14:solidFill>
              <w14:schemeClr w14:val="tx1"/>
            </w14:solidFill>
          </w14:textFill>
        </w:rPr>
        <w:t>15</w:t>
      </w:r>
      <w:r>
        <w:rPr>
          <w:rFonts w:hint="default" w:ascii="宋体" w:hAnsi="宋体"/>
          <w:color w:val="000000" w:themeColor="text1"/>
          <w:highlight w:val="none"/>
          <w:lang w:val="en-US" w:eastAsia="zh-CN"/>
          <w14:textFill>
            <w14:solidFill>
              <w14:schemeClr w14:val="tx1"/>
            </w14:solidFill>
          </w14:textFill>
        </w:rPr>
        <w:t>日历天内完成所有施工图设计；</w:t>
      </w:r>
    </w:p>
    <w:p>
      <w:pPr>
        <w:spacing w:before="0" w:after="0" w:afterAutospacing="0"/>
        <w:ind w:left="0" w:right="0" w:firstLine="420" w:firstLineChars="200"/>
        <w:rPr>
          <w:rFonts w:hint="eastAsia" w:ascii="宋体" w:hAnsi="宋体"/>
          <w:color w:val="000000" w:themeColor="text1"/>
          <w:highlight w:val="none"/>
          <w:lang w:val="en-US" w:eastAsia="zh-CN"/>
          <w14:textFill>
            <w14:solidFill>
              <w14:schemeClr w14:val="tx1"/>
            </w14:solidFill>
          </w14:textFill>
        </w:rPr>
      </w:pPr>
      <w:r>
        <w:rPr>
          <w:rFonts w:hint="default" w:ascii="宋体" w:hAnsi="宋体"/>
          <w:color w:val="000000" w:themeColor="text1"/>
          <w:highlight w:val="none"/>
          <w:lang w:val="en-US" w:eastAsia="zh-CN"/>
          <w14:textFill>
            <w14:solidFill>
              <w14:schemeClr w14:val="tx1"/>
            </w14:solidFill>
          </w14:textFill>
        </w:rPr>
        <w:t>④施工图设计经审查后</w:t>
      </w:r>
      <w:r>
        <w:rPr>
          <w:rFonts w:hint="eastAsia" w:ascii="宋体" w:hAnsi="宋体"/>
          <w:color w:val="000000" w:themeColor="text1"/>
          <w:highlight w:val="none"/>
          <w:lang w:val="en-US" w:eastAsia="zh-CN"/>
          <w14:textFill>
            <w14:solidFill>
              <w14:schemeClr w14:val="tx1"/>
            </w14:solidFill>
          </w14:textFill>
        </w:rPr>
        <w:t>5</w:t>
      </w:r>
      <w:r>
        <w:rPr>
          <w:rFonts w:hint="default" w:ascii="宋体" w:hAnsi="宋体"/>
          <w:color w:val="000000" w:themeColor="text1"/>
          <w:highlight w:val="none"/>
          <w:lang w:val="en-US" w:eastAsia="zh-CN"/>
          <w14:textFill>
            <w14:solidFill>
              <w14:schemeClr w14:val="tx1"/>
            </w14:solidFill>
          </w14:textFill>
        </w:rPr>
        <w:t>日历天内完成补充、修改；</w:t>
      </w:r>
    </w:p>
    <w:p>
      <w:pPr>
        <w:spacing w:before="0" w:after="0" w:afterAutospacing="0"/>
        <w:ind w:left="0" w:right="0" w:firstLine="420" w:firstLineChars="200"/>
        <w:rPr>
          <w:rFonts w:hint="eastAsia" w:ascii="宋体" w:hAnsi="宋体"/>
          <w:color w:val="000000" w:themeColor="text1"/>
          <w:highlight w:val="none"/>
          <w:lang w:val="en-US" w:eastAsia="zh-CN"/>
          <w14:textFill>
            <w14:solidFill>
              <w14:schemeClr w14:val="tx1"/>
            </w14:solidFill>
          </w14:textFill>
        </w:rPr>
      </w:pPr>
      <w:r>
        <w:rPr>
          <w:rFonts w:hint="default" w:ascii="宋体" w:hAnsi="宋体"/>
          <w:color w:val="000000" w:themeColor="text1"/>
          <w:highlight w:val="none"/>
          <w:lang w:val="en-US" w:eastAsia="zh-CN"/>
          <w14:textFill>
            <w14:solidFill>
              <w14:schemeClr w14:val="tx1"/>
            </w14:solidFill>
          </w14:textFill>
        </w:rPr>
        <w:t>⑤施工配合：从工程项目施工阶段开始至工程竣工验收。</w:t>
      </w:r>
    </w:p>
    <w:p>
      <w:pPr>
        <w:spacing w:before="0" w:after="0" w:afterAutospacing="0"/>
        <w:ind w:left="0" w:right="0" w:firstLine="420" w:firstLineChars="200"/>
        <w:rPr>
          <w:rFonts w:hint="default"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eastAsia="zh-CN"/>
          <w14:textFill>
            <w14:solidFill>
              <w14:schemeClr w14:val="tx1"/>
            </w14:solidFill>
          </w14:textFill>
        </w:rPr>
        <w:t>项目地点：</w:t>
      </w:r>
      <w:r>
        <w:rPr>
          <w:rFonts w:hint="eastAsia" w:ascii="宋体" w:hAnsi="宋体"/>
          <w:color w:val="000000" w:themeColor="text1"/>
          <w:highlight w:val="none"/>
          <w:lang w:val="en-US" w:eastAsia="zh-CN"/>
          <w14:textFill>
            <w14:solidFill>
              <w14:schemeClr w14:val="tx1"/>
            </w14:solidFill>
          </w14:textFill>
        </w:rPr>
        <w:t>南宁市江南区</w:t>
      </w:r>
    </w:p>
    <w:p>
      <w:pPr>
        <w:spacing w:before="0" w:after="0" w:afterAutospacing="0"/>
        <w:ind w:left="0" w:leftChars="0" w:right="0" w:firstLine="0" w:firstLineChars="0"/>
        <w:rPr>
          <w:rFonts w:ascii="宋体" w:hAnsi="宋体"/>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3.比选申请人资格要求</w:t>
      </w:r>
    </w:p>
    <w:p>
      <w:pPr>
        <w:spacing w:before="0" w:after="0" w:afterAutospacing="0"/>
        <w:ind w:left="0" w:right="0" w:firstLine="420" w:firstLineChars="200"/>
        <w:rPr>
          <w:rFonts w:hint="eastAsia"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3.1比选申请人为中华人民共和国境内依法设立的法人或其他组织。</w:t>
      </w:r>
    </w:p>
    <w:p>
      <w:pPr>
        <w:spacing w:before="0" w:after="0" w:afterAutospacing="0"/>
        <w:ind w:left="0" w:right="0" w:firstLine="420" w:firstLineChars="200"/>
        <w:rPr>
          <w:rFonts w:hint="default"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3.2 资质要求：具备工程设计综合</w:t>
      </w:r>
      <w:r>
        <w:rPr>
          <w:rFonts w:hint="default" w:ascii="宋体" w:hAnsi="宋体"/>
          <w:color w:val="000000" w:themeColor="text1"/>
          <w:highlight w:val="none"/>
          <w:lang w:val="en-US" w:eastAsia="zh-CN"/>
          <w14:textFill>
            <w14:solidFill>
              <w14:schemeClr w14:val="tx1"/>
            </w14:solidFill>
          </w14:textFill>
        </w:rPr>
        <w:t>甲级资质或者工程设计市政行业乙级及以上资质</w:t>
      </w:r>
      <w:r>
        <w:rPr>
          <w:rFonts w:hint="eastAsia" w:ascii="宋体" w:hAnsi="宋体"/>
          <w:color w:val="000000" w:themeColor="text1"/>
          <w:highlight w:val="none"/>
          <w:lang w:val="en-US" w:eastAsia="zh-CN"/>
          <w14:textFill>
            <w14:solidFill>
              <w14:schemeClr w14:val="tx1"/>
            </w14:solidFill>
          </w14:textFill>
        </w:rPr>
        <w:t>或工程设计市政行业（道路工程）专业乙级及以上资质。</w:t>
      </w:r>
    </w:p>
    <w:p>
      <w:pPr>
        <w:spacing w:before="0" w:after="0" w:afterAutospacing="0"/>
        <w:ind w:left="0" w:right="0" w:firstLine="420" w:firstLineChars="200"/>
        <w:rPr>
          <w:rFonts w:hint="default"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3.3业绩条件：比选申请人自2021年1月1日至比选申请截止时间前，承接过（完工/在建项目）1个及以上40万元（含）以上的市政工程设计项目。</w:t>
      </w:r>
    </w:p>
    <w:p>
      <w:pPr>
        <w:spacing w:before="0" w:after="0" w:afterAutospacing="0"/>
        <w:ind w:left="0" w:right="0" w:firstLine="420" w:firstLineChars="200"/>
        <w:rPr>
          <w:rFonts w:hint="default"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3.4 人员要求：项目负责人的资格要求具有工程相关专业中级职称（含）</w:t>
      </w:r>
      <w:r>
        <w:rPr>
          <w:rFonts w:hint="default" w:ascii="宋体" w:hAnsi="宋体"/>
          <w:color w:val="000000" w:themeColor="text1"/>
          <w:highlight w:val="none"/>
          <w:lang w:val="en-US" w:eastAsia="zh-CN"/>
          <w14:textFill>
            <w14:solidFill>
              <w14:schemeClr w14:val="tx1"/>
            </w14:solidFill>
          </w14:textFill>
        </w:rPr>
        <w:t>以上</w:t>
      </w:r>
      <w:r>
        <w:rPr>
          <w:rFonts w:hint="eastAsia" w:ascii="宋体" w:hAnsi="宋体"/>
          <w:color w:val="000000" w:themeColor="text1"/>
          <w:highlight w:val="none"/>
          <w:lang w:val="en-US" w:eastAsia="zh-CN"/>
          <w14:textFill>
            <w14:solidFill>
              <w14:schemeClr w14:val="tx1"/>
            </w14:solidFill>
          </w14:textFill>
        </w:rPr>
        <w:t>。</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3.5</w:t>
      </w:r>
      <w:r>
        <w:rPr>
          <w:rFonts w:hint="eastAsia" w:ascii="宋体" w:hAnsi="宋体"/>
          <w:color w:val="000000" w:themeColor="text1"/>
          <w:highlight w:val="none"/>
          <w14:textFill>
            <w14:solidFill>
              <w14:schemeClr w14:val="tx1"/>
            </w14:solidFill>
          </w14:textFill>
        </w:rPr>
        <w:t>比选申请人没有处于被行政主管部门或业主取消比选申请资格的处罚期内，且没有处于被责令停业，财产被接管、冻结、破产状态；比选申请截止时间前3年内没有骗取中选、严重违约或重大质量安全责任事故的情况；</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hint="eastAsia" w:ascii="宋体" w:hAnsi="宋体"/>
          <w:color w:val="000000" w:themeColor="text1"/>
          <w:highlight w:val="none"/>
          <w:lang w:val="en-US" w:eastAsia="zh-CN"/>
          <w14:textFill>
            <w14:solidFill>
              <w14:schemeClr w14:val="tx1"/>
            </w14:solidFill>
          </w14:textFill>
        </w:rPr>
        <w:t>6</w:t>
      </w:r>
      <w:r>
        <w:rPr>
          <w:rFonts w:hint="eastAsia" w:ascii="宋体" w:hAnsi="宋体"/>
          <w:color w:val="000000" w:themeColor="text1"/>
          <w:highlight w:val="none"/>
          <w14:textFill>
            <w14:solidFill>
              <w14:schemeClr w14:val="tx1"/>
            </w14:solidFill>
          </w14:textFill>
        </w:rPr>
        <w:t>单位负责人为同一人或者存在控股、管理关系的不同单位，不得参加同一标段比选申请或者未划分标段的同一比选项目比选申请。</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hint="eastAsia" w:ascii="宋体" w:hAnsi="宋体"/>
          <w:color w:val="000000" w:themeColor="text1"/>
          <w:highlight w:val="none"/>
          <w:lang w:val="en-US" w:eastAsia="zh-CN"/>
          <w14:textFill>
            <w14:solidFill>
              <w14:schemeClr w14:val="tx1"/>
            </w14:solidFill>
          </w14:textFill>
        </w:rPr>
        <w:t>7</w:t>
      </w:r>
      <w:r>
        <w:rPr>
          <w:rFonts w:hint="eastAsia" w:ascii="宋体" w:hAnsi="宋体"/>
          <w:color w:val="000000" w:themeColor="text1"/>
          <w:highlight w:val="none"/>
          <w14:textFill>
            <w14:solidFill>
              <w14:schemeClr w14:val="tx1"/>
            </w14:solidFill>
          </w14:textFill>
        </w:rPr>
        <w:t>本项目不接受联合体比选申请。</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4.资格审查方式</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本项目对比选申请人的资格审查采用资格后审方式，只有资格审查合格的比选申请人才有可能被授予合同。</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5.比选文件的获取</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5.1比选文件获取：</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本项目不发放纸质文件，请各比选申请人自行网上下载。下载网址：</w:t>
      </w:r>
      <w:r>
        <w:rPr>
          <w:rFonts w:hint="eastAsia" w:ascii="宋体" w:hAnsi="宋体"/>
          <w:color w:val="000000" w:themeColor="text1"/>
          <w:highlight w:val="none"/>
          <w:lang w:val="en-US" w:eastAsia="zh-CN"/>
          <w14:textFill>
            <w14:solidFill>
              <w14:schemeClr w14:val="tx1"/>
            </w14:solidFill>
          </w14:textFill>
        </w:rPr>
        <w:t>南宁轨道地产集团有限责任公司</w:t>
      </w:r>
      <w:r>
        <w:rPr>
          <w:rFonts w:hint="eastAsia" w:ascii="宋体" w:hAnsi="宋体"/>
          <w:color w:val="000000" w:themeColor="text1"/>
          <w:highlight w:val="none"/>
          <w14:textFill>
            <w14:solidFill>
              <w14:schemeClr w14:val="tx1"/>
            </w14:solidFill>
          </w14:textFill>
        </w:rPr>
        <w:t>官网(http://www.nngddc.com）。</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 xml:space="preserve">注：比选申请人如未完整下载相关文件，或由于未及时关注比选文件补充通知（补遗）、答疑等相关项目信息而影响比选申请的，其责任由比选申请人自行承担。 </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6.</w:t>
      </w:r>
      <w:r>
        <w:rPr>
          <w:rFonts w:ascii="宋体" w:hAnsi="宋体"/>
          <w:b/>
          <w:color w:val="000000" w:themeColor="text1"/>
          <w:highlight w:val="none"/>
          <w14:textFill>
            <w14:solidFill>
              <w14:schemeClr w14:val="tx1"/>
            </w14:solidFill>
          </w14:textFill>
        </w:rPr>
        <w:t>比选申请截止时间</w:t>
      </w:r>
      <w:r>
        <w:rPr>
          <w:rFonts w:hint="eastAsia" w:ascii="宋体" w:hAnsi="宋体"/>
          <w:b/>
          <w:color w:val="000000" w:themeColor="text1"/>
          <w:highlight w:val="none"/>
          <w14:textFill>
            <w14:solidFill>
              <w14:schemeClr w14:val="tx1"/>
            </w14:solidFill>
          </w14:textFill>
        </w:rPr>
        <w:t>和</w:t>
      </w:r>
      <w:r>
        <w:rPr>
          <w:rFonts w:ascii="宋体" w:hAnsi="宋体"/>
          <w:b/>
          <w:color w:val="000000" w:themeColor="text1"/>
          <w:highlight w:val="none"/>
          <w14:textFill>
            <w14:solidFill>
              <w14:schemeClr w14:val="tx1"/>
            </w14:solidFill>
          </w14:textFill>
        </w:rPr>
        <w:t>地点</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6.1比选申请文件须密封后于</w:t>
      </w:r>
      <w:r>
        <w:rPr>
          <w:rFonts w:hint="eastAsia" w:ascii="宋体" w:hAnsi="宋体"/>
          <w:b/>
          <w:color w:val="000000" w:themeColor="text1"/>
          <w:highlight w:val="none"/>
          <w14:textFill>
            <w14:solidFill>
              <w14:schemeClr w14:val="tx1"/>
            </w14:solidFill>
          </w14:textFill>
        </w:rPr>
        <w:t>202</w:t>
      </w:r>
      <w:r>
        <w:rPr>
          <w:rFonts w:hint="eastAsia" w:ascii="宋体" w:hAnsi="宋体"/>
          <w:b/>
          <w:color w:val="000000" w:themeColor="text1"/>
          <w:highlight w:val="none"/>
          <w:lang w:val="en-US" w:eastAsia="zh-CN"/>
          <w14:textFill>
            <w14:solidFill>
              <w14:schemeClr w14:val="tx1"/>
            </w14:solidFill>
          </w14:textFill>
        </w:rPr>
        <w:t>4</w:t>
      </w:r>
      <w:r>
        <w:rPr>
          <w:rFonts w:hint="eastAsia" w:ascii="宋体" w:hAnsi="宋体"/>
          <w:b/>
          <w:color w:val="000000" w:themeColor="text1"/>
          <w:highlight w:val="none"/>
          <w14:textFill>
            <w14:solidFill>
              <w14:schemeClr w14:val="tx1"/>
            </w14:solidFill>
          </w14:textFill>
        </w:rPr>
        <w:t>年</w:t>
      </w:r>
      <w:r>
        <w:rPr>
          <w:rFonts w:hint="eastAsia" w:ascii="宋体" w:hAnsi="宋体"/>
          <w:b/>
          <w:color w:val="000000" w:themeColor="text1"/>
          <w:highlight w:val="none"/>
          <w:u w:val="single"/>
          <w:lang w:val="en-US" w:eastAsia="zh-CN"/>
          <w14:textFill>
            <w14:solidFill>
              <w14:schemeClr w14:val="tx1"/>
            </w14:solidFill>
          </w14:textFill>
        </w:rPr>
        <w:t>6</w:t>
      </w:r>
      <w:r>
        <w:rPr>
          <w:rFonts w:hint="eastAsia" w:ascii="宋体" w:hAnsi="宋体"/>
          <w:b/>
          <w:color w:val="000000" w:themeColor="text1"/>
          <w:highlight w:val="none"/>
          <w14:textFill>
            <w14:solidFill>
              <w14:schemeClr w14:val="tx1"/>
            </w14:solidFill>
          </w14:textFill>
        </w:rPr>
        <w:t>月</w:t>
      </w:r>
      <w:r>
        <w:rPr>
          <w:rFonts w:hint="eastAsia" w:ascii="宋体" w:hAnsi="宋体"/>
          <w:b/>
          <w:color w:val="000000" w:themeColor="text1"/>
          <w:highlight w:val="none"/>
          <w:u w:val="single"/>
          <w:lang w:val="en-US" w:eastAsia="zh-CN"/>
          <w14:textFill>
            <w14:solidFill>
              <w14:schemeClr w14:val="tx1"/>
            </w14:solidFill>
          </w14:textFill>
        </w:rPr>
        <w:t>19</w:t>
      </w:r>
      <w:r>
        <w:rPr>
          <w:rFonts w:hint="eastAsia" w:ascii="宋体" w:hAnsi="宋体"/>
          <w:b/>
          <w:color w:val="000000" w:themeColor="text1"/>
          <w:highlight w:val="none"/>
          <w14:textFill>
            <w14:solidFill>
              <w14:schemeClr w14:val="tx1"/>
            </w14:solidFill>
          </w14:textFill>
        </w:rPr>
        <w:t>日9时30分</w:t>
      </w:r>
      <w:r>
        <w:rPr>
          <w:rFonts w:hint="eastAsia" w:ascii="宋体" w:hAnsi="宋体"/>
          <w:color w:val="000000" w:themeColor="text1"/>
          <w:highlight w:val="none"/>
          <w14:textFill>
            <w14:solidFill>
              <w14:schemeClr w14:val="tx1"/>
            </w14:solidFill>
          </w14:textFill>
        </w:rPr>
        <w:t>（北京时间）</w:t>
      </w:r>
      <w:r>
        <w:rPr>
          <w:rFonts w:hint="eastAsia" w:ascii="宋体" w:hAnsi="宋体"/>
          <w:color w:val="000000" w:themeColor="text1"/>
          <w:highlight w:val="none"/>
          <w:lang w:val="en-US" w:eastAsia="zh-CN"/>
          <w14:textFill>
            <w14:solidFill>
              <w14:schemeClr w14:val="tx1"/>
            </w14:solidFill>
          </w14:textFill>
        </w:rPr>
        <w:t>当日</w:t>
      </w:r>
      <w:r>
        <w:rPr>
          <w:rFonts w:hint="eastAsia" w:ascii="宋体" w:hAnsi="宋体"/>
          <w:color w:val="000000" w:themeColor="text1"/>
          <w:highlight w:val="none"/>
          <w14:textFill>
            <w14:solidFill>
              <w14:schemeClr w14:val="tx1"/>
            </w14:solidFill>
          </w14:textFill>
        </w:rPr>
        <w:t>递交，递交地点在广西南宁市青秀区凤岭北路111号南宁国际旅游中心A座1011招采</w:t>
      </w:r>
      <w:r>
        <w:rPr>
          <w:rFonts w:hint="eastAsia" w:ascii="宋体" w:hAnsi="宋体"/>
          <w:color w:val="000000" w:themeColor="text1"/>
          <w:highlight w:val="none"/>
          <w:lang w:val="en-US" w:eastAsia="zh-CN"/>
          <w14:textFill>
            <w14:solidFill>
              <w14:schemeClr w14:val="tx1"/>
            </w14:solidFill>
          </w14:textFill>
        </w:rPr>
        <w:t>/法务</w:t>
      </w:r>
      <w:r>
        <w:rPr>
          <w:rFonts w:hint="eastAsia" w:ascii="宋体" w:hAnsi="宋体"/>
          <w:color w:val="000000" w:themeColor="text1"/>
          <w:highlight w:val="none"/>
          <w14:textFill>
            <w14:solidFill>
              <w14:schemeClr w14:val="tx1"/>
            </w14:solidFill>
          </w14:textFill>
        </w:rPr>
        <w:t>管理中心；</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6.2</w:t>
      </w:r>
      <w:r>
        <w:rPr>
          <w:rFonts w:ascii="宋体" w:hAnsi="宋体"/>
          <w:color w:val="000000" w:themeColor="text1"/>
          <w:highlight w:val="none"/>
          <w14:textFill>
            <w14:solidFill>
              <w14:schemeClr w14:val="tx1"/>
            </w14:solidFill>
          </w14:textFill>
        </w:rPr>
        <w:t>逾期送达的或者未送达指定地点</w:t>
      </w:r>
      <w:r>
        <w:rPr>
          <w:rFonts w:hint="eastAsia" w:ascii="宋体" w:hAnsi="宋体"/>
          <w:color w:val="000000" w:themeColor="text1"/>
          <w:highlight w:val="none"/>
          <w14:textFill>
            <w14:solidFill>
              <w14:schemeClr w14:val="tx1"/>
            </w14:solidFill>
          </w14:textFill>
        </w:rPr>
        <w:t>或者</w:t>
      </w:r>
      <w:r>
        <w:rPr>
          <w:rFonts w:ascii="宋体" w:hAnsi="宋体"/>
          <w:color w:val="000000" w:themeColor="text1"/>
          <w:highlight w:val="none"/>
          <w14:textFill>
            <w14:solidFill>
              <w14:schemeClr w14:val="tx1"/>
            </w14:solidFill>
          </w14:textFill>
        </w:rPr>
        <w:t>未按</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文件要求密封的</w:t>
      </w:r>
      <w:r>
        <w:rPr>
          <w:rFonts w:hint="eastAsia" w:ascii="宋体" w:hAnsi="宋体"/>
          <w:color w:val="000000" w:themeColor="text1"/>
          <w:highlight w:val="none"/>
          <w14:textFill>
            <w14:solidFill>
              <w14:schemeClr w14:val="tx1"/>
            </w14:solidFill>
          </w14:textFill>
        </w:rPr>
        <w:t>比选申请</w:t>
      </w:r>
      <w:r>
        <w:rPr>
          <w:rFonts w:ascii="宋体" w:hAnsi="宋体"/>
          <w:color w:val="000000" w:themeColor="text1"/>
          <w:highlight w:val="none"/>
          <w14:textFill>
            <w14:solidFill>
              <w14:schemeClr w14:val="tx1"/>
            </w14:solidFill>
          </w14:textFill>
        </w:rPr>
        <w:t>文件将被拒绝</w:t>
      </w:r>
      <w:r>
        <w:rPr>
          <w:rFonts w:hint="eastAsia" w:ascii="宋体" w:hAnsi="宋体"/>
          <w:color w:val="000000" w:themeColor="text1"/>
          <w:highlight w:val="none"/>
          <w14:textFill>
            <w14:solidFill>
              <w14:schemeClr w14:val="tx1"/>
            </w14:solidFill>
          </w14:textFill>
        </w:rPr>
        <w:t>。</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7.发布公告的媒介</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本次比选公告在中国采购与招标网www.chinabidding.com.cn</w:t>
      </w:r>
      <w:r>
        <w:rPr>
          <w:rFonts w:hint="eastAsia" w:ascii="宋体" w:hAnsi="宋体"/>
          <w:color w:val="000000" w:themeColor="text1"/>
          <w:highlight w:val="none"/>
          <w:lang w:eastAsia="zh-CN"/>
          <w14:textFill>
            <w14:solidFill>
              <w14:schemeClr w14:val="tx1"/>
            </w14:solidFill>
          </w14:textFill>
        </w:rPr>
        <w:t>、南宁兴邕城市更新有限责任公司</w:t>
      </w:r>
      <w:r>
        <w:rPr>
          <w:rFonts w:hint="eastAsia" w:ascii="宋体" w:hAnsi="宋体"/>
          <w:color w:val="000000" w:themeColor="text1"/>
          <w:highlight w:val="none"/>
          <w14:textFill>
            <w14:solidFill>
              <w14:schemeClr w14:val="tx1"/>
            </w14:solidFill>
          </w14:textFill>
        </w:rPr>
        <w:t>官网(http://www.nngddc.com)发布。</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8.联系方式</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 人：</w:t>
      </w:r>
      <w:r>
        <w:rPr>
          <w:rFonts w:hint="eastAsia" w:ascii="宋体" w:hAnsi="宋体"/>
          <w:color w:val="000000" w:themeColor="text1"/>
          <w:highlight w:val="none"/>
          <w:u w:val="single"/>
          <w:lang w:eastAsia="zh-CN"/>
          <w14:textFill>
            <w14:solidFill>
              <w14:schemeClr w14:val="tx1"/>
            </w14:solidFill>
          </w14:textFill>
        </w:rPr>
        <w:t>南宁兴邕城市更新有限责任公司</w:t>
      </w:r>
      <w:r>
        <w:rPr>
          <w:rFonts w:hint="eastAsia" w:ascii="宋体" w:hAnsi="宋体"/>
          <w:color w:val="000000" w:themeColor="text1"/>
          <w:highlight w:val="none"/>
          <w:u w:val="single"/>
          <w14:textFill>
            <w14:solidFill>
              <w14:schemeClr w14:val="tx1"/>
            </w14:solidFill>
          </w14:textFill>
        </w:rPr>
        <w:t xml:space="preserve">  </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地    址：</w:t>
      </w:r>
      <w:r>
        <w:rPr>
          <w:rFonts w:hint="eastAsia" w:ascii="宋体" w:hAnsi="宋体"/>
          <w:color w:val="000000" w:themeColor="text1"/>
          <w:highlight w:val="none"/>
          <w:u w:val="single"/>
          <w14:textFill>
            <w14:solidFill>
              <w14:schemeClr w14:val="tx1"/>
            </w14:solidFill>
          </w14:textFill>
        </w:rPr>
        <w:t>南宁市青秀区凤岭北路111号南宁国际旅游中心A座</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邮    编：</w:t>
      </w:r>
      <w:r>
        <w:rPr>
          <w:rFonts w:hint="eastAsia" w:ascii="宋体" w:hAnsi="宋体"/>
          <w:color w:val="000000" w:themeColor="text1"/>
          <w:highlight w:val="none"/>
          <w:u w:val="single"/>
          <w14:textFill>
            <w14:solidFill>
              <w14:schemeClr w14:val="tx1"/>
            </w14:solidFill>
          </w14:textFill>
        </w:rPr>
        <w:t xml:space="preserve">530022  </w:t>
      </w:r>
      <w:r>
        <w:rPr>
          <w:rFonts w:hint="eastAsia" w:ascii="宋体" w:hAnsi="宋体"/>
          <w:color w:val="000000" w:themeColor="text1"/>
          <w:highlight w:val="none"/>
          <w14:textFill>
            <w14:solidFill>
              <w14:schemeClr w14:val="tx1"/>
            </w14:solidFill>
          </w14:textFill>
        </w:rPr>
        <w:t xml:space="preserve">                       </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联 系 人：</w:t>
      </w:r>
      <w:r>
        <w:rPr>
          <w:rFonts w:hint="eastAsia" w:ascii="宋体" w:hAnsi="宋体"/>
          <w:color w:val="000000" w:themeColor="text1"/>
          <w:highlight w:val="none"/>
          <w:u w:val="single"/>
          <w:lang w:eastAsia="zh-CN"/>
          <w14:textFill>
            <w14:solidFill>
              <w14:schemeClr w14:val="tx1"/>
            </w14:solidFill>
          </w14:textFill>
        </w:rPr>
        <w:t>杨工</w:t>
      </w:r>
      <w:r>
        <w:rPr>
          <w:rFonts w:hint="eastAsia" w:ascii="宋体" w:hAnsi="宋体"/>
          <w:color w:val="000000" w:themeColor="text1"/>
          <w:highlight w:val="none"/>
          <w:u w:val="single"/>
          <w14:textFill>
            <w14:solidFill>
              <w14:schemeClr w14:val="tx1"/>
            </w14:solidFill>
          </w14:textFill>
        </w:rPr>
        <w:t xml:space="preserve">           </w:t>
      </w:r>
    </w:p>
    <w:p>
      <w:pPr>
        <w:spacing w:before="0" w:after="0" w:afterAutospacing="0"/>
        <w:ind w:left="0" w:right="0" w:firstLine="420" w:firstLineChars="200"/>
        <w:rPr>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电    话：：</w:t>
      </w:r>
      <w:r>
        <w:rPr>
          <w:rFonts w:hint="eastAsia" w:ascii="宋体" w:hAnsi="宋体"/>
          <w:color w:val="000000" w:themeColor="text1"/>
          <w:highlight w:val="none"/>
          <w:u w:val="single"/>
          <w14:textFill>
            <w14:solidFill>
              <w14:schemeClr w14:val="tx1"/>
            </w14:solidFill>
          </w14:textFill>
        </w:rPr>
        <w:t>0771-</w:t>
      </w:r>
      <w:r>
        <w:rPr>
          <w:rFonts w:hint="eastAsia" w:ascii="宋体" w:hAnsi="宋体"/>
          <w:color w:val="000000" w:themeColor="text1"/>
          <w:highlight w:val="none"/>
          <w:u w:val="single"/>
          <w:lang w:val="en-US" w:eastAsia="zh-CN"/>
          <w14:textFill>
            <w14:solidFill>
              <w14:schemeClr w14:val="tx1"/>
            </w14:solidFill>
          </w14:textFill>
        </w:rPr>
        <w:t>5521831</w:t>
      </w:r>
      <w:r>
        <w:rPr>
          <w:rFonts w:hint="eastAsia" w:ascii="宋体" w:hAnsi="宋体"/>
          <w:color w:val="000000" w:themeColor="text1"/>
          <w:highlight w:val="none"/>
          <w:u w:val="single"/>
          <w14:textFill>
            <w14:solidFill>
              <w14:schemeClr w14:val="tx1"/>
            </w14:solidFill>
          </w14:textFill>
        </w:rPr>
        <w:t xml:space="preserve"> </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传真：/</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电子邮件：nngddchyfgb@163.com</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p>
    <w:p>
      <w:pPr>
        <w:pStyle w:val="15"/>
        <w:pageBreakBefore/>
        <w:ind w:right="-57" w:firstLine="0"/>
        <w:jc w:val="center"/>
        <w:outlineLvl w:val="0"/>
        <w:rPr>
          <w:rStyle w:val="53"/>
          <w:rFonts w:ascii="宋体" w:hAnsi="宋体" w:eastAsia="宋体"/>
          <w:color w:val="000000" w:themeColor="text1"/>
          <w:highlight w:val="none"/>
          <w14:textFill>
            <w14:solidFill>
              <w14:schemeClr w14:val="tx1"/>
            </w14:solidFill>
          </w14:textFill>
        </w:rPr>
      </w:pPr>
      <w:bookmarkStart w:id="21" w:name="_Toc322528192"/>
      <w:bookmarkEnd w:id="21"/>
      <w:bookmarkStart w:id="22" w:name="_Toc512357502"/>
      <w:bookmarkStart w:id="23" w:name="_Toc21830"/>
      <w:bookmarkStart w:id="24" w:name="_Toc24390"/>
      <w:bookmarkStart w:id="25" w:name="_Toc30950"/>
      <w:bookmarkStart w:id="26" w:name="_Toc15976"/>
      <w:bookmarkStart w:id="27" w:name="_Toc24972"/>
      <w:bookmarkStart w:id="28" w:name="_Toc4114"/>
      <w:bookmarkStart w:id="29" w:name="_Toc3495"/>
      <w:bookmarkStart w:id="30" w:name="_Toc30725"/>
      <w:bookmarkStart w:id="31" w:name="_Toc29836"/>
      <w:bookmarkStart w:id="32" w:name="_Toc12635"/>
      <w:bookmarkStart w:id="33" w:name="_Toc1230"/>
      <w:bookmarkStart w:id="34" w:name="_Toc30883"/>
      <w:bookmarkStart w:id="35" w:name="_Toc17735"/>
      <w:bookmarkStart w:id="36" w:name="_Toc22273"/>
      <w:bookmarkStart w:id="37" w:name="_Toc17240"/>
      <w:bookmarkStart w:id="38" w:name="_Toc17594"/>
      <w:bookmarkStart w:id="39" w:name="_Toc20201"/>
      <w:bookmarkStart w:id="40" w:name="_Toc18454"/>
      <w:r>
        <w:rPr>
          <w:rStyle w:val="53"/>
          <w:rFonts w:hint="eastAsia" w:ascii="宋体" w:hAnsi="宋体" w:eastAsia="宋体"/>
          <w:color w:val="000000" w:themeColor="text1"/>
          <w:highlight w:val="none"/>
          <w14:textFill>
            <w14:solidFill>
              <w14:schemeClr w14:val="tx1"/>
            </w14:solidFill>
          </w14:textFill>
        </w:rPr>
        <w:t>第二章</w:t>
      </w:r>
      <w:bookmarkEnd w:id="22"/>
      <w:r>
        <w:rPr>
          <w:rStyle w:val="53"/>
          <w:rFonts w:hint="eastAsia" w:ascii="宋体" w:hAnsi="宋体" w:eastAsia="宋体"/>
          <w:color w:val="000000" w:themeColor="text1"/>
          <w:highlight w:val="none"/>
          <w14:textFill>
            <w14:solidFill>
              <w14:schemeClr w14:val="tx1"/>
            </w14:solidFill>
          </w14:textFill>
        </w:rPr>
        <w:t>比选申请须知</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pPr>
        <w:pStyle w:val="15"/>
        <w:spacing w:before="0" w:after="0"/>
        <w:ind w:right="0" w:firstLine="0"/>
        <w:jc w:val="center"/>
        <w:rPr>
          <w:rFonts w:hAnsi="宋体"/>
          <w:b/>
          <w:color w:val="000000" w:themeColor="text1"/>
          <w:sz w:val="30"/>
          <w:szCs w:val="30"/>
          <w:highlight w:val="none"/>
          <w14:textFill>
            <w14:solidFill>
              <w14:schemeClr w14:val="tx1"/>
            </w14:solidFill>
          </w14:textFill>
        </w:rPr>
      </w:pPr>
      <w:r>
        <w:rPr>
          <w:rFonts w:hint="eastAsia" w:hAnsi="宋体"/>
          <w:b/>
          <w:color w:val="000000" w:themeColor="text1"/>
          <w:sz w:val="30"/>
          <w:szCs w:val="30"/>
          <w:highlight w:val="none"/>
          <w14:textFill>
            <w14:solidFill>
              <w14:schemeClr w14:val="tx1"/>
            </w14:solidFill>
          </w14:textFill>
        </w:rPr>
        <w:t>比选申请须知前附表</w:t>
      </w:r>
    </w:p>
    <w:tbl>
      <w:tblPr>
        <w:tblStyle w:val="35"/>
        <w:tblW w:w="9117" w:type="dxa"/>
        <w:tblInd w:w="112" w:type="dxa"/>
        <w:tblLayout w:type="fixed"/>
        <w:tblCellMar>
          <w:top w:w="0" w:type="dxa"/>
          <w:left w:w="108" w:type="dxa"/>
          <w:bottom w:w="0" w:type="dxa"/>
          <w:right w:w="108" w:type="dxa"/>
        </w:tblCellMar>
      </w:tblPr>
      <w:tblGrid>
        <w:gridCol w:w="847"/>
        <w:gridCol w:w="1559"/>
        <w:gridCol w:w="6711"/>
      </w:tblGrid>
      <w:tr>
        <w:tblPrEx>
          <w:tblCellMar>
            <w:top w:w="0" w:type="dxa"/>
            <w:left w:w="108" w:type="dxa"/>
            <w:bottom w:w="0" w:type="dxa"/>
            <w:right w:w="108" w:type="dxa"/>
          </w:tblCellMar>
        </w:tblPrEx>
        <w:trPr>
          <w:trHeight w:val="273"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条款号</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条款名称</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详细内容</w:t>
            </w:r>
          </w:p>
        </w:tc>
      </w:tr>
      <w:tr>
        <w:tblPrEx>
          <w:tblCellMar>
            <w:top w:w="0" w:type="dxa"/>
            <w:left w:w="108" w:type="dxa"/>
            <w:bottom w:w="0" w:type="dxa"/>
            <w:right w:w="108" w:type="dxa"/>
          </w:tblCellMar>
        </w:tblPrEx>
        <w:trPr>
          <w:trHeight w:val="1197"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比选人</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hint="eastAsia" w:ascii="宋体" w:hAnsi="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名称：</w:t>
            </w:r>
            <w:r>
              <w:rPr>
                <w:rFonts w:hint="eastAsia" w:ascii="宋体" w:hAnsi="宋体"/>
                <w:color w:val="000000" w:themeColor="text1"/>
                <w:highlight w:val="none"/>
                <w:lang w:eastAsia="zh-CN"/>
                <w14:textFill>
                  <w14:solidFill>
                    <w14:schemeClr w14:val="tx1"/>
                  </w14:solidFill>
                </w14:textFill>
              </w:rPr>
              <w:t>南宁市白沙半岛片区城中村改造项目安置住房小区4号地块配套基础设施-纵一路设计</w:t>
            </w:r>
          </w:p>
          <w:p>
            <w:pPr>
              <w:spacing w:before="0" w:after="0" w:afterAutospacing="0"/>
              <w:ind w:left="0" w:right="0" w:firstLine="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地址：南宁市青秀区凤岭北路111号南宁国际旅游中心A座</w:t>
            </w:r>
          </w:p>
          <w:p>
            <w:pPr>
              <w:spacing w:before="0" w:after="0" w:afterAutospacing="0"/>
              <w:ind w:left="0" w:right="0" w:firstLine="0"/>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联系人：</w:t>
            </w:r>
            <w:r>
              <w:rPr>
                <w:rFonts w:hint="eastAsia" w:ascii="宋体" w:hAnsi="宋体"/>
                <w:color w:val="000000" w:themeColor="text1"/>
                <w:highlight w:val="none"/>
                <w:lang w:eastAsia="zh-CN"/>
                <w14:textFill>
                  <w14:solidFill>
                    <w14:schemeClr w14:val="tx1"/>
                  </w14:solidFill>
                </w14:textFill>
              </w:rPr>
              <w:t>杨工</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联系电话：0771-</w:t>
            </w:r>
            <w:r>
              <w:rPr>
                <w:rFonts w:hint="eastAsia" w:ascii="宋体" w:hAnsi="宋体"/>
                <w:color w:val="000000" w:themeColor="text1"/>
                <w:highlight w:val="none"/>
                <w:lang w:val="en-US" w:eastAsia="zh-CN"/>
                <w14:textFill>
                  <w14:solidFill>
                    <w14:schemeClr w14:val="tx1"/>
                  </w14:solidFill>
                </w14:textFill>
              </w:rPr>
              <w:t>5521831</w:t>
            </w:r>
            <w:r>
              <w:rPr>
                <w:rFonts w:hint="eastAsia" w:ascii="宋体" w:hAnsi="宋体"/>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 xml:space="preserve"> </w:t>
            </w:r>
          </w:p>
        </w:tc>
      </w:tr>
      <w:tr>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1.2</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项目名称</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lang w:eastAsia="zh-CN"/>
                <w14:textFill>
                  <w14:solidFill>
                    <w14:schemeClr w14:val="tx1"/>
                  </w14:solidFill>
                </w14:textFill>
              </w:rPr>
              <w:t>南宁市白沙半岛片区城中村改造项目安置住房小区4号地块配套基础设施-纵一路设计</w:t>
            </w:r>
          </w:p>
        </w:tc>
      </w:tr>
      <w:tr>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1.3</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项目编号</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无</w:t>
            </w:r>
          </w:p>
        </w:tc>
      </w:tr>
      <w:tr>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1.4</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范围</w:t>
            </w:r>
          </w:p>
        </w:tc>
        <w:tc>
          <w:tcPr>
            <w:tcW w:w="6711"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0" w:after="0" w:afterAutospacing="0"/>
              <w:ind w:left="0" w:right="0" w:firstLine="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eastAsia="zh-CN"/>
                <w14:textFill>
                  <w14:solidFill>
                    <w14:schemeClr w14:val="tx1"/>
                  </w14:solidFill>
                </w14:textFill>
              </w:rPr>
              <w:t>南宁市白沙半岛片区城中村改造项目安置住房小区4号地块配套基础设施-纵一路设计</w:t>
            </w:r>
            <w:r>
              <w:rPr>
                <w:rFonts w:hint="eastAsia" w:ascii="宋体" w:hAnsi="宋体"/>
                <w:color w:val="000000" w:themeColor="text1"/>
                <w:highlight w:val="none"/>
                <w14:textFill>
                  <w14:solidFill>
                    <w14:schemeClr w14:val="tx1"/>
                  </w14:solidFill>
                </w14:textFill>
              </w:rPr>
              <w:t>，设计服务包含方案设计</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初步设计、施工图设计、</w:t>
            </w:r>
            <w:r>
              <w:rPr>
                <w:rFonts w:hint="eastAsia" w:ascii="宋体" w:hAnsi="宋体"/>
                <w:color w:val="000000" w:themeColor="text1"/>
                <w:highlight w:val="none"/>
                <w14:textFill>
                  <w14:solidFill>
                    <w14:schemeClr w14:val="tx1"/>
                  </w14:solidFill>
                </w14:textFill>
              </w:rPr>
              <w:t>工程概算</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施工图预算</w:t>
            </w:r>
            <w:r>
              <w:rPr>
                <w:rFonts w:hint="eastAsia" w:ascii="宋体" w:hAnsi="宋体"/>
                <w:color w:val="000000" w:themeColor="text1"/>
                <w:highlight w:val="none"/>
                <w14:textFill>
                  <w14:solidFill>
                    <w14:schemeClr w14:val="tx1"/>
                  </w14:solidFill>
                </w14:textFill>
              </w:rPr>
              <w:t>等设计成果</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规划设计审查</w:t>
            </w:r>
            <w:r>
              <w:rPr>
                <w:rFonts w:hint="eastAsia" w:ascii="宋体" w:hAnsi="宋体"/>
                <w:color w:val="000000" w:themeColor="text1"/>
                <w:highlight w:val="none"/>
                <w14:textFill>
                  <w14:solidFill>
                    <w14:schemeClr w14:val="tx1"/>
                  </w14:solidFill>
                </w14:textFill>
              </w:rPr>
              <w:t>、施工阶段配合。</w:t>
            </w:r>
          </w:p>
        </w:tc>
      </w:tr>
      <w:tr>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1.5</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服务期</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right="0"/>
              <w:rPr>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自比选人与中选人签订的合同生效之日起至项目竣工验收。</w:t>
            </w:r>
          </w:p>
        </w:tc>
      </w:tr>
      <w:tr>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1.6</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资金来源</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hint="default" w:ascii="宋体" w:hAnsi="宋体" w:eastAsia="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财政资金</w:t>
            </w:r>
            <w:bookmarkStart w:id="1516" w:name="_GoBack"/>
            <w:bookmarkEnd w:id="1516"/>
          </w:p>
        </w:tc>
      </w:tr>
      <w:tr>
        <w:tblPrEx>
          <w:tblCellMar>
            <w:top w:w="0" w:type="dxa"/>
            <w:left w:w="108" w:type="dxa"/>
            <w:bottom w:w="0" w:type="dxa"/>
            <w:right w:w="108" w:type="dxa"/>
          </w:tblCellMar>
        </w:tblPrEx>
        <w:trPr>
          <w:trHeight w:val="852"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1.7</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上限控制价</w:t>
            </w:r>
          </w:p>
        </w:tc>
        <w:tc>
          <w:tcPr>
            <w:tcW w:w="6711"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0" w:after="0" w:afterAutospacing="0"/>
              <w:ind w:left="0" w:right="0" w:firstLine="0"/>
              <w:jc w:val="both"/>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上限控制价（含税）：</w:t>
            </w:r>
            <w:r>
              <w:rPr>
                <w:rFonts w:hint="eastAsia" w:ascii="宋体" w:hAnsi="宋体"/>
                <w:color w:val="000000" w:themeColor="text1"/>
                <w:highlight w:val="none"/>
                <w:lang w:val="en-US" w:eastAsia="zh-CN"/>
                <w14:textFill>
                  <w14:solidFill>
                    <w14:schemeClr w14:val="tx1"/>
                  </w14:solidFill>
                </w14:textFill>
              </w:rPr>
              <w:t xml:space="preserve">611,600.00 </w:t>
            </w:r>
            <w:r>
              <w:rPr>
                <w:rFonts w:hint="eastAsia" w:ascii="宋体" w:hAnsi="宋体"/>
                <w:color w:val="000000" w:themeColor="text1"/>
                <w:highlight w:val="none"/>
                <w14:textFill>
                  <w14:solidFill>
                    <w14:schemeClr w14:val="tx1"/>
                  </w14:solidFill>
                </w14:textFill>
              </w:rPr>
              <w:t>元。比选申请报价高于上限控制价（或分项上限控制价）的比选申请文件将按否决比选申请处理。</w:t>
            </w:r>
          </w:p>
        </w:tc>
      </w:tr>
      <w:tr>
        <w:tblPrEx>
          <w:tblCellMar>
            <w:top w:w="0" w:type="dxa"/>
            <w:left w:w="108" w:type="dxa"/>
            <w:bottom w:w="0" w:type="dxa"/>
            <w:right w:w="108" w:type="dxa"/>
          </w:tblCellMar>
        </w:tblPrEx>
        <w:trPr>
          <w:trHeight w:val="279"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比选申请人应具备的资格条件</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420" w:firstLineChars="200"/>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3.1比选申请人为中华人民共和国境内依法设立的法人或其他组织</w:t>
            </w:r>
          </w:p>
          <w:p>
            <w:pPr>
              <w:spacing w:before="0" w:after="0" w:afterAutospacing="0"/>
              <w:ind w:left="0" w:right="0" w:firstLine="420" w:firstLineChars="200"/>
              <w:rPr>
                <w:rFonts w:hint="default"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3.2 </w:t>
            </w:r>
            <w:r>
              <w:rPr>
                <w:rFonts w:hint="eastAsia" w:ascii="宋体" w:hAnsi="宋体"/>
                <w:color w:val="000000" w:themeColor="text1"/>
                <w:highlight w:val="none"/>
                <w:lang w:val="en-US" w:eastAsia="zh-CN"/>
                <w14:textFill>
                  <w14:solidFill>
                    <w14:schemeClr w14:val="tx1"/>
                  </w14:solidFill>
                </w14:textFill>
              </w:rPr>
              <w:t>资质条件：具备工程设计综合</w:t>
            </w:r>
            <w:r>
              <w:rPr>
                <w:rFonts w:hint="default" w:ascii="宋体" w:hAnsi="宋体"/>
                <w:color w:val="000000" w:themeColor="text1"/>
                <w:highlight w:val="none"/>
                <w:lang w:val="en-US" w:eastAsia="zh-CN"/>
                <w14:textFill>
                  <w14:solidFill>
                    <w14:schemeClr w14:val="tx1"/>
                  </w14:solidFill>
                </w14:textFill>
              </w:rPr>
              <w:t>甲级资质或者工程设计市政行业乙级及以上资质</w:t>
            </w:r>
            <w:r>
              <w:rPr>
                <w:rFonts w:hint="eastAsia" w:ascii="宋体" w:hAnsi="宋体"/>
                <w:color w:val="000000" w:themeColor="text1"/>
                <w:highlight w:val="none"/>
                <w:lang w:val="en-US" w:eastAsia="zh-CN"/>
                <w14:textFill>
                  <w14:solidFill>
                    <w14:schemeClr w14:val="tx1"/>
                  </w14:solidFill>
                </w14:textFill>
              </w:rPr>
              <w:t>或工程设计市政行业（道路工程）专业乙级及以上资质。</w:t>
            </w:r>
          </w:p>
          <w:p>
            <w:pPr>
              <w:spacing w:before="0" w:after="0" w:afterAutospacing="0"/>
              <w:ind w:left="0" w:right="0" w:firstLine="420" w:firstLineChars="200"/>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3.3</w:t>
            </w:r>
            <w:r>
              <w:rPr>
                <w:rFonts w:hint="eastAsia" w:ascii="宋体" w:hAnsi="宋体"/>
                <w:color w:val="000000" w:themeColor="text1"/>
                <w:highlight w:val="none"/>
                <w14:textFill>
                  <w14:solidFill>
                    <w14:schemeClr w14:val="tx1"/>
                  </w14:solidFill>
                </w14:textFill>
              </w:rPr>
              <w:t>业绩条件：</w:t>
            </w:r>
            <w:r>
              <w:rPr>
                <w:rFonts w:hint="eastAsia" w:ascii="宋体" w:hAnsi="宋体"/>
                <w:color w:val="000000" w:themeColor="text1"/>
                <w:highlight w:val="none"/>
                <w:lang w:val="en-US" w:eastAsia="zh-CN"/>
                <w14:textFill>
                  <w14:solidFill>
                    <w14:schemeClr w14:val="tx1"/>
                  </w14:solidFill>
                </w14:textFill>
              </w:rPr>
              <w:t>比选申请人自2021年1月1日至比选申请截止时间前，承接过（完工/在建项目）1个及以上40万元（含）以上的市政工程设计项目。</w:t>
            </w:r>
          </w:p>
          <w:p>
            <w:pPr>
              <w:spacing w:before="0" w:after="0" w:afterAutospacing="0"/>
              <w:ind w:left="0" w:right="0" w:firstLine="420" w:firstLineChars="200"/>
              <w:rPr>
                <w:rFonts w:hint="default"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3.4 人员要求：项目负责人的资格要求具有工程相关专业中级职称（含）</w:t>
            </w:r>
            <w:r>
              <w:rPr>
                <w:rFonts w:hint="default" w:ascii="宋体" w:hAnsi="宋体"/>
                <w:color w:val="000000" w:themeColor="text1"/>
                <w:highlight w:val="none"/>
                <w:lang w:val="en-US" w:eastAsia="zh-CN"/>
                <w14:textFill>
                  <w14:solidFill>
                    <w14:schemeClr w14:val="tx1"/>
                  </w14:solidFill>
                </w14:textFill>
              </w:rPr>
              <w:t>以上</w:t>
            </w:r>
            <w:r>
              <w:rPr>
                <w:rFonts w:hint="eastAsia" w:ascii="宋体" w:hAnsi="宋体"/>
                <w:color w:val="000000" w:themeColor="text1"/>
                <w:highlight w:val="none"/>
                <w:lang w:val="en-US" w:eastAsia="zh-CN"/>
                <w14:textFill>
                  <w14:solidFill>
                    <w14:schemeClr w14:val="tx1"/>
                  </w14:solidFill>
                </w14:textFill>
              </w:rPr>
              <w:t>。</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3.5</w:t>
            </w:r>
            <w:r>
              <w:rPr>
                <w:rFonts w:hint="eastAsia" w:ascii="宋体" w:hAnsi="宋体"/>
                <w:color w:val="000000" w:themeColor="text1"/>
                <w:highlight w:val="none"/>
                <w14:textFill>
                  <w14:solidFill>
                    <w14:schemeClr w14:val="tx1"/>
                  </w14:solidFill>
                </w14:textFill>
              </w:rPr>
              <w:t>比选申请人没有处于被行政主管部门或业主取消比选申请资格的处罚期内，且没有处于被责令停业，财产被接管、冻结、破产状态；比选申请截止时间前3年内没有骗取中选、严重违约或重大质量安全责任事故的情况；</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hint="eastAsia" w:ascii="宋体" w:hAnsi="宋体"/>
                <w:color w:val="000000" w:themeColor="text1"/>
                <w:highlight w:val="none"/>
                <w:lang w:val="en-US" w:eastAsia="zh-CN"/>
                <w14:textFill>
                  <w14:solidFill>
                    <w14:schemeClr w14:val="tx1"/>
                  </w14:solidFill>
                </w14:textFill>
              </w:rPr>
              <w:t>6</w:t>
            </w:r>
            <w:r>
              <w:rPr>
                <w:rFonts w:hint="eastAsia" w:ascii="宋体" w:hAnsi="宋体"/>
                <w:color w:val="000000" w:themeColor="text1"/>
                <w:highlight w:val="none"/>
                <w14:textFill>
                  <w14:solidFill>
                    <w14:schemeClr w14:val="tx1"/>
                  </w14:solidFill>
                </w14:textFill>
              </w:rPr>
              <w:t>单位负责人为同一人或者存在控股、管理关系的不同单位，不得参加同一标段比选申请或者未划分标段的同一比选项目比选申请。</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hint="eastAsia" w:ascii="宋体" w:hAnsi="宋体"/>
                <w:color w:val="000000" w:themeColor="text1"/>
                <w:highlight w:val="none"/>
                <w:lang w:val="en-US" w:eastAsia="zh-CN"/>
                <w14:textFill>
                  <w14:solidFill>
                    <w14:schemeClr w14:val="tx1"/>
                  </w14:solidFill>
                </w14:textFill>
              </w:rPr>
              <w:t>7</w:t>
            </w:r>
            <w:r>
              <w:rPr>
                <w:rFonts w:hint="eastAsia" w:ascii="宋体" w:hAnsi="宋体"/>
                <w:color w:val="000000" w:themeColor="text1"/>
                <w:highlight w:val="none"/>
                <w14:textFill>
                  <w14:solidFill>
                    <w14:schemeClr w14:val="tx1"/>
                  </w14:solidFill>
                </w14:textFill>
              </w:rPr>
              <w:t>本项目不接受联合体比选申请。</w:t>
            </w:r>
          </w:p>
        </w:tc>
      </w:tr>
      <w:tr>
        <w:tblPrEx>
          <w:tblCellMar>
            <w:top w:w="0" w:type="dxa"/>
            <w:left w:w="108" w:type="dxa"/>
            <w:bottom w:w="0" w:type="dxa"/>
            <w:right w:w="108" w:type="dxa"/>
          </w:tblCellMar>
        </w:tblPrEx>
        <w:trPr>
          <w:trHeight w:val="241" w:hRule="atLeast"/>
        </w:trPr>
        <w:tc>
          <w:tcPr>
            <w:tcW w:w="847" w:type="dxa"/>
            <w:vMerge w:val="restart"/>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比选申请人要求澄清比选文件</w:t>
            </w:r>
          </w:p>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对比选文件提出疑问的截止时间：</w:t>
            </w:r>
            <w:r>
              <w:rPr>
                <w:rFonts w:hint="eastAsia" w:ascii="宋体" w:hAnsi="宋体"/>
                <w:b/>
                <w:color w:val="000000" w:themeColor="text1"/>
                <w:highlight w:val="none"/>
                <w14:textFill>
                  <w14:solidFill>
                    <w14:schemeClr w14:val="tx1"/>
                  </w14:solidFill>
                </w14:textFill>
              </w:rPr>
              <w:t>202</w:t>
            </w:r>
            <w:r>
              <w:rPr>
                <w:rFonts w:hint="eastAsia" w:ascii="宋体" w:hAnsi="宋体"/>
                <w:b/>
                <w:color w:val="000000" w:themeColor="text1"/>
                <w:highlight w:val="none"/>
                <w:lang w:val="en-US" w:eastAsia="zh-CN"/>
                <w14:textFill>
                  <w14:solidFill>
                    <w14:schemeClr w14:val="tx1"/>
                  </w14:solidFill>
                </w14:textFill>
              </w:rPr>
              <w:t>4</w:t>
            </w:r>
            <w:r>
              <w:rPr>
                <w:rFonts w:hint="eastAsia" w:ascii="宋体" w:hAnsi="宋体"/>
                <w:b/>
                <w:color w:val="000000" w:themeColor="text1"/>
                <w:highlight w:val="none"/>
                <w14:textFill>
                  <w14:solidFill>
                    <w14:schemeClr w14:val="tx1"/>
                  </w14:solidFill>
                </w14:textFill>
              </w:rPr>
              <w:t>年</w:t>
            </w:r>
            <w:r>
              <w:rPr>
                <w:rFonts w:hint="eastAsia" w:ascii="宋体" w:hAnsi="宋体"/>
                <w:b/>
                <w:color w:val="000000" w:themeColor="text1"/>
                <w:highlight w:val="none"/>
                <w:lang w:val="en-US" w:eastAsia="zh-CN"/>
                <w14:textFill>
                  <w14:solidFill>
                    <w14:schemeClr w14:val="tx1"/>
                  </w14:solidFill>
                </w14:textFill>
              </w:rPr>
              <w:t>6</w:t>
            </w:r>
            <w:r>
              <w:rPr>
                <w:rFonts w:hint="eastAsia" w:ascii="宋体" w:hAnsi="宋体"/>
                <w:b/>
                <w:color w:val="000000" w:themeColor="text1"/>
                <w:highlight w:val="none"/>
                <w14:textFill>
                  <w14:solidFill>
                    <w14:schemeClr w14:val="tx1"/>
                  </w14:solidFill>
                </w14:textFill>
              </w:rPr>
              <w:t>月</w:t>
            </w:r>
            <w:r>
              <w:rPr>
                <w:rFonts w:hint="eastAsia" w:ascii="宋体" w:hAnsi="宋体"/>
                <w:b/>
                <w:color w:val="000000" w:themeColor="text1"/>
                <w:highlight w:val="none"/>
                <w:lang w:val="en-US" w:eastAsia="zh-CN"/>
                <w14:textFill>
                  <w14:solidFill>
                    <w14:schemeClr w14:val="tx1"/>
                  </w14:solidFill>
                </w14:textFill>
              </w:rPr>
              <w:t>17</w:t>
            </w:r>
            <w:r>
              <w:rPr>
                <w:rFonts w:hint="eastAsia" w:ascii="宋体" w:hAnsi="宋体"/>
                <w:b/>
                <w:color w:val="000000" w:themeColor="text1"/>
                <w:highlight w:val="none"/>
                <w14:textFill>
                  <w14:solidFill>
                    <w14:schemeClr w14:val="tx1"/>
                  </w14:solidFill>
                </w14:textFill>
              </w:rPr>
              <w:t>日前。</w:t>
            </w:r>
            <w:r>
              <w:rPr>
                <w:rFonts w:hint="eastAsia" w:ascii="宋体" w:hAnsi="宋体"/>
                <w:color w:val="000000" w:themeColor="text1"/>
                <w:highlight w:val="none"/>
                <w14:textFill>
                  <w14:solidFill>
                    <w14:schemeClr w14:val="tx1"/>
                  </w14:solidFill>
                </w14:textFill>
              </w:rPr>
              <w:t>比选申请人不在规定期限内提出，比选人有权不予答复，或答复后比选申请截止时间由比选人确定是否顺延。</w:t>
            </w:r>
          </w:p>
          <w:p>
            <w:pPr>
              <w:spacing w:before="0" w:after="0" w:afterAutospacing="0"/>
              <w:ind w:left="0" w:right="0" w:firstLine="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形式：书面为准（加盖比选申请人法人单位公章，电子扫描件有效）</w:t>
            </w:r>
          </w:p>
        </w:tc>
      </w:tr>
      <w:tr>
        <w:tblPrEx>
          <w:tblCellMar>
            <w:top w:w="0" w:type="dxa"/>
            <w:left w:w="108" w:type="dxa"/>
            <w:bottom w:w="0" w:type="dxa"/>
            <w:right w:w="108" w:type="dxa"/>
          </w:tblCellMar>
        </w:tblPrEx>
        <w:trPr>
          <w:trHeight w:val="241"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比选文件澄清发布方式</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kern w:val="2"/>
                <w:highlight w:val="none"/>
                <w:lang w:val="en-US" w:eastAsia="zh-CN"/>
                <w14:textFill>
                  <w14:solidFill>
                    <w14:schemeClr w14:val="tx1"/>
                  </w14:solidFill>
                </w14:textFill>
              </w:rPr>
              <w:t>南宁轨道地产集团有限责任公司</w:t>
            </w:r>
            <w:r>
              <w:rPr>
                <w:rFonts w:hint="eastAsia" w:ascii="宋体" w:hAnsi="宋体"/>
                <w:color w:val="000000" w:themeColor="text1"/>
                <w:kern w:val="2"/>
                <w:highlight w:val="none"/>
                <w14:textFill>
                  <w14:solidFill>
                    <w14:schemeClr w14:val="tx1"/>
                  </w14:solidFill>
                </w14:textFill>
              </w:rPr>
              <w:t>官网(http://www.nngddc.com)发布</w:t>
            </w:r>
          </w:p>
        </w:tc>
      </w:tr>
      <w:tr>
        <w:tblPrEx>
          <w:tblCellMar>
            <w:top w:w="0" w:type="dxa"/>
            <w:left w:w="108" w:type="dxa"/>
            <w:bottom w:w="0" w:type="dxa"/>
            <w:right w:w="108" w:type="dxa"/>
          </w:tblCellMar>
        </w:tblPrEx>
        <w:trPr>
          <w:trHeight w:val="241"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比选申请人确认收到澄清的方式</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不需要确认。澄清文件在发布公告的网站上发布之日起，视为比选申请人已收到该澄清。比选申请人未及时关注比选人在网站上发布的澄清文件造成的损失，由比选申请人自行负责。</w:t>
            </w:r>
          </w:p>
        </w:tc>
      </w:tr>
      <w:tr>
        <w:tblPrEx>
          <w:tblCellMar>
            <w:top w:w="0" w:type="dxa"/>
            <w:left w:w="108" w:type="dxa"/>
            <w:bottom w:w="0" w:type="dxa"/>
            <w:right w:w="108" w:type="dxa"/>
          </w:tblCellMar>
        </w:tblPrEx>
        <w:trPr>
          <w:trHeight w:val="558"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10.1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构成比选申请文件的组成</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比选申请文件组成部分：</w:t>
            </w:r>
            <w:r>
              <w:rPr>
                <w:rFonts w:hint="eastAsia"/>
                <w:color w:val="000000" w:themeColor="text1"/>
                <w:highlight w:val="none"/>
                <w14:textFill>
                  <w14:solidFill>
                    <w14:schemeClr w14:val="tx1"/>
                  </w14:solidFill>
                </w14:textFill>
              </w:rPr>
              <w:t>资格审查文件、价格文件、技术文件</w:t>
            </w:r>
          </w:p>
          <w:p>
            <w:pPr>
              <w:spacing w:before="0" w:after="0" w:afterAutospacing="0" w:line="276" w:lineRule="auto"/>
              <w:ind w:left="0" w:right="0" w:firstLine="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资格审查文件</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）法定代表人授权书（格式见A1）及法定代表人资格证明书（如无授权时，只需提供法定代表人资格证明书，格式见A2），法定代表人及被授权人身份证复印件；</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）比选申请人有效的营业执照及资质证书复印件；</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）承诺书（格式见A3）；</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r>
              <w:rPr>
                <w:rFonts w:hint="eastAsia" w:hAnsi="宋体"/>
                <w:color w:val="000000" w:themeColor="text1"/>
                <w:highlight w:val="none"/>
                <w14:textFill>
                  <w14:solidFill>
                    <w14:schemeClr w14:val="tx1"/>
                  </w14:solidFill>
                </w14:textFill>
              </w:rPr>
              <w:t>类似项目业绩表（A4）；</w:t>
            </w:r>
          </w:p>
          <w:p>
            <w:pPr>
              <w:spacing w:before="0" w:after="0" w:afterAutospacing="0"/>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（5）比选申请人认为应提交的其他比选申请资料（如有）。</w:t>
            </w:r>
          </w:p>
          <w:p>
            <w:pPr>
              <w:spacing w:before="0" w:after="0" w:afterAutospacing="0" w:line="276" w:lineRule="auto"/>
              <w:ind w:left="0" w:right="0" w:firstLine="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价格文件</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）比选申请报价一览表（格式见B1）；</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）比选申请函（格式见B2）；</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（3）比选申请人认为应提交的其他比选申请资料（如有）。</w:t>
            </w:r>
          </w:p>
          <w:p>
            <w:pPr>
              <w:spacing w:before="0" w:after="0" w:afterAutospacing="0" w:line="276" w:lineRule="auto"/>
              <w:ind w:left="0" w:right="0" w:firstLine="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技术文件</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（1）技术响应表（格式见C1）；</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（2）商务响应表（格式见C2）；</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（3）项目人员配置（格式见C3）</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r>
              <w:rPr>
                <w:rFonts w:hint="eastAsia"/>
                <w:color w:val="000000" w:themeColor="text1"/>
                <w:highlight w:val="none"/>
                <w:lang w:eastAsia="zh-CN"/>
                <w14:textFill>
                  <w14:solidFill>
                    <w14:schemeClr w14:val="tx1"/>
                  </w14:solidFill>
                </w14:textFill>
              </w:rPr>
              <w:t>服务建议书</w:t>
            </w:r>
            <w:r>
              <w:rPr>
                <w:rFonts w:hint="eastAsia"/>
                <w:color w:val="000000" w:themeColor="text1"/>
                <w:highlight w:val="none"/>
                <w14:textFill>
                  <w14:solidFill>
                    <w14:schemeClr w14:val="tx1"/>
                  </w14:solidFill>
                </w14:textFill>
              </w:rPr>
              <w:t>（格式见C4）</w:t>
            </w:r>
          </w:p>
          <w:p>
            <w:pPr>
              <w:keepNext w:val="0"/>
              <w:keepLines w:val="0"/>
              <w:pageBreakBefore w:val="0"/>
              <w:widowControl/>
              <w:kinsoku/>
              <w:wordWrap/>
              <w:overflowPunct/>
              <w:topLinePunct w:val="0"/>
              <w:autoSpaceDE/>
              <w:autoSpaceDN/>
              <w:bidi w:val="0"/>
              <w:adjustRightInd/>
              <w:snapToGrid/>
              <w:spacing w:before="0" w:after="0" w:afterAutospacing="0"/>
              <w:ind w:left="0" w:right="0" w:firstLine="0"/>
              <w:textAlignment w:val="auto"/>
              <w:rPr>
                <w:rFonts w:hint="eastAsia" w:ascii="宋体" w:hAnsi="宋体" w:eastAsia="宋体"/>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（5）业绩：</w:t>
            </w:r>
            <w:r>
              <w:rPr>
                <w:rFonts w:hint="eastAsia" w:ascii="宋体" w:hAnsi="宋体"/>
                <w:color w:val="000000" w:themeColor="text1"/>
                <w:highlight w:val="none"/>
                <w:lang w:val="en-US" w:eastAsia="zh-CN"/>
                <w14:textFill>
                  <w14:solidFill>
                    <w14:schemeClr w14:val="tx1"/>
                  </w14:solidFill>
                </w14:textFill>
              </w:rPr>
              <w:t>比选申请人自2021年1月1日至比选申请截止时间前，承接过（完工/在建项目）1个及以上40万元（含）以上的市政工程设计项目。</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提供下述材料之一即可：①合同文件；②中标通知书。所提供的材料须能明确反映类似项目特征，复印件加盖比选申请人公章（格式见C5）。</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（6）比选申请人认为应提交的其他比选申请资料（如有）。</w:t>
            </w:r>
          </w:p>
        </w:tc>
      </w:tr>
      <w:tr>
        <w:tblPrEx>
          <w:tblCellMar>
            <w:top w:w="0" w:type="dxa"/>
            <w:left w:w="108" w:type="dxa"/>
            <w:bottom w:w="0" w:type="dxa"/>
            <w:right w:w="108" w:type="dxa"/>
          </w:tblCellMar>
        </w:tblPrEx>
        <w:trPr>
          <w:trHeight w:val="540"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12.1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比选申请报价</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本项目采用不含税报价进行商务评审</w:t>
            </w:r>
            <w:r>
              <w:rPr>
                <w:rFonts w:ascii="宋体" w:hAnsi="宋体"/>
                <w:b/>
                <w:color w:val="000000" w:themeColor="text1"/>
                <w:highlight w:val="none"/>
                <w14:textFill>
                  <w14:solidFill>
                    <w14:schemeClr w14:val="tx1"/>
                  </w14:solidFill>
                </w14:textFill>
              </w:rPr>
              <w:t>，</w:t>
            </w:r>
            <w:r>
              <w:rPr>
                <w:rFonts w:hint="eastAsia" w:ascii="宋体" w:hAnsi="宋体"/>
                <w:b/>
                <w:color w:val="000000" w:themeColor="text1"/>
                <w:highlight w:val="none"/>
                <w14:textFill>
                  <w14:solidFill>
                    <w14:schemeClr w14:val="tx1"/>
                  </w14:solidFill>
                </w14:textFill>
              </w:rPr>
              <w:t>含税报价为合同暂定价，本合同最终税金在结算阶段，按实际产生的税金进行核算，但合同不含税价格不因国家税率调整而调整。</w:t>
            </w:r>
          </w:p>
        </w:tc>
      </w:tr>
      <w:tr>
        <w:tblPrEx>
          <w:tblCellMar>
            <w:top w:w="0" w:type="dxa"/>
            <w:left w:w="108" w:type="dxa"/>
            <w:bottom w:w="0" w:type="dxa"/>
            <w:right w:w="108" w:type="dxa"/>
          </w:tblCellMar>
        </w:tblPrEx>
        <w:trPr>
          <w:trHeight w:val="702"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14.1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比选申请保证金</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不要求递交比选申请保证金</w:t>
            </w:r>
          </w:p>
        </w:tc>
      </w:tr>
      <w:tr>
        <w:tblPrEx>
          <w:tblCellMar>
            <w:top w:w="0" w:type="dxa"/>
            <w:left w:w="108" w:type="dxa"/>
            <w:bottom w:w="0" w:type="dxa"/>
            <w:right w:w="108" w:type="dxa"/>
          </w:tblCellMar>
        </w:tblPrEx>
        <w:trPr>
          <w:trHeight w:val="551" w:hRule="atLeast"/>
        </w:trPr>
        <w:tc>
          <w:tcPr>
            <w:tcW w:w="847" w:type="dxa"/>
            <w:tcBorders>
              <w:top w:val="single" w:color="auto" w:sz="4" w:space="0"/>
              <w:left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15.1</w:t>
            </w:r>
          </w:p>
        </w:tc>
        <w:tc>
          <w:tcPr>
            <w:tcW w:w="1559" w:type="dxa"/>
            <w:tcBorders>
              <w:top w:val="single" w:color="auto" w:sz="4" w:space="0"/>
              <w:left w:val="nil"/>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比选申请有效期</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自比选申请截止时间起90天</w:t>
            </w:r>
          </w:p>
        </w:tc>
      </w:tr>
      <w:tr>
        <w:tblPrEx>
          <w:tblCellMar>
            <w:top w:w="0" w:type="dxa"/>
            <w:left w:w="108" w:type="dxa"/>
            <w:bottom w:w="0" w:type="dxa"/>
            <w:right w:w="108" w:type="dxa"/>
          </w:tblCellMar>
        </w:tblPrEx>
        <w:trPr>
          <w:trHeight w:val="241"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16.1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比选申请文件副本份数</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纸质版正本1份，副本</w:t>
            </w:r>
            <w:r>
              <w:rPr>
                <w:rFonts w:hint="eastAsia" w:ascii="宋体" w:hAnsi="宋体"/>
                <w:color w:val="000000" w:themeColor="text1"/>
                <w:highlight w:val="none"/>
                <w:lang w:val="en-US" w:eastAsia="zh-CN"/>
                <w14:textFill>
                  <w14:solidFill>
                    <w14:schemeClr w14:val="tx1"/>
                  </w14:solidFill>
                </w14:textFill>
              </w:rPr>
              <w:t>4</w:t>
            </w:r>
            <w:r>
              <w:rPr>
                <w:rFonts w:hint="eastAsia" w:ascii="宋体" w:hAnsi="宋体"/>
                <w:color w:val="000000" w:themeColor="text1"/>
                <w:highlight w:val="none"/>
                <w14:textFill>
                  <w14:solidFill>
                    <w14:schemeClr w14:val="tx1"/>
                  </w14:solidFill>
                </w14:textFill>
              </w:rPr>
              <w:t>份。比选申请人在递交纸质比选申请文件时，应同时递交比选申请文件电子版（具体要求见本表第3</w:t>
            </w:r>
            <w:r>
              <w:rPr>
                <w:rFonts w:ascii="宋体" w:hAnsi="宋体"/>
                <w:color w:val="000000" w:themeColor="text1"/>
                <w:highlight w:val="none"/>
                <w14:textFill>
                  <w14:solidFill>
                    <w14:schemeClr w14:val="tx1"/>
                  </w14:solidFill>
                </w14:textFill>
              </w:rPr>
              <w:t>7</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5</w:t>
            </w:r>
            <w:r>
              <w:rPr>
                <w:rFonts w:hint="eastAsia" w:ascii="宋体" w:hAnsi="宋体"/>
                <w:color w:val="000000" w:themeColor="text1"/>
                <w:highlight w:val="none"/>
                <w14:textFill>
                  <w14:solidFill>
                    <w14:schemeClr w14:val="tx1"/>
                  </w14:solidFill>
                </w14:textFill>
              </w:rPr>
              <w:t>项）。</w:t>
            </w:r>
          </w:p>
        </w:tc>
      </w:tr>
      <w:tr>
        <w:tblPrEx>
          <w:tblCellMar>
            <w:top w:w="0" w:type="dxa"/>
            <w:left w:w="108" w:type="dxa"/>
            <w:bottom w:w="0" w:type="dxa"/>
            <w:right w:w="108" w:type="dxa"/>
          </w:tblCellMar>
        </w:tblPrEx>
        <w:trPr>
          <w:trHeight w:val="140" w:hRule="atLeast"/>
        </w:trPr>
        <w:tc>
          <w:tcPr>
            <w:tcW w:w="847" w:type="dxa"/>
            <w:vMerge w:val="restart"/>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28.1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比选申请截止时间</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hint="default" w:ascii="宋体" w:hAnsi="宋体" w:eastAsia="宋体"/>
                <w:b/>
                <w:color w:val="000000" w:themeColor="text1"/>
                <w:highlight w:val="none"/>
                <w:lang w:val="en-US" w:eastAsia="zh-CN"/>
                <w14:textFill>
                  <w14:solidFill>
                    <w14:schemeClr w14:val="tx1"/>
                  </w14:solidFill>
                </w14:textFill>
              </w:rPr>
            </w:pPr>
            <w:bookmarkStart w:id="41" w:name="CgwjmbEntity：KBSJ3_0"/>
            <w:r>
              <w:rPr>
                <w:rFonts w:hint="eastAsia" w:ascii="宋体" w:hAnsi="宋体"/>
                <w:b/>
                <w:color w:val="000000" w:themeColor="text1"/>
                <w:highlight w:val="none"/>
                <w14:textFill>
                  <w14:solidFill>
                    <w14:schemeClr w14:val="tx1"/>
                  </w14:solidFill>
                </w14:textFill>
              </w:rPr>
              <w:t>202</w:t>
            </w:r>
            <w:r>
              <w:rPr>
                <w:rFonts w:hint="eastAsia" w:ascii="宋体" w:hAnsi="宋体"/>
                <w:b/>
                <w:color w:val="000000" w:themeColor="text1"/>
                <w:highlight w:val="none"/>
                <w:lang w:val="en-US" w:eastAsia="zh-CN"/>
                <w14:textFill>
                  <w14:solidFill>
                    <w14:schemeClr w14:val="tx1"/>
                  </w14:solidFill>
                </w14:textFill>
              </w:rPr>
              <w:t xml:space="preserve">4 </w:t>
            </w:r>
            <w:r>
              <w:rPr>
                <w:rFonts w:hint="eastAsia" w:ascii="宋体" w:hAnsi="宋体"/>
                <w:b/>
                <w:color w:val="000000" w:themeColor="text1"/>
                <w:highlight w:val="none"/>
                <w14:textFill>
                  <w14:solidFill>
                    <w14:schemeClr w14:val="tx1"/>
                  </w14:solidFill>
                </w14:textFill>
              </w:rPr>
              <w:t>年</w:t>
            </w:r>
            <w:bookmarkEnd w:id="41"/>
            <w:r>
              <w:rPr>
                <w:rFonts w:hint="eastAsia" w:ascii="宋体" w:hAnsi="宋体"/>
                <w:b/>
                <w:color w:val="000000" w:themeColor="text1"/>
                <w:highlight w:val="none"/>
                <w:lang w:val="en-US" w:eastAsia="zh-CN"/>
                <w14:textFill>
                  <w14:solidFill>
                    <w14:schemeClr w14:val="tx1"/>
                  </w14:solidFill>
                </w14:textFill>
              </w:rPr>
              <w:t>6</w:t>
            </w:r>
            <w:r>
              <w:rPr>
                <w:rFonts w:hint="eastAsia" w:ascii="宋体" w:hAnsi="宋体"/>
                <w:b/>
                <w:color w:val="000000" w:themeColor="text1"/>
                <w:highlight w:val="none"/>
                <w14:textFill>
                  <w14:solidFill>
                    <w14:schemeClr w14:val="tx1"/>
                  </w14:solidFill>
                </w14:textFill>
              </w:rPr>
              <w:t>月</w:t>
            </w:r>
            <w:r>
              <w:rPr>
                <w:rFonts w:hint="eastAsia" w:ascii="宋体" w:hAnsi="宋体"/>
                <w:b/>
                <w:color w:val="000000" w:themeColor="text1"/>
                <w:highlight w:val="none"/>
                <w:lang w:val="en-US" w:eastAsia="zh-CN"/>
                <w14:textFill>
                  <w14:solidFill>
                    <w14:schemeClr w14:val="tx1"/>
                  </w14:solidFill>
                </w14:textFill>
              </w:rPr>
              <w:t>19</w:t>
            </w:r>
            <w:r>
              <w:rPr>
                <w:rFonts w:hint="eastAsia" w:ascii="宋体" w:hAnsi="宋体"/>
                <w:b/>
                <w:color w:val="000000" w:themeColor="text1"/>
                <w:highlight w:val="none"/>
                <w14:textFill>
                  <w14:solidFill>
                    <w14:schemeClr w14:val="tx1"/>
                  </w14:solidFill>
                </w14:textFill>
              </w:rPr>
              <w:t>日</w:t>
            </w:r>
            <w:r>
              <w:rPr>
                <w:rFonts w:hint="eastAsia" w:ascii="宋体" w:hAnsi="宋体"/>
                <w:b/>
                <w:color w:val="000000" w:themeColor="text1"/>
                <w:highlight w:val="none"/>
                <w:lang w:val="en-US" w:eastAsia="zh-CN"/>
                <w14:textFill>
                  <w14:solidFill>
                    <w14:schemeClr w14:val="tx1"/>
                  </w14:solidFill>
                </w14:textFill>
              </w:rPr>
              <w:t>9</w:t>
            </w:r>
            <w:r>
              <w:rPr>
                <w:rFonts w:hint="eastAsia" w:ascii="宋体" w:hAnsi="宋体"/>
                <w:b/>
                <w:color w:val="000000" w:themeColor="text1"/>
                <w:highlight w:val="none"/>
                <w14:textFill>
                  <w14:solidFill>
                    <w14:schemeClr w14:val="tx1"/>
                  </w14:solidFill>
                </w14:textFill>
              </w:rPr>
              <w:t>时30分</w:t>
            </w:r>
          </w:p>
        </w:tc>
      </w:tr>
      <w:tr>
        <w:tblPrEx>
          <w:tblCellMar>
            <w:top w:w="0" w:type="dxa"/>
            <w:left w:w="108" w:type="dxa"/>
            <w:bottom w:w="0" w:type="dxa"/>
            <w:right w:w="108" w:type="dxa"/>
          </w:tblCellMar>
        </w:tblPrEx>
        <w:trPr>
          <w:trHeight w:val="797"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递交比选申请文件地点</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单位：</w:t>
            </w:r>
            <w:r>
              <w:rPr>
                <w:rFonts w:hint="eastAsia" w:ascii="宋体" w:hAnsi="宋体"/>
                <w:color w:val="000000" w:themeColor="text1"/>
                <w:highlight w:val="none"/>
                <w:lang w:eastAsia="zh-CN"/>
                <w14:textFill>
                  <w14:solidFill>
                    <w14:schemeClr w14:val="tx1"/>
                  </w14:solidFill>
                </w14:textFill>
              </w:rPr>
              <w:t>南宁兴邕城市更新有限责任公司</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地址：</w:t>
            </w:r>
            <w:r>
              <w:rPr>
                <w:rFonts w:ascii="宋体" w:hAnsi="宋体"/>
                <w:color w:val="000000" w:themeColor="text1"/>
                <w:highlight w:val="none"/>
                <w14:textFill>
                  <w14:solidFill>
                    <w14:schemeClr w14:val="tx1"/>
                  </w14:solidFill>
                </w14:textFill>
              </w:rPr>
              <w:t>南宁市青秀区</w:t>
            </w:r>
            <w:r>
              <w:rPr>
                <w:rFonts w:hint="eastAsia" w:ascii="宋体" w:hAnsi="宋体"/>
                <w:color w:val="000000" w:themeColor="text1"/>
                <w:highlight w:val="none"/>
                <w14:textFill>
                  <w14:solidFill>
                    <w14:schemeClr w14:val="tx1"/>
                  </w14:solidFill>
                </w14:textFill>
              </w:rPr>
              <w:t>凤岭北路111号南宁国际旅游中心A座</w:t>
            </w:r>
            <w:r>
              <w:rPr>
                <w:rFonts w:hint="eastAsia" w:ascii="宋体" w:hAnsi="宋体"/>
                <w:color w:val="000000" w:themeColor="text1"/>
                <w:highlight w:val="none"/>
                <w:lang w:val="en-US" w:eastAsia="zh-CN"/>
                <w14:textFill>
                  <w14:solidFill>
                    <w14:schemeClr w14:val="tx1"/>
                  </w14:solidFill>
                </w14:textFill>
              </w:rPr>
              <w:t>907</w:t>
            </w:r>
            <w:r>
              <w:rPr>
                <w:rFonts w:hint="eastAsia" w:ascii="宋体" w:hAnsi="宋体"/>
                <w:color w:val="000000" w:themeColor="text1"/>
                <w:highlight w:val="none"/>
                <w14:textFill>
                  <w14:solidFill>
                    <w14:schemeClr w14:val="tx1"/>
                  </w14:solidFill>
                </w14:textFill>
              </w:rPr>
              <w:t>招采管理中心</w:t>
            </w:r>
          </w:p>
        </w:tc>
      </w:tr>
      <w:tr>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22</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评审方法</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综合评分法</w:t>
            </w:r>
            <w:r>
              <w:rPr>
                <w:rFonts w:ascii="宋体" w:hAnsi="宋体"/>
                <w:color w:val="000000" w:themeColor="text1"/>
                <w:highlight w:val="none"/>
                <w14:textFill>
                  <w14:solidFill>
                    <w14:schemeClr w14:val="tx1"/>
                  </w14:solidFill>
                </w14:textFill>
              </w:rPr>
              <w:t>（评审价以</w:t>
            </w:r>
            <w:r>
              <w:rPr>
                <w:rFonts w:hint="eastAsia" w:ascii="宋体" w:hAnsi="宋体"/>
                <w:color w:val="000000" w:themeColor="text1"/>
                <w:highlight w:val="none"/>
                <w14:textFill>
                  <w14:solidFill>
                    <w14:schemeClr w14:val="tx1"/>
                  </w14:solidFill>
                </w14:textFill>
              </w:rPr>
              <w:t>不</w:t>
            </w:r>
            <w:r>
              <w:rPr>
                <w:rFonts w:ascii="宋体" w:hAnsi="宋体"/>
                <w:color w:val="000000" w:themeColor="text1"/>
                <w:highlight w:val="none"/>
                <w14:textFill>
                  <w14:solidFill>
                    <w14:schemeClr w14:val="tx1"/>
                  </w14:solidFill>
                </w14:textFill>
              </w:rPr>
              <w:t>含税总报价为基准）</w:t>
            </w:r>
          </w:p>
        </w:tc>
      </w:tr>
      <w:tr>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34.4</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放弃中选人资格</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中选人如放弃中选资格，比选人有权禁止其1年内不得参与属于比选人的项目。</w:t>
            </w:r>
          </w:p>
        </w:tc>
      </w:tr>
      <w:tr>
        <w:tblPrEx>
          <w:tblCellMar>
            <w:top w:w="0" w:type="dxa"/>
            <w:left w:w="108" w:type="dxa"/>
            <w:bottom w:w="0" w:type="dxa"/>
            <w:right w:w="108" w:type="dxa"/>
          </w:tblCellMar>
        </w:tblPrEx>
        <w:trPr>
          <w:trHeight w:val="877"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36.1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履约担保</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本项目不要求递交履约担保。</w:t>
            </w:r>
          </w:p>
        </w:tc>
      </w:tr>
      <w:tr>
        <w:tblPrEx>
          <w:tblCellMar>
            <w:top w:w="0" w:type="dxa"/>
            <w:left w:w="108" w:type="dxa"/>
            <w:bottom w:w="0" w:type="dxa"/>
            <w:right w:w="108" w:type="dxa"/>
          </w:tblCellMar>
        </w:tblPrEx>
        <w:trPr>
          <w:trHeight w:val="242" w:hRule="atLeast"/>
        </w:trPr>
        <w:tc>
          <w:tcPr>
            <w:tcW w:w="847" w:type="dxa"/>
            <w:vMerge w:val="restart"/>
            <w:tcBorders>
              <w:top w:val="single" w:color="auto" w:sz="4" w:space="0"/>
              <w:left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37.5</w:t>
            </w:r>
          </w:p>
        </w:tc>
        <w:tc>
          <w:tcPr>
            <w:tcW w:w="1559" w:type="dxa"/>
            <w:vMerge w:val="restart"/>
            <w:tcBorders>
              <w:top w:val="single" w:color="auto" w:sz="4" w:space="0"/>
              <w:left w:val="nil"/>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需要补充的其他内容</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1.比选申请人在递交纸质版比选申请文件时，应同时递交比选申请文件电子版。</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2.比选申请文件电子版内容：</w:t>
            </w:r>
            <w:r>
              <w:rPr>
                <w:rFonts w:hint="eastAsia" w:ascii="宋体" w:hAnsi="宋体" w:cs="Arial"/>
                <w:color w:val="000000" w:themeColor="text1"/>
                <w:highlight w:val="none"/>
                <w14:textFill>
                  <w14:solidFill>
                    <w14:schemeClr w14:val="tx1"/>
                  </w14:solidFill>
                </w14:textFill>
              </w:rPr>
              <w:t>资格审查文件、价格文件和技术文件</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比选申请文件电子版份数：1份。</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比选申请文件电子版形式：每份包括office版本或WPS版本的全套比选申请文件(资格审查文件、价格文件和技术文件)和盖章后的全套比选申请文件(资格审查文件、价格文件和技术文件)正本的PDF版本扫描件。保存介质：U盘。</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5</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比选申请文件电子版密封方式：比选申请文件电子版与纸质版比选申请文件一并装入比选申请文件袋中。</w:t>
            </w:r>
          </w:p>
        </w:tc>
      </w:tr>
      <w:tr>
        <w:tblPrEx>
          <w:tblCellMar>
            <w:top w:w="0" w:type="dxa"/>
            <w:left w:w="108" w:type="dxa"/>
            <w:bottom w:w="0" w:type="dxa"/>
            <w:right w:w="108" w:type="dxa"/>
          </w:tblCellMar>
        </w:tblPrEx>
        <w:trPr>
          <w:trHeight w:val="242" w:hRule="atLeast"/>
        </w:trPr>
        <w:tc>
          <w:tcPr>
            <w:tcW w:w="847" w:type="dxa"/>
            <w:vMerge w:val="continue"/>
            <w:tcBorders>
              <w:left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1559" w:type="dxa"/>
            <w:vMerge w:val="continue"/>
            <w:tcBorders>
              <w:left w:val="nil"/>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1.本比选文件中描述比选申请人的</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公章</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2.本比选文件中描述比选申请人的</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签字</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是指比选申请人的法定代表人或被授权人亲自在比选文件规定签署处亲笔写上个人的名字的行为，私章、签字章、印鉴、影印等其它形式均不能代替亲笔签字。</w:t>
            </w:r>
          </w:p>
        </w:tc>
      </w:tr>
      <w:tr>
        <w:tblPrEx>
          <w:tblCellMar>
            <w:top w:w="0" w:type="dxa"/>
            <w:left w:w="108" w:type="dxa"/>
            <w:bottom w:w="0" w:type="dxa"/>
            <w:right w:w="108" w:type="dxa"/>
          </w:tblCellMar>
        </w:tblPrEx>
        <w:trPr>
          <w:trHeight w:val="242" w:hRule="atLeast"/>
        </w:trPr>
        <w:tc>
          <w:tcPr>
            <w:tcW w:w="847" w:type="dxa"/>
            <w:vMerge w:val="continue"/>
            <w:tcBorders>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1559" w:type="dxa"/>
            <w:vMerge w:val="continue"/>
            <w:tcBorders>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1.本项目比选文件的最终解释权归比选人。</w:t>
            </w:r>
          </w:p>
        </w:tc>
      </w:tr>
    </w:tbl>
    <w:p>
      <w:pPr>
        <w:pStyle w:val="3"/>
        <w:spacing w:after="0" w:afterAutospacing="0" w:line="360" w:lineRule="auto"/>
        <w:ind w:left="484" w:leftChars="200" w:right="0" w:hanging="64" w:hangingChars="20"/>
        <w:rPr>
          <w:rFonts w:ascii="宋体" w:hAnsi="宋体" w:eastAsia="宋体"/>
          <w:color w:val="000000" w:themeColor="text1"/>
          <w:sz w:val="24"/>
          <w:szCs w:val="24"/>
          <w:highlight w:val="none"/>
          <w14:textFill>
            <w14:solidFill>
              <w14:schemeClr w14:val="tx1"/>
            </w14:solidFill>
          </w14:textFill>
        </w:rPr>
      </w:pPr>
      <w:r>
        <w:rPr>
          <w:rFonts w:ascii="宋体" w:hAnsi="宋体" w:eastAsia="宋体"/>
          <w:color w:val="000000" w:themeColor="text1"/>
          <w:highlight w:val="none"/>
          <w14:textFill>
            <w14:solidFill>
              <w14:schemeClr w14:val="tx1"/>
            </w14:solidFill>
          </w14:textFill>
        </w:rPr>
        <w:br w:type="page"/>
      </w:r>
      <w:bookmarkStart w:id="42" w:name="_Toc322528193"/>
      <w:bookmarkEnd w:id="42"/>
      <w:bookmarkStart w:id="43" w:name="_Toc7891"/>
      <w:bookmarkStart w:id="44" w:name="_Toc114134607"/>
      <w:bookmarkStart w:id="45" w:name="_Toc15365"/>
      <w:r>
        <w:rPr>
          <w:rFonts w:hint="eastAsia" w:ascii="宋体" w:hAnsi="宋体" w:eastAsia="宋体"/>
          <w:color w:val="000000" w:themeColor="text1"/>
          <w:sz w:val="24"/>
          <w:szCs w:val="24"/>
          <w:highlight w:val="none"/>
          <w14:textFill>
            <w14:solidFill>
              <w14:schemeClr w14:val="tx1"/>
            </w14:solidFill>
          </w14:textFill>
        </w:rPr>
        <w:t>一、</w:t>
      </w:r>
      <w:r>
        <w:rPr>
          <w:rFonts w:ascii="宋体" w:hAnsi="宋体" w:eastAsia="宋体"/>
          <w:color w:val="000000" w:themeColor="text1"/>
          <w:sz w:val="24"/>
          <w:szCs w:val="24"/>
          <w:highlight w:val="none"/>
          <w14:textFill>
            <w14:solidFill>
              <w14:schemeClr w14:val="tx1"/>
            </w14:solidFill>
          </w14:textFill>
        </w:rPr>
        <w:t>说明</w:t>
      </w:r>
      <w:bookmarkEnd w:id="43"/>
      <w:bookmarkEnd w:id="44"/>
      <w:bookmarkEnd w:id="45"/>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46" w:name="_Toc3804"/>
      <w:bookmarkStart w:id="47" w:name="_Toc25750591"/>
      <w:bookmarkStart w:id="48" w:name="_Toc13523"/>
      <w:bookmarkStart w:id="49" w:name="_Toc6861"/>
      <w:bookmarkStart w:id="50" w:name="_Toc11224"/>
      <w:bookmarkStart w:id="51" w:name="_Toc31563"/>
      <w:bookmarkStart w:id="52" w:name="_Toc114134608"/>
      <w:bookmarkStart w:id="53" w:name="_Toc30570"/>
      <w:bookmarkStart w:id="54" w:name="_Toc5495"/>
      <w:bookmarkStart w:id="55" w:name="_Toc19983"/>
      <w:bookmarkStart w:id="56" w:name="_Toc3364"/>
      <w:bookmarkStart w:id="57" w:name="_Toc492478718"/>
      <w:bookmarkStart w:id="58" w:name="_Toc12526"/>
      <w:bookmarkStart w:id="59" w:name="_Toc28326"/>
      <w:bookmarkStart w:id="60" w:name="_Toc27079"/>
      <w:bookmarkStart w:id="61" w:name="_Toc7778"/>
      <w:bookmarkStart w:id="62" w:name="_Toc17845"/>
      <w:bookmarkStart w:id="63" w:name="_Toc390098419"/>
      <w:bookmarkStart w:id="64" w:name="_Toc385427793"/>
      <w:bookmarkStart w:id="65" w:name="_Toc21139"/>
      <w:bookmarkStart w:id="66" w:name="_Toc383891168"/>
      <w:bookmarkStart w:id="67" w:name="_Toc375039064"/>
      <w:bookmarkStart w:id="68" w:name="_Toc463"/>
      <w:bookmarkStart w:id="69" w:name="_Toc14066"/>
      <w:bookmarkStart w:id="70" w:name="_Toc12983505"/>
      <w:bookmarkStart w:id="71" w:name="_Toc9366"/>
      <w:bookmarkStart w:id="72" w:name="_Toc8166"/>
      <w:r>
        <w:rPr>
          <w:rFonts w:hint="eastAsia" w:ascii="宋体" w:hAnsi="宋体"/>
          <w:color w:val="000000" w:themeColor="text1"/>
          <w:sz w:val="21"/>
          <w:szCs w:val="21"/>
          <w:highlight w:val="none"/>
          <w14:textFill>
            <w14:solidFill>
              <w14:schemeClr w14:val="tx1"/>
            </w14:solidFill>
          </w14:textFill>
        </w:rPr>
        <w:t xml:space="preserve">1. </w:t>
      </w:r>
      <w:r>
        <w:rPr>
          <w:rFonts w:ascii="宋体" w:hAnsi="宋体"/>
          <w:color w:val="000000" w:themeColor="text1"/>
          <w:sz w:val="21"/>
          <w:szCs w:val="21"/>
          <w:highlight w:val="none"/>
          <w14:textFill>
            <w14:solidFill>
              <w14:schemeClr w14:val="tx1"/>
            </w14:solidFill>
          </w14:textFill>
        </w:rPr>
        <w:t>项目说明</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1.1 比选人</w:t>
      </w:r>
      <w:r>
        <w:rPr>
          <w:rFonts w:ascii="宋体" w:hAnsi="宋体"/>
          <w:color w:val="000000" w:themeColor="text1"/>
          <w:highlight w:val="none"/>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1.2 项目名称</w:t>
      </w:r>
      <w:r>
        <w:rPr>
          <w:rFonts w:ascii="宋体" w:hAnsi="宋体"/>
          <w:color w:val="000000" w:themeColor="text1"/>
          <w:highlight w:val="none"/>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1.3 项目编号</w:t>
      </w:r>
      <w:r>
        <w:rPr>
          <w:rFonts w:ascii="宋体" w:hAnsi="宋体"/>
          <w:color w:val="000000" w:themeColor="text1"/>
          <w:highlight w:val="none"/>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1.4比选范围：</w:t>
      </w:r>
      <w:r>
        <w:rPr>
          <w:rFonts w:ascii="宋体" w:hAnsi="宋体"/>
          <w:color w:val="000000" w:themeColor="text1"/>
          <w:highlight w:val="none"/>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1.5合同期：</w:t>
      </w:r>
      <w:r>
        <w:rPr>
          <w:rFonts w:ascii="宋体" w:hAnsi="宋体"/>
          <w:color w:val="000000" w:themeColor="text1"/>
          <w:highlight w:val="none"/>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1.6 资金来源情况：</w:t>
      </w:r>
      <w:r>
        <w:rPr>
          <w:rFonts w:ascii="宋体" w:hAnsi="宋体"/>
          <w:color w:val="000000" w:themeColor="text1"/>
          <w:highlight w:val="none"/>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1.7上限控制价</w:t>
      </w:r>
      <w:r>
        <w:rPr>
          <w:rFonts w:ascii="宋体" w:hAnsi="宋体"/>
          <w:color w:val="000000" w:themeColor="text1"/>
          <w:highlight w:val="none"/>
          <w14:textFill>
            <w14:solidFill>
              <w14:schemeClr w14:val="tx1"/>
            </w14:solidFill>
          </w14:textFill>
        </w:rPr>
        <w:t>：详见比选申请须知前附表。</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73" w:name="_Toc21874"/>
      <w:bookmarkStart w:id="74" w:name="_Toc25750592"/>
      <w:bookmarkStart w:id="75" w:name="_Toc24429"/>
      <w:bookmarkStart w:id="76" w:name="_Toc383891169"/>
      <w:bookmarkStart w:id="77" w:name="_Toc22987"/>
      <w:bookmarkStart w:id="78" w:name="_Toc27845"/>
      <w:bookmarkStart w:id="79" w:name="_Toc8052"/>
      <w:bookmarkStart w:id="80" w:name="_Toc15820"/>
      <w:bookmarkStart w:id="81" w:name="_Toc1552"/>
      <w:bookmarkStart w:id="82" w:name="_Toc16860"/>
      <w:bookmarkStart w:id="83" w:name="_Toc492478719"/>
      <w:bookmarkStart w:id="84" w:name="_Toc114134609"/>
      <w:bookmarkStart w:id="85" w:name="_Toc27847"/>
      <w:bookmarkStart w:id="86" w:name="_Toc385427794"/>
      <w:bookmarkStart w:id="87" w:name="_Toc375039065"/>
      <w:bookmarkStart w:id="88" w:name="_Toc390098420"/>
      <w:bookmarkStart w:id="89" w:name="_Toc31314"/>
      <w:bookmarkStart w:id="90" w:name="_Toc4780"/>
      <w:bookmarkStart w:id="91" w:name="_Toc10907"/>
      <w:bookmarkStart w:id="92" w:name="_Toc13712"/>
      <w:bookmarkStart w:id="93" w:name="_Toc12983506"/>
      <w:bookmarkStart w:id="94" w:name="_Toc6985"/>
      <w:bookmarkStart w:id="95" w:name="_Toc6038"/>
      <w:r>
        <w:rPr>
          <w:rFonts w:hint="eastAsia" w:ascii="宋体" w:hAnsi="宋体"/>
          <w:color w:val="000000" w:themeColor="text1"/>
          <w:sz w:val="21"/>
          <w:szCs w:val="21"/>
          <w:highlight w:val="none"/>
          <w14:textFill>
            <w14:solidFill>
              <w14:schemeClr w14:val="tx1"/>
            </w14:solidFill>
          </w14:textFill>
        </w:rPr>
        <w:t>2. 定义</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本比选文件使用的下列词汇具有如下规定的意义。</w:t>
      </w:r>
    </w:p>
    <w:p>
      <w:pPr>
        <w:tabs>
          <w:tab w:val="left" w:pos="8364"/>
        </w:tabs>
        <w:spacing w:before="0" w:after="0" w:afterAutospacing="0"/>
        <w:ind w:left="0" w:right="0" w:firstLine="420" w:firstLineChars="200"/>
        <w:rPr>
          <w:rFonts w:ascii="宋体" w:hAnsi="宋体"/>
          <w:b/>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2.1 </w:t>
      </w:r>
      <w:r>
        <w:rPr>
          <w:rFonts w:ascii="宋体" w:hAnsi="宋体"/>
          <w:color w:val="000000" w:themeColor="text1"/>
          <w:highlight w:val="none"/>
          <w14:textFill>
            <w14:solidFill>
              <w14:schemeClr w14:val="tx1"/>
            </w14:solidFill>
          </w14:textFill>
        </w:rPr>
        <w:t>“比选人”系指提出</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采购</w:t>
      </w:r>
      <w:r>
        <w:rPr>
          <w:rFonts w:hint="eastAsia" w:ascii="宋体" w:hAnsi="宋体"/>
          <w:color w:val="000000" w:themeColor="text1"/>
          <w:highlight w:val="none"/>
          <w14:textFill>
            <w14:solidFill>
              <w14:schemeClr w14:val="tx1"/>
            </w14:solidFill>
          </w14:textFill>
        </w:rPr>
        <w:t>项目</w:t>
      </w:r>
      <w:r>
        <w:rPr>
          <w:rFonts w:ascii="宋体" w:hAnsi="宋体"/>
          <w:color w:val="000000" w:themeColor="text1"/>
          <w:highlight w:val="none"/>
          <w14:textFill>
            <w14:solidFill>
              <w14:schemeClr w14:val="tx1"/>
            </w14:solidFill>
          </w14:textFill>
        </w:rPr>
        <w:t>的国家机关、企业、事业单位或其它组织。本比选文件中比选人是指</w:t>
      </w:r>
      <w:r>
        <w:rPr>
          <w:rFonts w:hint="eastAsia" w:ascii="宋体" w:hAnsi="宋体"/>
          <w:b/>
          <w:bCs/>
          <w:color w:val="000000" w:themeColor="text1"/>
          <w:highlight w:val="none"/>
          <w:lang w:eastAsia="zh-CN"/>
          <w14:textFill>
            <w14:solidFill>
              <w14:schemeClr w14:val="tx1"/>
            </w14:solidFill>
          </w14:textFill>
        </w:rPr>
        <w:t>南宁兴邕城市更新有限责任公司</w:t>
      </w:r>
      <w:r>
        <w:rPr>
          <w:rFonts w:hint="eastAsia" w:ascii="宋体" w:hAnsi="宋体"/>
          <w:b/>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如无特别说明本比选文件中的“发包人、业主、甲方和比选人”均指：</w:t>
      </w:r>
      <w:r>
        <w:rPr>
          <w:rFonts w:hint="eastAsia" w:ascii="宋体" w:hAnsi="宋体"/>
          <w:b/>
          <w:color w:val="000000" w:themeColor="text1"/>
          <w:highlight w:val="none"/>
          <w:lang w:eastAsia="zh-CN"/>
          <w14:textFill>
            <w14:solidFill>
              <w14:schemeClr w14:val="tx1"/>
            </w14:solidFill>
          </w14:textFill>
        </w:rPr>
        <w:t>南宁兴邕城市更新有限责任公司</w:t>
      </w:r>
      <w:r>
        <w:rPr>
          <w:rFonts w:hint="eastAsia" w:ascii="宋体" w:hAnsi="宋体"/>
          <w:b/>
          <w:color w:val="000000" w:themeColor="text1"/>
          <w:highlight w:val="none"/>
          <w14:textFill>
            <w14:solidFill>
              <w14:schemeClr w14:val="tx1"/>
            </w14:solidFill>
          </w14:textFill>
        </w:rPr>
        <w:t>。</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 xml:space="preserve"> “比选申请人”</w:t>
      </w:r>
      <w:r>
        <w:rPr>
          <w:rFonts w:hint="eastAsia" w:ascii="宋体" w:hAnsi="宋体"/>
          <w:color w:val="000000" w:themeColor="text1"/>
          <w:highlight w:val="none"/>
          <w14:textFill>
            <w14:solidFill>
              <w14:schemeClr w14:val="tx1"/>
            </w14:solidFill>
          </w14:textFill>
        </w:rPr>
        <w:t>系指响应比选、参加比选申请竞争的法人或其他组织</w:t>
      </w:r>
      <w:r>
        <w:rPr>
          <w:rFonts w:ascii="宋体" w:hAnsi="宋体"/>
          <w:color w:val="000000" w:themeColor="text1"/>
          <w:highlight w:val="none"/>
          <w14:textFill>
            <w14:solidFill>
              <w14:schemeClr w14:val="tx1"/>
            </w14:solidFill>
          </w14:textFill>
        </w:rPr>
        <w:t>。</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2.3</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服务</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系指比选文件规定比选申请人须承担的一切合同标的内容及配套工作。</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2.4比选申请文件电子版形式：每份包括office版本或WPS版本的全套比选申请文件(资格审查文件、价格文件和技术文件)和盖章后的全套比选申请文件(资格审查文件、价格文件和技术文件)正本的PDF版本扫描件。保存介质：U盘</w:t>
      </w:r>
      <w:r>
        <w:rPr>
          <w:rFonts w:ascii="宋体" w:hAnsi="宋体"/>
          <w:color w:val="000000" w:themeColor="text1"/>
          <w:highlight w:val="none"/>
          <w14:textFill>
            <w14:solidFill>
              <w14:schemeClr w14:val="tx1"/>
            </w14:solidFill>
          </w14:textFill>
        </w:rPr>
        <w:t>。</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2.5</w:t>
      </w:r>
      <w:r>
        <w:rPr>
          <w:rFonts w:ascii="宋体" w:hAnsi="宋体"/>
          <w:color w:val="000000" w:themeColor="text1"/>
          <w:highlight w:val="none"/>
          <w14:textFill>
            <w14:solidFill>
              <w14:schemeClr w14:val="tx1"/>
            </w14:solidFill>
          </w14:textFill>
        </w:rPr>
        <w:t>“书面形式”系指打字或印刷的函件，包括传真、电报等。</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2.6</w:t>
      </w:r>
      <w:r>
        <w:rPr>
          <w:rFonts w:ascii="宋体" w:hAnsi="宋体"/>
          <w:color w:val="000000" w:themeColor="text1"/>
          <w:highlight w:val="none"/>
          <w14:textFill>
            <w14:solidFill>
              <w14:schemeClr w14:val="tx1"/>
            </w14:solidFill>
          </w14:textFill>
        </w:rPr>
        <w:t>“日”、“天”系指日历天。</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2.7“保质期”系指质量三包的期限。</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96" w:name="_Toc383891170"/>
      <w:bookmarkStart w:id="97" w:name="_Toc390098421"/>
      <w:bookmarkStart w:id="98" w:name="_Toc492478720"/>
      <w:bookmarkStart w:id="99" w:name="_Toc375039066"/>
      <w:bookmarkStart w:id="100" w:name="_Toc385427795"/>
      <w:bookmarkStart w:id="101" w:name="_Toc12983507"/>
      <w:bookmarkStart w:id="102" w:name="_Toc7797"/>
      <w:bookmarkStart w:id="103" w:name="_Toc17568"/>
      <w:bookmarkStart w:id="104" w:name="_Toc31477"/>
      <w:bookmarkStart w:id="105" w:name="_Toc24844"/>
      <w:bookmarkStart w:id="106" w:name="_Toc29859"/>
      <w:bookmarkStart w:id="107" w:name="_Toc25786"/>
      <w:bookmarkStart w:id="108" w:name="_Toc18527"/>
      <w:bookmarkStart w:id="109" w:name="_Toc9929"/>
      <w:bookmarkStart w:id="110" w:name="_Toc17075"/>
      <w:bookmarkStart w:id="111" w:name="_Toc22115"/>
      <w:bookmarkStart w:id="112" w:name="_Toc22845"/>
      <w:bookmarkStart w:id="113" w:name="_Toc29401"/>
      <w:bookmarkStart w:id="114" w:name="_Toc10653"/>
      <w:bookmarkStart w:id="115" w:name="_Toc30498"/>
      <w:bookmarkStart w:id="116" w:name="_Toc8288"/>
      <w:bookmarkStart w:id="117" w:name="_Toc114134610"/>
      <w:bookmarkStart w:id="118" w:name="_Toc12940"/>
      <w:bookmarkStart w:id="119" w:name="_Toc21351"/>
      <w:bookmarkStart w:id="120" w:name="_Toc25750593"/>
      <w:bookmarkStart w:id="121" w:name="_Toc307"/>
      <w:bookmarkStart w:id="122" w:name="_Toc7306"/>
      <w:r>
        <w:rPr>
          <w:rFonts w:ascii="宋体" w:hAnsi="宋体"/>
          <w:color w:val="000000" w:themeColor="text1"/>
          <w:sz w:val="21"/>
          <w:szCs w:val="21"/>
          <w:highlight w:val="none"/>
          <w14:textFill>
            <w14:solidFill>
              <w14:schemeClr w14:val="tx1"/>
            </w14:solidFill>
          </w14:textFill>
        </w:rPr>
        <w:t>3. 比选申请人</w:t>
      </w:r>
      <w:bookmarkEnd w:id="96"/>
      <w:bookmarkEnd w:id="97"/>
      <w:bookmarkEnd w:id="98"/>
      <w:bookmarkEnd w:id="99"/>
      <w:bookmarkEnd w:id="100"/>
      <w:r>
        <w:rPr>
          <w:rFonts w:hint="eastAsia" w:ascii="宋体" w:hAnsi="宋体"/>
          <w:color w:val="000000" w:themeColor="text1"/>
          <w:sz w:val="21"/>
          <w:szCs w:val="21"/>
          <w:highlight w:val="none"/>
          <w14:textFill>
            <w14:solidFill>
              <w14:schemeClr w14:val="tx1"/>
            </w14:solidFill>
          </w14:textFill>
        </w:rPr>
        <w:t>应具备的资格条件</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3.1 </w:t>
      </w:r>
      <w:r>
        <w:rPr>
          <w:rFonts w:ascii="宋体" w:hAnsi="宋体"/>
          <w:color w:val="000000" w:themeColor="text1"/>
          <w:highlight w:val="none"/>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 xml:space="preserve">3.2 </w:t>
      </w:r>
      <w:r>
        <w:rPr>
          <w:rFonts w:hint="eastAsia" w:ascii="宋体" w:hAnsi="宋体"/>
          <w:color w:val="000000" w:themeColor="text1"/>
          <w:highlight w:val="none"/>
          <w14:textFill>
            <w14:solidFill>
              <w14:schemeClr w14:val="tx1"/>
            </w14:solidFill>
          </w14:textFill>
        </w:rPr>
        <w:t>比选申请人不得存在以下情况之一，否则其比选申请将被否决：</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14:textFill>
            <w14:solidFill>
              <w14:schemeClr w14:val="tx1"/>
            </w14:solidFill>
          </w14:textFill>
        </w:rPr>
        <w:t>）为比选人不具有独立法人资格的附属机构（单位）；</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（2）处于被责令停业，或比选申请资格被住建部、国家安监总局、广西区或南宁市建设行政主管部门取消，或财产被接管、冻结、破产状态；</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（3）有骗取中选、严重违约或重大质量安全责任事故；</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（4）单位负责人为同一人或者存在控股、管理关系的不同单位，不得同时参加同一标段比选申请或者未划分标段的同一比选项目比选申请；</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（5）比选申请人向比选人或评审委员会成员以行贿的手段谋取中选的；</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（6）串通比选申请或弄虚作假或有其他违法行为的；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（7）在比选申请文件中提供虚假文件或资料的。</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123" w:name="_Toc7103"/>
      <w:bookmarkStart w:id="124" w:name="_Toc616"/>
      <w:bookmarkStart w:id="125" w:name="_Toc1737"/>
      <w:bookmarkStart w:id="126" w:name="_Toc8434"/>
      <w:bookmarkStart w:id="127" w:name="_Toc21215"/>
      <w:bookmarkStart w:id="128" w:name="_Toc4438"/>
      <w:bookmarkStart w:id="129" w:name="_Toc31026"/>
      <w:bookmarkStart w:id="130" w:name="_Toc30752"/>
      <w:bookmarkStart w:id="131" w:name="_Toc390098422"/>
      <w:bookmarkStart w:id="132" w:name="_Toc31789"/>
      <w:bookmarkStart w:id="133" w:name="_Toc375039067"/>
      <w:bookmarkStart w:id="134" w:name="_Toc492478721"/>
      <w:bookmarkStart w:id="135" w:name="_Toc12983508"/>
      <w:bookmarkStart w:id="136" w:name="_Toc21602"/>
      <w:bookmarkStart w:id="137" w:name="_Toc19081"/>
      <w:bookmarkStart w:id="138" w:name="_Toc114134611"/>
      <w:bookmarkStart w:id="139" w:name="_Toc3292"/>
      <w:bookmarkStart w:id="140" w:name="_Toc24103"/>
      <w:bookmarkStart w:id="141" w:name="_Toc385427796"/>
      <w:bookmarkStart w:id="142" w:name="_Toc1125"/>
      <w:bookmarkStart w:id="143" w:name="_Toc25914"/>
      <w:bookmarkStart w:id="144" w:name="_Toc25750594"/>
      <w:bookmarkStart w:id="145" w:name="_Toc383891171"/>
      <w:bookmarkStart w:id="146" w:name="_Toc18668"/>
      <w:bookmarkStart w:id="147" w:name="_Toc19709"/>
      <w:bookmarkStart w:id="148" w:name="_Toc23146"/>
      <w:bookmarkStart w:id="149" w:name="_Toc7832"/>
      <w:r>
        <w:rPr>
          <w:rFonts w:hint="eastAsia" w:ascii="宋体" w:hAnsi="宋体"/>
          <w:color w:val="000000" w:themeColor="text1"/>
          <w:sz w:val="21"/>
          <w:szCs w:val="21"/>
          <w:highlight w:val="none"/>
          <w14:textFill>
            <w14:solidFill>
              <w14:schemeClr w14:val="tx1"/>
            </w14:solidFill>
          </w14:textFill>
        </w:rPr>
        <w:t xml:space="preserve">4. </w:t>
      </w:r>
      <w:r>
        <w:rPr>
          <w:rFonts w:ascii="宋体" w:hAnsi="宋体"/>
          <w:color w:val="000000" w:themeColor="text1"/>
          <w:sz w:val="21"/>
          <w:szCs w:val="21"/>
          <w:highlight w:val="none"/>
          <w14:textFill>
            <w14:solidFill>
              <w14:schemeClr w14:val="tx1"/>
            </w14:solidFill>
          </w14:textFill>
        </w:rPr>
        <w:t>比选申请费用</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比选申请人准备和参加比选申请活动发生的费用自理</w:t>
      </w:r>
      <w:r>
        <w:rPr>
          <w:rFonts w:ascii="宋体" w:hAnsi="宋体"/>
          <w:color w:val="000000" w:themeColor="text1"/>
          <w:highlight w:val="none"/>
          <w14:textFill>
            <w14:solidFill>
              <w14:schemeClr w14:val="tx1"/>
            </w14:solidFill>
          </w14:textFill>
        </w:rPr>
        <w:t>。</w:t>
      </w:r>
    </w:p>
    <w:p>
      <w:pPr>
        <w:pStyle w:val="3"/>
        <w:spacing w:after="0" w:afterAutospacing="0" w:line="360" w:lineRule="auto"/>
        <w:ind w:left="0" w:right="0" w:firstLine="482" w:firstLineChars="200"/>
        <w:rPr>
          <w:rFonts w:ascii="宋体" w:hAnsi="宋体" w:eastAsia="宋体"/>
          <w:color w:val="000000" w:themeColor="text1"/>
          <w:sz w:val="24"/>
          <w:szCs w:val="24"/>
          <w:highlight w:val="none"/>
          <w14:textFill>
            <w14:solidFill>
              <w14:schemeClr w14:val="tx1"/>
            </w14:solidFill>
          </w14:textFill>
        </w:rPr>
      </w:pPr>
      <w:bookmarkStart w:id="150" w:name="_Toc5160"/>
      <w:bookmarkStart w:id="151" w:name="_Toc18528"/>
      <w:bookmarkStart w:id="152" w:name="_Toc15763"/>
      <w:bookmarkStart w:id="153" w:name="_Toc8562"/>
      <w:bookmarkStart w:id="154" w:name="_Toc28220"/>
      <w:bookmarkStart w:id="155" w:name="_Toc385427797"/>
      <w:bookmarkStart w:id="156" w:name="_Toc5487"/>
      <w:bookmarkStart w:id="157" w:name="_Toc6528"/>
      <w:bookmarkStart w:id="158" w:name="_Toc3854"/>
      <w:bookmarkStart w:id="159" w:name="_Toc16530"/>
      <w:bookmarkStart w:id="160" w:name="_Toc2609"/>
      <w:bookmarkStart w:id="161" w:name="_Toc383891172"/>
      <w:bookmarkStart w:id="162" w:name="_Toc29160"/>
      <w:bookmarkStart w:id="163" w:name="_Toc16131"/>
      <w:bookmarkStart w:id="164" w:name="_Toc390098423"/>
      <w:bookmarkStart w:id="165" w:name="_Toc7339"/>
      <w:bookmarkStart w:id="166" w:name="_Toc12983509"/>
      <w:bookmarkStart w:id="167" w:name="_Toc114134612"/>
      <w:bookmarkStart w:id="168" w:name="_Toc9677"/>
      <w:bookmarkStart w:id="169" w:name="_Toc2986"/>
      <w:bookmarkStart w:id="170" w:name="_Toc492478722"/>
      <w:bookmarkStart w:id="171" w:name="_Toc16608"/>
      <w:bookmarkStart w:id="172" w:name="_Toc375039068"/>
      <w:bookmarkStart w:id="173" w:name="_Toc7012"/>
      <w:bookmarkStart w:id="174" w:name="_Toc19617"/>
      <w:bookmarkStart w:id="175" w:name="_Toc28017"/>
      <w:r>
        <w:rPr>
          <w:rFonts w:hint="eastAsia" w:ascii="宋体" w:hAnsi="宋体" w:eastAsia="宋体"/>
          <w:color w:val="000000" w:themeColor="text1"/>
          <w:sz w:val="24"/>
          <w:szCs w:val="24"/>
          <w:highlight w:val="none"/>
          <w14:textFill>
            <w14:solidFill>
              <w14:schemeClr w14:val="tx1"/>
            </w14:solidFill>
          </w14:textFill>
        </w:rPr>
        <w:t>二、</w:t>
      </w:r>
      <w:r>
        <w:rPr>
          <w:rFonts w:ascii="宋体" w:hAnsi="宋体" w:eastAsia="宋体"/>
          <w:color w:val="000000" w:themeColor="text1"/>
          <w:sz w:val="24"/>
          <w:szCs w:val="24"/>
          <w:highlight w:val="none"/>
          <w14:textFill>
            <w14:solidFill>
              <w14:schemeClr w14:val="tx1"/>
            </w14:solidFill>
          </w14:textFill>
        </w:rPr>
        <w:t>比选文件</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176" w:name="_Toc4157"/>
      <w:bookmarkStart w:id="177" w:name="_Toc29472"/>
      <w:bookmarkStart w:id="178" w:name="_Toc13114"/>
      <w:bookmarkStart w:id="179" w:name="_Toc25378"/>
      <w:bookmarkStart w:id="180" w:name="_Toc492478723"/>
      <w:bookmarkStart w:id="181" w:name="_Toc26333"/>
      <w:bookmarkStart w:id="182" w:name="_Toc30401"/>
      <w:bookmarkStart w:id="183" w:name="_Toc6764"/>
      <w:bookmarkStart w:id="184" w:name="_Toc390098424"/>
      <w:bookmarkStart w:id="185" w:name="_Toc6637"/>
      <w:bookmarkStart w:id="186" w:name="_Toc1404"/>
      <w:bookmarkStart w:id="187" w:name="_Toc2048"/>
      <w:bookmarkStart w:id="188" w:name="_Toc19561"/>
      <w:bookmarkStart w:id="189" w:name="_Toc32710"/>
      <w:bookmarkStart w:id="190" w:name="_Toc114134613"/>
      <w:bookmarkStart w:id="191" w:name="_Toc21811"/>
      <w:bookmarkStart w:id="192" w:name="_Toc383891173"/>
      <w:bookmarkStart w:id="193" w:name="_Toc27870"/>
      <w:bookmarkStart w:id="194" w:name="_Toc12983510"/>
      <w:bookmarkStart w:id="195" w:name="_Toc9756"/>
      <w:bookmarkStart w:id="196" w:name="_Toc839"/>
      <w:bookmarkStart w:id="197" w:name="_Toc375039069"/>
      <w:bookmarkStart w:id="198" w:name="_Toc25750596"/>
      <w:bookmarkStart w:id="199" w:name="_Toc5877"/>
      <w:bookmarkStart w:id="200" w:name="_Toc29225"/>
      <w:bookmarkStart w:id="201" w:name="_Toc385427798"/>
      <w:bookmarkStart w:id="202" w:name="_Toc18436"/>
      <w:r>
        <w:rPr>
          <w:rFonts w:hint="eastAsia" w:ascii="宋体" w:hAnsi="宋体"/>
          <w:color w:val="000000" w:themeColor="text1"/>
          <w:sz w:val="21"/>
          <w:szCs w:val="21"/>
          <w:highlight w:val="none"/>
          <w14:textFill>
            <w14:solidFill>
              <w14:schemeClr w14:val="tx1"/>
            </w14:solidFill>
          </w14:textFill>
        </w:rPr>
        <w:t xml:space="preserve">5. </w:t>
      </w:r>
      <w:r>
        <w:rPr>
          <w:rFonts w:ascii="宋体" w:hAnsi="宋体"/>
          <w:color w:val="000000" w:themeColor="text1"/>
          <w:sz w:val="21"/>
          <w:szCs w:val="21"/>
          <w:highlight w:val="none"/>
          <w14:textFill>
            <w14:solidFill>
              <w14:schemeClr w14:val="tx1"/>
            </w14:solidFill>
          </w14:textFill>
        </w:rPr>
        <w:t>比选文件构成</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5.1 </w:t>
      </w:r>
      <w:r>
        <w:rPr>
          <w:rFonts w:ascii="宋体" w:hAnsi="宋体"/>
          <w:color w:val="000000" w:themeColor="text1"/>
          <w:highlight w:val="none"/>
          <w14:textFill>
            <w14:solidFill>
              <w14:schemeClr w14:val="tx1"/>
            </w14:solidFill>
          </w14:textFill>
        </w:rPr>
        <w:t>比选文件包括下列内容：</w:t>
      </w:r>
    </w:p>
    <w:p>
      <w:pPr>
        <w:numPr>
          <w:ilvl w:val="0"/>
          <w:numId w:val="1"/>
        </w:num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比选公告</w:t>
      </w:r>
    </w:p>
    <w:p>
      <w:pPr>
        <w:numPr>
          <w:ilvl w:val="0"/>
          <w:numId w:val="1"/>
        </w:num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比选申请人须知</w:t>
      </w:r>
    </w:p>
    <w:p>
      <w:pPr>
        <w:numPr>
          <w:ilvl w:val="0"/>
          <w:numId w:val="1"/>
        </w:num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合同条款</w:t>
      </w:r>
      <w:r>
        <w:rPr>
          <w:rFonts w:hint="eastAsia" w:ascii="宋体" w:hAnsi="宋体"/>
          <w:color w:val="000000" w:themeColor="text1"/>
          <w:highlight w:val="none"/>
          <w14:textFill>
            <w14:solidFill>
              <w14:schemeClr w14:val="tx1"/>
            </w14:solidFill>
          </w14:textFill>
        </w:rPr>
        <w:t>及格式</w:t>
      </w:r>
    </w:p>
    <w:p>
      <w:pPr>
        <w:numPr>
          <w:ilvl w:val="0"/>
          <w:numId w:val="1"/>
        </w:num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比选申请文件格式</w:t>
      </w:r>
    </w:p>
    <w:p>
      <w:pPr>
        <w:numPr>
          <w:ilvl w:val="0"/>
          <w:numId w:val="1"/>
        </w:num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采购需求书</w:t>
      </w:r>
    </w:p>
    <w:p>
      <w:pPr>
        <w:numPr>
          <w:ilvl w:val="0"/>
          <w:numId w:val="1"/>
        </w:num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评</w:t>
      </w:r>
      <w:r>
        <w:rPr>
          <w:rFonts w:hint="eastAsia" w:ascii="宋体" w:hAnsi="宋体"/>
          <w:color w:val="000000" w:themeColor="text1"/>
          <w:highlight w:val="none"/>
          <w14:textFill>
            <w14:solidFill>
              <w14:schemeClr w14:val="tx1"/>
            </w14:solidFill>
          </w14:textFill>
        </w:rPr>
        <w:t>分</w:t>
      </w:r>
      <w:r>
        <w:rPr>
          <w:rFonts w:ascii="宋体" w:hAnsi="宋体"/>
          <w:color w:val="000000" w:themeColor="text1"/>
          <w:highlight w:val="none"/>
          <w14:textFill>
            <w14:solidFill>
              <w14:schemeClr w14:val="tx1"/>
            </w14:solidFill>
          </w14:textFill>
        </w:rPr>
        <w:t>办法</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5.2 </w:t>
      </w:r>
      <w:r>
        <w:rPr>
          <w:rFonts w:ascii="宋体" w:hAnsi="宋体"/>
          <w:color w:val="000000" w:themeColor="text1"/>
          <w:highlight w:val="none"/>
          <w14:textFill>
            <w14:solidFill>
              <w14:schemeClr w14:val="tx1"/>
            </w14:solidFill>
          </w14:textFill>
        </w:rPr>
        <w:t>比选申请人应认真检阅比选文件中所有的章节、条款、格式、图纸、附表和附件等。如果在收到比选文件后发现有缺页、印刷不清楚或对其中内容不理解而未向</w:t>
      </w:r>
      <w:r>
        <w:rPr>
          <w:rFonts w:hint="eastAsia" w:ascii="宋体" w:hAnsi="宋体"/>
          <w:color w:val="000000" w:themeColor="text1"/>
          <w:highlight w:val="none"/>
          <w14:textFill>
            <w14:solidFill>
              <w14:schemeClr w14:val="tx1"/>
            </w14:solidFill>
          </w14:textFill>
        </w:rPr>
        <w:t>比选人</w:t>
      </w:r>
      <w:r>
        <w:rPr>
          <w:rFonts w:ascii="宋体" w:hAnsi="宋体"/>
          <w:color w:val="000000" w:themeColor="text1"/>
          <w:highlight w:val="none"/>
          <w14:textFill>
            <w14:solidFill>
              <w14:schemeClr w14:val="tx1"/>
            </w14:solidFill>
          </w14:textFill>
        </w:rPr>
        <w:t>提出，由此导致的比选申请失误，其责任由比选申请人自负。</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5.3 </w:t>
      </w:r>
      <w:r>
        <w:rPr>
          <w:rFonts w:ascii="宋体" w:hAnsi="宋体"/>
          <w:color w:val="000000" w:themeColor="text1"/>
          <w:highlight w:val="none"/>
          <w14:textFill>
            <w14:solidFill>
              <w14:schemeClr w14:val="tx1"/>
            </w14:solidFill>
          </w14:textFill>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203" w:name="_Toc383891174"/>
      <w:bookmarkStart w:id="204" w:name="_Toc11896"/>
      <w:bookmarkStart w:id="205" w:name="_Toc2789"/>
      <w:bookmarkStart w:id="206" w:name="_Toc15154"/>
      <w:bookmarkStart w:id="207" w:name="_Toc17279"/>
      <w:bookmarkStart w:id="208" w:name="_Toc114134614"/>
      <w:bookmarkStart w:id="209" w:name="_Toc2489"/>
      <w:bookmarkStart w:id="210" w:name="_Toc2664"/>
      <w:bookmarkStart w:id="211" w:name="_Toc29001"/>
      <w:bookmarkStart w:id="212" w:name="_Toc375039070"/>
      <w:bookmarkStart w:id="213" w:name="_Toc14426"/>
      <w:bookmarkStart w:id="214" w:name="_Toc18719"/>
      <w:bookmarkStart w:id="215" w:name="_Toc31848"/>
      <w:bookmarkStart w:id="216" w:name="_Toc26909"/>
      <w:bookmarkStart w:id="217" w:name="_Toc385427799"/>
      <w:bookmarkStart w:id="218" w:name="_Toc31386"/>
      <w:bookmarkStart w:id="219" w:name="_Toc390098425"/>
      <w:bookmarkStart w:id="220" w:name="_Toc20903"/>
      <w:bookmarkStart w:id="221" w:name="_Toc6622"/>
      <w:bookmarkStart w:id="222" w:name="_Toc492478724"/>
      <w:bookmarkStart w:id="223" w:name="_Toc18631"/>
      <w:bookmarkStart w:id="224" w:name="_Toc12983511"/>
      <w:bookmarkStart w:id="225" w:name="_Toc26811"/>
      <w:bookmarkStart w:id="226" w:name="_Toc10162"/>
      <w:bookmarkStart w:id="227" w:name="_Toc28270"/>
      <w:bookmarkStart w:id="228" w:name="_Toc25750597"/>
      <w:bookmarkStart w:id="229" w:name="_Toc21365"/>
      <w:r>
        <w:rPr>
          <w:rFonts w:hint="eastAsia" w:ascii="宋体" w:hAnsi="宋体"/>
          <w:color w:val="000000" w:themeColor="text1"/>
          <w:sz w:val="21"/>
          <w:szCs w:val="21"/>
          <w:highlight w:val="none"/>
          <w14:textFill>
            <w14:solidFill>
              <w14:schemeClr w14:val="tx1"/>
            </w14:solidFill>
          </w14:textFill>
        </w:rPr>
        <w:t>6.</w:t>
      </w:r>
      <w:r>
        <w:rPr>
          <w:rFonts w:ascii="宋体" w:hAnsi="宋体"/>
          <w:color w:val="000000" w:themeColor="text1"/>
          <w:sz w:val="21"/>
          <w:szCs w:val="21"/>
          <w:highlight w:val="none"/>
          <w14:textFill>
            <w14:solidFill>
              <w14:schemeClr w14:val="tx1"/>
            </w14:solidFill>
          </w14:textFill>
        </w:rPr>
        <w:t>比选文件的澄清</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6.1 </w:t>
      </w:r>
      <w:r>
        <w:rPr>
          <w:rFonts w:ascii="宋体" w:hAnsi="宋体"/>
          <w:color w:val="000000" w:themeColor="text1"/>
          <w:highlight w:val="none"/>
          <w14:textFill>
            <w14:solidFill>
              <w14:schemeClr w14:val="tx1"/>
            </w14:solidFill>
          </w14:textFill>
        </w:rPr>
        <w:t>任何要求对比选文件进行澄清的比选申请人，应在比选申请须知前附表所规定的时间</w:t>
      </w:r>
      <w:r>
        <w:rPr>
          <w:rFonts w:hint="eastAsia" w:ascii="宋体" w:hAnsi="宋体"/>
          <w:color w:val="000000" w:themeColor="text1"/>
          <w:highlight w:val="none"/>
          <w14:textFill>
            <w14:solidFill>
              <w14:schemeClr w14:val="tx1"/>
            </w14:solidFill>
          </w14:textFill>
        </w:rPr>
        <w:t>及形式向比选人提出。</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6.2 比选人</w:t>
      </w:r>
      <w:r>
        <w:rPr>
          <w:rFonts w:ascii="宋体" w:hAnsi="宋体"/>
          <w:color w:val="000000" w:themeColor="text1"/>
          <w:highlight w:val="none"/>
          <w14:textFill>
            <w14:solidFill>
              <w14:schemeClr w14:val="tx1"/>
            </w14:solidFill>
          </w14:textFill>
        </w:rPr>
        <w:t>将根据比选申请人的</w:t>
      </w:r>
      <w:r>
        <w:rPr>
          <w:rFonts w:hint="eastAsia" w:ascii="宋体" w:hAnsi="宋体"/>
          <w:color w:val="000000" w:themeColor="text1"/>
          <w:highlight w:val="none"/>
          <w14:textFill>
            <w14:solidFill>
              <w14:schemeClr w14:val="tx1"/>
            </w14:solidFill>
          </w14:textFill>
        </w:rPr>
        <w:t>书面</w:t>
      </w:r>
      <w:r>
        <w:rPr>
          <w:rFonts w:ascii="宋体" w:hAnsi="宋体"/>
          <w:color w:val="000000" w:themeColor="text1"/>
          <w:highlight w:val="none"/>
          <w14:textFill>
            <w14:solidFill>
              <w14:schemeClr w14:val="tx1"/>
            </w14:solidFill>
          </w14:textFill>
        </w:rPr>
        <w:t>澄清要求</w:t>
      </w:r>
      <w:r>
        <w:rPr>
          <w:rFonts w:hint="eastAsia" w:ascii="宋体" w:hAnsi="宋体"/>
          <w:color w:val="000000" w:themeColor="text1"/>
          <w:highlight w:val="none"/>
          <w14:textFill>
            <w14:solidFill>
              <w14:schemeClr w14:val="tx1"/>
            </w14:solidFill>
          </w14:textFill>
        </w:rPr>
        <w:t>进行澄清答复，答复的方式及比选申请人确认的方式详见比选申请须知前附表，比选人</w:t>
      </w:r>
      <w:r>
        <w:rPr>
          <w:rFonts w:ascii="宋体" w:hAnsi="宋体"/>
          <w:color w:val="000000" w:themeColor="text1"/>
          <w:highlight w:val="none"/>
          <w14:textFill>
            <w14:solidFill>
              <w14:schemeClr w14:val="tx1"/>
            </w14:solidFill>
          </w14:textFill>
        </w:rPr>
        <w:t>只答复与比选文件内容有关的问题，并有权对任何与比选文件无关的问题不作回答。</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230" w:name="_Toc14181"/>
      <w:bookmarkStart w:id="231" w:name="_Toc492478725"/>
      <w:bookmarkStart w:id="232" w:name="_Toc385427800"/>
      <w:bookmarkStart w:id="233" w:name="_Toc24191"/>
      <w:bookmarkStart w:id="234" w:name="_Toc2976"/>
      <w:bookmarkStart w:id="235" w:name="_Toc7063"/>
      <w:bookmarkStart w:id="236" w:name="_Toc24583"/>
      <w:bookmarkStart w:id="237" w:name="_Toc15498"/>
      <w:bookmarkStart w:id="238" w:name="_Toc390098426"/>
      <w:bookmarkStart w:id="239" w:name="_Toc2072"/>
      <w:bookmarkStart w:id="240" w:name="_Toc25750598"/>
      <w:bookmarkStart w:id="241" w:name="_Toc30378"/>
      <w:bookmarkStart w:id="242" w:name="_Toc29795"/>
      <w:bookmarkStart w:id="243" w:name="_Toc19345"/>
      <w:bookmarkStart w:id="244" w:name="_Toc23189"/>
      <w:bookmarkStart w:id="245" w:name="_Toc114134615"/>
      <w:bookmarkStart w:id="246" w:name="_Toc15674"/>
      <w:bookmarkStart w:id="247" w:name="_Toc383891175"/>
      <w:bookmarkStart w:id="248" w:name="_Toc24128"/>
      <w:bookmarkStart w:id="249" w:name="_Toc15137"/>
      <w:bookmarkStart w:id="250" w:name="_Toc375039071"/>
      <w:bookmarkStart w:id="251" w:name="_Toc22529"/>
      <w:bookmarkStart w:id="252" w:name="_Toc23716"/>
      <w:bookmarkStart w:id="253" w:name="_Toc5364"/>
      <w:bookmarkStart w:id="254" w:name="_Toc27124"/>
      <w:bookmarkStart w:id="255" w:name="_Toc26952"/>
      <w:bookmarkStart w:id="256" w:name="_Toc12983512"/>
      <w:r>
        <w:rPr>
          <w:rFonts w:hint="eastAsia" w:ascii="宋体" w:hAnsi="宋体"/>
          <w:color w:val="000000" w:themeColor="text1"/>
          <w:sz w:val="21"/>
          <w:szCs w:val="21"/>
          <w:highlight w:val="none"/>
          <w14:textFill>
            <w14:solidFill>
              <w14:schemeClr w14:val="tx1"/>
            </w14:solidFill>
          </w14:textFill>
        </w:rPr>
        <w:t xml:space="preserve">7. </w:t>
      </w:r>
      <w:r>
        <w:rPr>
          <w:rFonts w:ascii="宋体" w:hAnsi="宋体"/>
          <w:color w:val="000000" w:themeColor="text1"/>
          <w:sz w:val="21"/>
          <w:szCs w:val="21"/>
          <w:highlight w:val="none"/>
          <w14:textFill>
            <w14:solidFill>
              <w14:schemeClr w14:val="tx1"/>
            </w14:solidFill>
          </w14:textFill>
        </w:rPr>
        <w:t>比选文件的补遗或修改</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7.1 </w:t>
      </w:r>
      <w:r>
        <w:rPr>
          <w:rFonts w:ascii="宋体" w:hAnsi="宋体"/>
          <w:color w:val="000000" w:themeColor="text1"/>
          <w:highlight w:val="none"/>
          <w14:textFill>
            <w14:solidFill>
              <w14:schemeClr w14:val="tx1"/>
            </w14:solidFill>
          </w14:textFill>
        </w:rPr>
        <w:t>在比选申请截止期前，无论出于何种原因，</w:t>
      </w:r>
      <w:r>
        <w:rPr>
          <w:rFonts w:hint="eastAsia" w:ascii="宋体" w:hAnsi="宋体"/>
          <w:color w:val="000000" w:themeColor="text1"/>
          <w:highlight w:val="none"/>
          <w14:textFill>
            <w14:solidFill>
              <w14:schemeClr w14:val="tx1"/>
            </w14:solidFill>
          </w14:textFill>
        </w:rPr>
        <w:t>比选人</w:t>
      </w:r>
      <w:r>
        <w:rPr>
          <w:rFonts w:ascii="宋体" w:hAnsi="宋体"/>
          <w:color w:val="000000" w:themeColor="text1"/>
          <w:highlight w:val="none"/>
          <w14:textFill>
            <w14:solidFill>
              <w14:schemeClr w14:val="tx1"/>
            </w14:solidFill>
          </w14:textFill>
        </w:rPr>
        <w:t>可以主动或应比选申请人澄清要求对比选文件进行必要的补遗或修改。</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7.2 </w:t>
      </w:r>
      <w:r>
        <w:rPr>
          <w:rFonts w:ascii="宋体" w:hAnsi="宋体"/>
          <w:color w:val="000000" w:themeColor="text1"/>
          <w:highlight w:val="none"/>
          <w14:textFill>
            <w14:solidFill>
              <w14:schemeClr w14:val="tx1"/>
            </w14:solidFill>
          </w14:textFill>
        </w:rPr>
        <w:t>比选文件的补遗或修改通知是比选文件的组成部分，补充比选文件在</w:t>
      </w:r>
      <w:r>
        <w:rPr>
          <w:rFonts w:hint="eastAsia" w:ascii="宋体" w:hAnsi="宋体"/>
          <w:color w:val="000000" w:themeColor="text1"/>
          <w:highlight w:val="none"/>
          <w:lang w:eastAsia="zh-CN"/>
          <w14:textFill>
            <w14:solidFill>
              <w14:schemeClr w14:val="tx1"/>
            </w14:solidFill>
          </w14:textFill>
        </w:rPr>
        <w:t>南宁兴邕城市更新有限责任公司</w:t>
      </w:r>
      <w:r>
        <w:rPr>
          <w:rFonts w:hint="eastAsia" w:ascii="宋体" w:hAnsi="宋体"/>
          <w:color w:val="000000" w:themeColor="text1"/>
          <w:highlight w:val="none"/>
          <w14:textFill>
            <w14:solidFill>
              <w14:schemeClr w14:val="tx1"/>
            </w14:solidFill>
          </w14:textFill>
        </w:rPr>
        <w:t>官网</w:t>
      </w:r>
      <w:r>
        <w:rPr>
          <w:rFonts w:ascii="宋体" w:hAnsi="宋体"/>
          <w:color w:val="000000" w:themeColor="text1"/>
          <w:highlight w:val="none"/>
          <w14:textFill>
            <w14:solidFill>
              <w14:schemeClr w14:val="tx1"/>
            </w14:solidFill>
          </w14:textFill>
        </w:rPr>
        <w:t>上发布之日起，视为比选申请人已收到该补充比选文件。比选申请人未及时关注</w:t>
      </w:r>
      <w:r>
        <w:rPr>
          <w:rFonts w:hint="eastAsia" w:ascii="宋体" w:hAnsi="宋体"/>
          <w:color w:val="000000" w:themeColor="text1"/>
          <w:highlight w:val="none"/>
          <w:lang w:eastAsia="zh-CN"/>
          <w14:textFill>
            <w14:solidFill>
              <w14:schemeClr w14:val="tx1"/>
            </w14:solidFill>
          </w14:textFill>
        </w:rPr>
        <w:t>南宁兴邕城市更新有限责任公司</w:t>
      </w:r>
      <w:r>
        <w:rPr>
          <w:rFonts w:hint="eastAsia" w:ascii="宋体" w:hAnsi="宋体"/>
          <w:color w:val="000000" w:themeColor="text1"/>
          <w:highlight w:val="none"/>
          <w14:textFill>
            <w14:solidFill>
              <w14:schemeClr w14:val="tx1"/>
            </w14:solidFill>
          </w14:textFill>
        </w:rPr>
        <w:t>官网</w:t>
      </w:r>
      <w:r>
        <w:rPr>
          <w:rFonts w:ascii="宋体" w:hAnsi="宋体"/>
          <w:color w:val="000000" w:themeColor="text1"/>
          <w:highlight w:val="none"/>
          <w14:textFill>
            <w14:solidFill>
              <w14:schemeClr w14:val="tx1"/>
            </w14:solidFill>
          </w14:textFill>
        </w:rPr>
        <w:t>上发布的补充比选文件造成的损失，由比选申请人自行负责。</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7.3 </w:t>
      </w:r>
      <w:r>
        <w:rPr>
          <w:rFonts w:ascii="宋体" w:hAnsi="宋体"/>
          <w:color w:val="000000" w:themeColor="text1"/>
          <w:highlight w:val="none"/>
          <w14:textFill>
            <w14:solidFill>
              <w14:schemeClr w14:val="tx1"/>
            </w14:solidFill>
          </w14:textFill>
        </w:rPr>
        <w:t>当后发的补遗或修改通知与原比选文件或此前发出的补遗或修改通知之间存有不一致时，应以后发的补遗或修改通知为准。</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7.4 </w:t>
      </w:r>
      <w:r>
        <w:rPr>
          <w:rFonts w:ascii="宋体" w:hAnsi="宋体"/>
          <w:color w:val="000000" w:themeColor="text1"/>
          <w:highlight w:val="none"/>
          <w14:textFill>
            <w14:solidFill>
              <w14:schemeClr w14:val="tx1"/>
            </w14:solidFill>
          </w14:textFill>
        </w:rPr>
        <w:t>为使比选申请人准备比选申请时有充分时间对比选文件的补遗或修改部分进行研究，</w:t>
      </w:r>
      <w:r>
        <w:rPr>
          <w:rFonts w:hint="eastAsia" w:ascii="宋体" w:hAnsi="宋体"/>
          <w:color w:val="000000" w:themeColor="text1"/>
          <w:highlight w:val="none"/>
          <w14:textFill>
            <w14:solidFill>
              <w14:schemeClr w14:val="tx1"/>
            </w14:solidFill>
          </w14:textFill>
        </w:rPr>
        <w:t>比选人</w:t>
      </w:r>
      <w:r>
        <w:rPr>
          <w:rFonts w:ascii="宋体" w:hAnsi="宋体"/>
          <w:color w:val="000000" w:themeColor="text1"/>
          <w:highlight w:val="none"/>
          <w14:textFill>
            <w14:solidFill>
              <w14:schemeClr w14:val="tx1"/>
            </w14:solidFill>
          </w14:textFill>
        </w:rPr>
        <w:t>可适当推迟比选申请截止</w:t>
      </w:r>
      <w:r>
        <w:rPr>
          <w:rFonts w:hint="eastAsia" w:ascii="宋体" w:hAnsi="宋体"/>
          <w:color w:val="000000" w:themeColor="text1"/>
          <w:highlight w:val="none"/>
          <w14:textFill>
            <w14:solidFill>
              <w14:schemeClr w14:val="tx1"/>
            </w14:solidFill>
          </w14:textFill>
        </w:rPr>
        <w:t>时间</w:t>
      </w:r>
      <w:r>
        <w:rPr>
          <w:rFonts w:ascii="宋体" w:hAnsi="宋体"/>
          <w:color w:val="000000" w:themeColor="text1"/>
          <w:highlight w:val="none"/>
          <w14:textFill>
            <w14:solidFill>
              <w14:schemeClr w14:val="tx1"/>
            </w14:solidFill>
          </w14:textFill>
        </w:rPr>
        <w:t>。</w:t>
      </w:r>
    </w:p>
    <w:p>
      <w:pPr>
        <w:pStyle w:val="3"/>
        <w:spacing w:after="0" w:afterAutospacing="0" w:line="360" w:lineRule="auto"/>
        <w:ind w:left="0" w:right="0" w:firstLine="482" w:firstLineChars="200"/>
        <w:rPr>
          <w:rFonts w:ascii="宋体" w:hAnsi="宋体" w:eastAsia="宋体"/>
          <w:color w:val="000000" w:themeColor="text1"/>
          <w:sz w:val="24"/>
          <w:szCs w:val="24"/>
          <w:highlight w:val="none"/>
          <w14:textFill>
            <w14:solidFill>
              <w14:schemeClr w14:val="tx1"/>
            </w14:solidFill>
          </w14:textFill>
        </w:rPr>
      </w:pPr>
      <w:bookmarkStart w:id="257" w:name="_Toc390098427"/>
      <w:bookmarkStart w:id="258" w:name="_Toc28044"/>
      <w:bookmarkStart w:id="259" w:name="_Toc24759"/>
      <w:bookmarkStart w:id="260" w:name="_Toc14185"/>
      <w:bookmarkStart w:id="261" w:name="_Toc12983513"/>
      <w:bookmarkStart w:id="262" w:name="_Toc10869"/>
      <w:bookmarkStart w:id="263" w:name="_Toc9387"/>
      <w:bookmarkStart w:id="264" w:name="_Toc95"/>
      <w:bookmarkStart w:id="265" w:name="_Toc17692"/>
      <w:bookmarkStart w:id="266" w:name="_Toc6715"/>
      <w:bookmarkStart w:id="267" w:name="_Toc25361"/>
      <w:bookmarkStart w:id="268" w:name="_Toc5805"/>
      <w:bookmarkStart w:id="269" w:name="_Toc385427801"/>
      <w:bookmarkStart w:id="270" w:name="_Toc27913"/>
      <w:bookmarkStart w:id="271" w:name="_Toc492478726"/>
      <w:bookmarkStart w:id="272" w:name="_Toc30363"/>
      <w:bookmarkStart w:id="273" w:name="_Toc4718"/>
      <w:bookmarkStart w:id="274" w:name="_Toc16406"/>
      <w:bookmarkStart w:id="275" w:name="_Toc114134616"/>
      <w:bookmarkStart w:id="276" w:name="_Toc375039072"/>
      <w:bookmarkStart w:id="277" w:name="_Toc2902"/>
      <w:bookmarkStart w:id="278" w:name="_Toc383891176"/>
      <w:bookmarkStart w:id="279" w:name="_Toc18679"/>
      <w:bookmarkStart w:id="280" w:name="_Toc7604"/>
      <w:bookmarkStart w:id="281" w:name="_Toc17335"/>
      <w:bookmarkStart w:id="282" w:name="_Toc24557"/>
      <w:r>
        <w:rPr>
          <w:rFonts w:hint="eastAsia" w:ascii="宋体" w:hAnsi="宋体" w:eastAsia="宋体"/>
          <w:color w:val="000000" w:themeColor="text1"/>
          <w:sz w:val="24"/>
          <w:szCs w:val="24"/>
          <w:highlight w:val="none"/>
          <w14:textFill>
            <w14:solidFill>
              <w14:schemeClr w14:val="tx1"/>
            </w14:solidFill>
          </w14:textFill>
        </w:rPr>
        <w:t>三、</w:t>
      </w:r>
      <w:r>
        <w:rPr>
          <w:rFonts w:ascii="宋体" w:hAnsi="宋体" w:eastAsia="宋体"/>
          <w:color w:val="000000" w:themeColor="text1"/>
          <w:sz w:val="24"/>
          <w:szCs w:val="24"/>
          <w:highlight w:val="none"/>
          <w14:textFill>
            <w14:solidFill>
              <w14:schemeClr w14:val="tx1"/>
            </w14:solidFill>
          </w14:textFill>
        </w:rPr>
        <w:t>比选申请文件的编制</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283" w:name="_Toc390098428"/>
      <w:bookmarkStart w:id="284" w:name="_Toc12074"/>
      <w:bookmarkStart w:id="285" w:name="_Toc4384"/>
      <w:bookmarkStart w:id="286" w:name="_Toc16186"/>
      <w:bookmarkStart w:id="287" w:name="_Toc492478727"/>
      <w:bookmarkStart w:id="288" w:name="_Toc1733"/>
      <w:bookmarkStart w:id="289" w:name="_Toc18350"/>
      <w:bookmarkStart w:id="290" w:name="_Toc383891177"/>
      <w:bookmarkStart w:id="291" w:name="_Toc114134617"/>
      <w:bookmarkStart w:id="292" w:name="_Toc11259"/>
      <w:bookmarkStart w:id="293" w:name="_Toc12456"/>
      <w:bookmarkStart w:id="294" w:name="_Toc26150"/>
      <w:bookmarkStart w:id="295" w:name="_Toc13418"/>
      <w:bookmarkStart w:id="296" w:name="_Toc21673"/>
      <w:bookmarkStart w:id="297" w:name="_Toc23794"/>
      <w:bookmarkStart w:id="298" w:name="_Toc9592"/>
      <w:bookmarkStart w:id="299" w:name="_Toc32435"/>
      <w:bookmarkStart w:id="300" w:name="_Toc12983514"/>
      <w:bookmarkStart w:id="301" w:name="_Toc2819"/>
      <w:bookmarkStart w:id="302" w:name="_Toc375039073"/>
      <w:bookmarkStart w:id="303" w:name="_Toc20025"/>
      <w:bookmarkStart w:id="304" w:name="_Toc5164"/>
      <w:bookmarkStart w:id="305" w:name="_Toc16435"/>
      <w:bookmarkStart w:id="306" w:name="_Toc29862"/>
      <w:bookmarkStart w:id="307" w:name="_Toc385427802"/>
      <w:bookmarkStart w:id="308" w:name="_Toc26680"/>
      <w:bookmarkStart w:id="309" w:name="_Toc25750600"/>
      <w:r>
        <w:rPr>
          <w:rFonts w:hint="eastAsia" w:ascii="宋体" w:hAnsi="宋体"/>
          <w:color w:val="000000" w:themeColor="text1"/>
          <w:sz w:val="21"/>
          <w:szCs w:val="21"/>
          <w:highlight w:val="none"/>
          <w14:textFill>
            <w14:solidFill>
              <w14:schemeClr w14:val="tx1"/>
            </w14:solidFill>
          </w14:textFill>
        </w:rPr>
        <w:t xml:space="preserve">8. </w:t>
      </w:r>
      <w:r>
        <w:rPr>
          <w:rFonts w:ascii="宋体" w:hAnsi="宋体"/>
          <w:color w:val="000000" w:themeColor="text1"/>
          <w:sz w:val="21"/>
          <w:szCs w:val="21"/>
          <w:highlight w:val="none"/>
          <w14:textFill>
            <w14:solidFill>
              <w14:schemeClr w14:val="tx1"/>
            </w14:solidFill>
          </w14:textFill>
        </w:rPr>
        <w:t>编制要求</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比选申请人应认真阅读比选文件的所有内容，按比选文件的要求提供比选申请文件，并保证提供的全部资料的真实性，以使其比选申请对比选文件作出实质性响应，否则，其比选申请将被否决。</w:t>
      </w:r>
    </w:p>
    <w:p>
      <w:pPr>
        <w:pStyle w:val="4"/>
        <w:numPr>
          <w:ilvl w:val="0"/>
          <w:numId w:val="2"/>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310" w:name="_Toc24857"/>
      <w:bookmarkStart w:id="311" w:name="_Toc25770"/>
      <w:bookmarkStart w:id="312" w:name="_Toc26753"/>
      <w:bookmarkStart w:id="313" w:name="_Toc25750601"/>
      <w:bookmarkStart w:id="314" w:name="_Toc24935"/>
      <w:bookmarkStart w:id="315" w:name="_Toc11040"/>
      <w:bookmarkStart w:id="316" w:name="_Toc12207"/>
      <w:bookmarkStart w:id="317" w:name="_Toc492478728"/>
      <w:bookmarkStart w:id="318" w:name="_Toc15570"/>
      <w:bookmarkStart w:id="319" w:name="_Toc11161"/>
      <w:bookmarkStart w:id="320" w:name="_Toc10368"/>
      <w:bookmarkStart w:id="321" w:name="_Toc22026"/>
      <w:bookmarkStart w:id="322" w:name="_Toc19885"/>
      <w:bookmarkStart w:id="323" w:name="_Toc375039074"/>
      <w:bookmarkStart w:id="324" w:name="_Toc17682"/>
      <w:bookmarkStart w:id="325" w:name="_Toc383891178"/>
      <w:bookmarkStart w:id="326" w:name="_Toc3492"/>
      <w:bookmarkStart w:id="327" w:name="_Toc6261"/>
      <w:bookmarkStart w:id="328" w:name="_Toc16237"/>
      <w:bookmarkStart w:id="329" w:name="_Toc28296"/>
      <w:bookmarkStart w:id="330" w:name="_Toc28065"/>
      <w:bookmarkStart w:id="331" w:name="_Toc1047"/>
      <w:bookmarkStart w:id="332" w:name="_Toc9887"/>
      <w:bookmarkStart w:id="333" w:name="_Toc114134618"/>
      <w:bookmarkStart w:id="334" w:name="_Toc385427803"/>
      <w:bookmarkStart w:id="335" w:name="_Toc390098429"/>
      <w:bookmarkStart w:id="336" w:name="_Toc12983515"/>
      <w:r>
        <w:rPr>
          <w:rFonts w:ascii="宋体" w:hAnsi="宋体"/>
          <w:color w:val="000000" w:themeColor="text1"/>
          <w:sz w:val="21"/>
          <w:szCs w:val="21"/>
          <w:highlight w:val="none"/>
          <w14:textFill>
            <w14:solidFill>
              <w14:schemeClr w14:val="tx1"/>
            </w14:solidFill>
          </w14:textFill>
        </w:rPr>
        <w:t>比选申请语言及计量单位</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9.1 </w:t>
      </w:r>
      <w:r>
        <w:rPr>
          <w:rFonts w:ascii="宋体" w:hAnsi="宋体"/>
          <w:color w:val="000000" w:themeColor="text1"/>
          <w:highlight w:val="none"/>
          <w14:textFill>
            <w14:solidFill>
              <w14:schemeClr w14:val="tx1"/>
            </w14:solidFill>
          </w14:textFill>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9.2 </w:t>
      </w:r>
      <w:r>
        <w:rPr>
          <w:rFonts w:ascii="宋体" w:hAnsi="宋体"/>
          <w:color w:val="000000" w:themeColor="text1"/>
          <w:highlight w:val="none"/>
          <w14:textFill>
            <w14:solidFill>
              <w14:schemeClr w14:val="tx1"/>
            </w14:solidFill>
          </w14:textFill>
        </w:rPr>
        <w:t>除在比选文件另有规定外，计量单位应使用中华人民共和国法定计量单位。</w:t>
      </w:r>
    </w:p>
    <w:p>
      <w:pPr>
        <w:pStyle w:val="4"/>
        <w:numPr>
          <w:ilvl w:val="0"/>
          <w:numId w:val="2"/>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337" w:name="_Toc23229"/>
      <w:bookmarkStart w:id="338" w:name="_Toc22476"/>
      <w:bookmarkStart w:id="339" w:name="_Toc383891179"/>
      <w:bookmarkStart w:id="340" w:name="_Toc23364"/>
      <w:bookmarkStart w:id="341" w:name="_Toc30991"/>
      <w:bookmarkStart w:id="342" w:name="_Toc12983516"/>
      <w:bookmarkStart w:id="343" w:name="_Toc53"/>
      <w:bookmarkStart w:id="344" w:name="_Toc29881"/>
      <w:bookmarkStart w:id="345" w:name="_Toc3411"/>
      <w:bookmarkStart w:id="346" w:name="_Toc22703"/>
      <w:bookmarkStart w:id="347" w:name="_Toc30356"/>
      <w:bookmarkStart w:id="348" w:name="_Toc24760"/>
      <w:bookmarkStart w:id="349" w:name="_Toc25750602"/>
      <w:bookmarkStart w:id="350" w:name="_Toc375039075"/>
      <w:bookmarkStart w:id="351" w:name="_Toc3464"/>
      <w:bookmarkStart w:id="352" w:name="_Toc385427804"/>
      <w:bookmarkStart w:id="353" w:name="_Toc15809"/>
      <w:bookmarkStart w:id="354" w:name="_Toc14323"/>
      <w:bookmarkStart w:id="355" w:name="_Toc19681"/>
      <w:bookmarkStart w:id="356" w:name="_Toc114134619"/>
      <w:bookmarkStart w:id="357" w:name="_Toc14869"/>
      <w:bookmarkStart w:id="358" w:name="_Toc28164"/>
      <w:bookmarkStart w:id="359" w:name="_Toc390098430"/>
      <w:bookmarkStart w:id="360" w:name="_Toc492478729"/>
      <w:bookmarkStart w:id="361" w:name="_Toc18149"/>
      <w:bookmarkStart w:id="362" w:name="_Toc16307"/>
      <w:bookmarkStart w:id="363" w:name="_Toc3877"/>
      <w:r>
        <w:rPr>
          <w:rFonts w:ascii="宋体" w:hAnsi="宋体"/>
          <w:color w:val="000000" w:themeColor="text1"/>
          <w:sz w:val="21"/>
          <w:szCs w:val="21"/>
          <w:highlight w:val="none"/>
          <w14:textFill>
            <w14:solidFill>
              <w14:schemeClr w14:val="tx1"/>
            </w14:solidFill>
          </w14:textFill>
        </w:rPr>
        <w:t>比选申请文件组成</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pPr>
        <w:tabs>
          <w:tab w:val="left" w:pos="1134"/>
          <w:tab w:val="left" w:pos="1701"/>
          <w:tab w:val="left" w:pos="1843"/>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10.1 </w:t>
      </w:r>
      <w:r>
        <w:rPr>
          <w:rFonts w:ascii="宋体" w:hAnsi="宋体"/>
          <w:color w:val="000000" w:themeColor="text1"/>
          <w:highlight w:val="none"/>
          <w14:textFill>
            <w14:solidFill>
              <w14:schemeClr w14:val="tx1"/>
            </w14:solidFill>
          </w14:textFill>
        </w:rPr>
        <w:t>比选申请文件应提供足够、准确和真实的信息，以供评审委员会判断比选申请人是否具备承担本项目的能力。比选申请人递交的比选申请文件</w:t>
      </w:r>
      <w:r>
        <w:rPr>
          <w:rFonts w:hint="eastAsia" w:ascii="宋体" w:hAnsi="宋体"/>
          <w:color w:val="000000" w:themeColor="text1"/>
          <w:highlight w:val="none"/>
          <w14:textFill>
            <w14:solidFill>
              <w14:schemeClr w14:val="tx1"/>
            </w14:solidFill>
          </w14:textFill>
        </w:rPr>
        <w:t>组成详见比选申请须知前附表</w:t>
      </w:r>
      <w:r>
        <w:rPr>
          <w:rFonts w:ascii="宋体" w:hAnsi="宋体"/>
          <w:color w:val="000000" w:themeColor="text1"/>
          <w:highlight w:val="none"/>
          <w14:textFill>
            <w14:solidFill>
              <w14:schemeClr w14:val="tx1"/>
            </w14:solidFill>
          </w14:textFill>
        </w:rPr>
        <w:t>。</w:t>
      </w:r>
    </w:p>
    <w:p>
      <w:pPr>
        <w:tabs>
          <w:tab w:val="left" w:pos="1134"/>
          <w:tab w:val="left" w:pos="1701"/>
          <w:tab w:val="left" w:pos="1843"/>
        </w:tabs>
        <w:spacing w:before="0" w:after="0" w:afterAutospacing="0"/>
        <w:ind w:left="0" w:right="0" w:firstLine="422" w:firstLineChars="200"/>
        <w:rPr>
          <w:rFonts w:ascii="宋体" w:hAnsi="宋体"/>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10.2资格审查文件和技术文件不得透露有关报价的任何信息，否则其比选申请将被否决。</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364" w:name="_Toc21144"/>
      <w:bookmarkStart w:id="365" w:name="_Toc7608"/>
      <w:bookmarkStart w:id="366" w:name="_Toc27194"/>
      <w:bookmarkStart w:id="367" w:name="_Toc390098431"/>
      <w:bookmarkStart w:id="368" w:name="_Toc11211"/>
      <w:bookmarkStart w:id="369" w:name="_Toc375039076"/>
      <w:bookmarkStart w:id="370" w:name="_Toc8151"/>
      <w:bookmarkStart w:id="371" w:name="_Toc23002"/>
      <w:bookmarkStart w:id="372" w:name="_Toc20490"/>
      <w:bookmarkStart w:id="373" w:name="_Toc675"/>
      <w:bookmarkStart w:id="374" w:name="_Toc14308"/>
      <w:bookmarkStart w:id="375" w:name="_Toc20248"/>
      <w:bookmarkStart w:id="376" w:name="_Toc385427805"/>
      <w:bookmarkStart w:id="377" w:name="_Toc12983517"/>
      <w:bookmarkStart w:id="378" w:name="_Toc14630"/>
      <w:bookmarkStart w:id="379" w:name="_Toc16783"/>
      <w:bookmarkStart w:id="380" w:name="_Toc14932"/>
      <w:bookmarkStart w:id="381" w:name="_Toc25750603"/>
      <w:bookmarkStart w:id="382" w:name="_Toc3670"/>
      <w:bookmarkStart w:id="383" w:name="_Toc26062"/>
      <w:bookmarkStart w:id="384" w:name="_Toc114134620"/>
      <w:bookmarkStart w:id="385" w:name="_Toc492478730"/>
      <w:bookmarkStart w:id="386" w:name="_Toc15919"/>
      <w:bookmarkStart w:id="387" w:name="_Toc27019"/>
      <w:bookmarkStart w:id="388" w:name="_Toc15448"/>
      <w:bookmarkStart w:id="389" w:name="_Toc2395"/>
      <w:bookmarkStart w:id="390" w:name="_Toc383891180"/>
      <w:r>
        <w:rPr>
          <w:rFonts w:hint="eastAsia" w:ascii="宋体" w:hAnsi="宋体"/>
          <w:color w:val="000000" w:themeColor="text1"/>
          <w:sz w:val="21"/>
          <w:szCs w:val="21"/>
          <w:highlight w:val="none"/>
          <w14:textFill>
            <w14:solidFill>
              <w14:schemeClr w14:val="tx1"/>
            </w14:solidFill>
          </w14:textFill>
        </w:rPr>
        <w:t xml:space="preserve">11. </w:t>
      </w:r>
      <w:r>
        <w:rPr>
          <w:rFonts w:ascii="宋体" w:hAnsi="宋体"/>
          <w:color w:val="000000" w:themeColor="text1"/>
          <w:sz w:val="21"/>
          <w:szCs w:val="21"/>
          <w:highlight w:val="none"/>
          <w14:textFill>
            <w14:solidFill>
              <w14:schemeClr w14:val="tx1"/>
            </w14:solidFill>
          </w14:textFill>
        </w:rPr>
        <w:t>比选申请文件格式</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11.1 </w:t>
      </w:r>
      <w:r>
        <w:rPr>
          <w:rFonts w:ascii="宋体" w:hAnsi="宋体"/>
          <w:color w:val="000000" w:themeColor="text1"/>
          <w:highlight w:val="none"/>
          <w14:textFill>
            <w14:solidFill>
              <w14:schemeClr w14:val="tx1"/>
            </w14:solidFill>
          </w14:textFill>
        </w:rPr>
        <w:t>比选申请人应按本比选申请须知第10条的内容与要求和提供的格式编写其比选申请文件，比选申请人不得缺少或留空任何比选文件要求填写的表格或提交的资料。</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11.2 </w:t>
      </w:r>
      <w:r>
        <w:rPr>
          <w:rFonts w:ascii="宋体" w:hAnsi="宋体"/>
          <w:color w:val="000000" w:themeColor="text1"/>
          <w:highlight w:val="none"/>
          <w14:textFill>
            <w14:solidFill>
              <w14:schemeClr w14:val="tx1"/>
            </w14:solidFill>
          </w14:textFill>
        </w:rPr>
        <w:t>比选申请人应将比选申请文件按本比选申请须知第10条规定的顺序编排、编制目录、逐页标注连续页码、并装订成册，各分册前须有分册目录。</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11.3 </w:t>
      </w:r>
      <w:r>
        <w:rPr>
          <w:rFonts w:ascii="宋体" w:hAnsi="宋体"/>
          <w:color w:val="000000" w:themeColor="text1"/>
          <w:highlight w:val="none"/>
          <w14:textFill>
            <w14:solidFill>
              <w14:schemeClr w14:val="tx1"/>
            </w14:solidFill>
          </w14:textFill>
        </w:rPr>
        <w:t>比选申请文件的规格：统一为A4印刷本，纸质封面，印刷本厚度</w:t>
      </w:r>
      <w:r>
        <w:rPr>
          <w:rFonts w:hint="eastAsia" w:ascii="宋体" w:hAnsi="宋体"/>
          <w:color w:val="000000" w:themeColor="text1"/>
          <w:highlight w:val="none"/>
          <w14:textFill>
            <w14:solidFill>
              <w14:schemeClr w14:val="tx1"/>
            </w14:solidFill>
          </w14:textFill>
        </w:rPr>
        <w:t>宜</w:t>
      </w:r>
      <w:r>
        <w:rPr>
          <w:rFonts w:ascii="宋体" w:hAnsi="宋体"/>
          <w:color w:val="000000" w:themeColor="text1"/>
          <w:highlight w:val="none"/>
          <w14:textFill>
            <w14:solidFill>
              <w14:schemeClr w14:val="tx1"/>
            </w14:solidFill>
          </w14:textFill>
        </w:rPr>
        <w:t>控制在</w:t>
      </w:r>
      <w:r>
        <w:rPr>
          <w:rFonts w:hint="eastAsia" w:ascii="宋体" w:hAnsi="宋体"/>
          <w:color w:val="000000" w:themeColor="text1"/>
          <w:highlight w:val="none"/>
          <w14:textFill>
            <w14:solidFill>
              <w14:schemeClr w14:val="tx1"/>
            </w14:solidFill>
          </w14:textFill>
        </w:rPr>
        <w:t>5</w:t>
      </w:r>
      <w:r>
        <w:rPr>
          <w:rFonts w:ascii="宋体" w:hAnsi="宋体"/>
          <w:color w:val="000000" w:themeColor="text1"/>
          <w:highlight w:val="none"/>
          <w14:textFill>
            <w14:solidFill>
              <w14:schemeClr w14:val="tx1"/>
            </w14:solidFill>
          </w14:textFill>
        </w:rPr>
        <w:t>公分以内，超过厚度</w:t>
      </w:r>
      <w:r>
        <w:rPr>
          <w:rFonts w:hint="eastAsia" w:ascii="宋体" w:hAnsi="宋体"/>
          <w:color w:val="000000" w:themeColor="text1"/>
          <w:highlight w:val="none"/>
          <w14:textFill>
            <w14:solidFill>
              <w14:schemeClr w14:val="tx1"/>
            </w14:solidFill>
          </w14:textFill>
        </w:rPr>
        <w:t>可</w:t>
      </w:r>
      <w:r>
        <w:rPr>
          <w:rFonts w:ascii="宋体" w:hAnsi="宋体"/>
          <w:color w:val="000000" w:themeColor="text1"/>
          <w:highlight w:val="none"/>
          <w14:textFill>
            <w14:solidFill>
              <w14:schemeClr w14:val="tx1"/>
            </w14:solidFill>
          </w14:textFill>
        </w:rPr>
        <w:t>分册装订。封面标明文件题名、编号、比选申请人名称、比选申请时间，</w:t>
      </w:r>
      <w:r>
        <w:rPr>
          <w:rFonts w:hint="eastAsia" w:ascii="宋体" w:hAnsi="宋体"/>
          <w:color w:val="000000" w:themeColor="text1"/>
          <w:highlight w:val="none"/>
          <w14:textFill>
            <w14:solidFill>
              <w14:schemeClr w14:val="tx1"/>
            </w14:solidFill>
          </w14:textFill>
        </w:rPr>
        <w:t>封面上标明</w:t>
      </w:r>
      <w:r>
        <w:rPr>
          <w:rFonts w:ascii="宋体" w:hAnsi="宋体"/>
          <w:color w:val="000000" w:themeColor="text1"/>
          <w:highlight w:val="none"/>
          <w14:textFill>
            <w14:solidFill>
              <w14:schemeClr w14:val="tx1"/>
            </w14:solidFill>
          </w14:textFill>
        </w:rPr>
        <w:t>正本（或副本）。</w:t>
      </w:r>
      <w:r>
        <w:rPr>
          <w:rFonts w:hint="eastAsia" w:ascii="宋体" w:hAnsi="宋体"/>
          <w:color w:val="000000" w:themeColor="text1"/>
          <w:highlight w:val="none"/>
          <w14:textFill>
            <w14:solidFill>
              <w14:schemeClr w14:val="tx1"/>
            </w14:solidFill>
          </w14:textFill>
        </w:rPr>
        <w:t>使用不锈钢书钉或拉线装订或无线胶装</w:t>
      </w:r>
      <w:r>
        <w:rPr>
          <w:rFonts w:ascii="宋体" w:hAnsi="宋体"/>
          <w:color w:val="000000" w:themeColor="text1"/>
          <w:highlight w:val="none"/>
          <w14:textFill>
            <w14:solidFill>
              <w14:schemeClr w14:val="tx1"/>
            </w14:solidFill>
          </w14:textFill>
        </w:rPr>
        <w:t>，装订时书钉不外露；不能使用塑料面或塑料胶条装订。</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11.4</w:t>
      </w:r>
      <w:r>
        <w:rPr>
          <w:rFonts w:ascii="宋体" w:hAnsi="宋体"/>
          <w:color w:val="000000" w:themeColor="text1"/>
          <w:highlight w:val="none"/>
          <w14:textFill>
            <w14:solidFill>
              <w14:schemeClr w14:val="tx1"/>
            </w14:solidFill>
          </w14:textFill>
        </w:rPr>
        <w:t>比选申请文件的页码：必须按每本</w:t>
      </w:r>
      <w:r>
        <w:rPr>
          <w:rFonts w:hint="eastAsia" w:ascii="宋体" w:hAnsi="宋体"/>
          <w:color w:val="000000" w:themeColor="text1"/>
          <w:highlight w:val="none"/>
          <w14:textFill>
            <w14:solidFill>
              <w14:schemeClr w14:val="tx1"/>
            </w14:solidFill>
          </w14:textFill>
        </w:rPr>
        <w:t>正文</w:t>
      </w:r>
      <w:r>
        <w:rPr>
          <w:rFonts w:ascii="宋体" w:hAnsi="宋体"/>
          <w:color w:val="000000" w:themeColor="text1"/>
          <w:highlight w:val="none"/>
          <w14:textFill>
            <w14:solidFill>
              <w14:schemeClr w14:val="tx1"/>
            </w14:solidFill>
          </w14:textFill>
        </w:rPr>
        <w:t>逐页从1开始，按照流水号编号。</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11.5</w:t>
      </w:r>
      <w:r>
        <w:rPr>
          <w:rFonts w:ascii="宋体" w:hAnsi="宋体"/>
          <w:color w:val="000000" w:themeColor="text1"/>
          <w:highlight w:val="none"/>
          <w14:textFill>
            <w14:solidFill>
              <w14:schemeClr w14:val="tx1"/>
            </w14:solidFill>
          </w14:textFill>
        </w:rPr>
        <w:t>图纸的整理：图纸横向按手风琴折叠，竖向按顺时针方向折叠，折叠后图标露在右下角，每本图纸厚度不</w:t>
      </w:r>
      <w:r>
        <w:rPr>
          <w:rFonts w:hint="eastAsia" w:ascii="宋体" w:hAnsi="宋体"/>
          <w:color w:val="000000" w:themeColor="text1"/>
          <w:highlight w:val="none"/>
          <w14:textFill>
            <w14:solidFill>
              <w14:schemeClr w14:val="tx1"/>
            </w14:solidFill>
          </w14:textFill>
        </w:rPr>
        <w:t>宜</w:t>
      </w:r>
      <w:r>
        <w:rPr>
          <w:rFonts w:ascii="宋体" w:hAnsi="宋体"/>
          <w:color w:val="000000" w:themeColor="text1"/>
          <w:highlight w:val="none"/>
          <w14:textFill>
            <w14:solidFill>
              <w14:schemeClr w14:val="tx1"/>
            </w14:solidFill>
          </w14:textFill>
        </w:rPr>
        <w:t>超过4公分，超过</w:t>
      </w:r>
      <w:r>
        <w:rPr>
          <w:rFonts w:hint="eastAsia" w:ascii="宋体" w:hAnsi="宋体"/>
          <w:color w:val="000000" w:themeColor="text1"/>
          <w:highlight w:val="none"/>
          <w14:textFill>
            <w14:solidFill>
              <w14:schemeClr w14:val="tx1"/>
            </w14:solidFill>
          </w14:textFill>
        </w:rPr>
        <w:t>可</w:t>
      </w:r>
      <w:r>
        <w:rPr>
          <w:rFonts w:ascii="宋体" w:hAnsi="宋体"/>
          <w:color w:val="000000" w:themeColor="text1"/>
          <w:highlight w:val="none"/>
          <w14:textFill>
            <w14:solidFill>
              <w14:schemeClr w14:val="tx1"/>
            </w14:solidFill>
          </w14:textFill>
        </w:rPr>
        <w:t>分卷装订，每卷图纸从图纸封面起逐张从1开始</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按照流水号编号。</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391" w:name="_Toc9416"/>
      <w:bookmarkStart w:id="392" w:name="_Toc390098432"/>
      <w:bookmarkStart w:id="393" w:name="_Toc12983518"/>
      <w:bookmarkStart w:id="394" w:name="_Toc12422"/>
      <w:bookmarkStart w:id="395" w:name="_Toc385427806"/>
      <w:bookmarkStart w:id="396" w:name="_Toc25750604"/>
      <w:bookmarkStart w:id="397" w:name="_Toc31743"/>
      <w:bookmarkStart w:id="398" w:name="_Toc21084"/>
      <w:bookmarkStart w:id="399" w:name="_Toc6671"/>
      <w:bookmarkStart w:id="400" w:name="_Toc17379"/>
      <w:bookmarkStart w:id="401" w:name="_Toc26482"/>
      <w:bookmarkStart w:id="402" w:name="_Toc3813"/>
      <w:bookmarkStart w:id="403" w:name="_Toc114134621"/>
      <w:bookmarkStart w:id="404" w:name="_Toc14123"/>
      <w:bookmarkStart w:id="405" w:name="_Toc3799"/>
      <w:bookmarkStart w:id="406" w:name="_Toc20685"/>
      <w:bookmarkStart w:id="407" w:name="_Toc16653"/>
      <w:bookmarkStart w:id="408" w:name="_Toc492478731"/>
      <w:bookmarkStart w:id="409" w:name="_Toc24264"/>
      <w:bookmarkStart w:id="410" w:name="_Toc12830"/>
      <w:bookmarkStart w:id="411" w:name="_Toc383891181"/>
      <w:bookmarkStart w:id="412" w:name="_Toc22295"/>
      <w:bookmarkStart w:id="413" w:name="_Toc17338"/>
      <w:bookmarkStart w:id="414" w:name="_Toc7857"/>
      <w:bookmarkStart w:id="415" w:name="_Toc26974"/>
      <w:bookmarkStart w:id="416" w:name="_Toc17526"/>
      <w:bookmarkStart w:id="417" w:name="_Toc375039077"/>
      <w:r>
        <w:rPr>
          <w:rFonts w:hint="eastAsia" w:ascii="宋体" w:hAnsi="宋体"/>
          <w:color w:val="000000" w:themeColor="text1"/>
          <w:sz w:val="21"/>
          <w:szCs w:val="21"/>
          <w:highlight w:val="none"/>
          <w14:textFill>
            <w14:solidFill>
              <w14:schemeClr w14:val="tx1"/>
            </w14:solidFill>
          </w14:textFill>
        </w:rPr>
        <w:t xml:space="preserve">12. </w:t>
      </w:r>
      <w:r>
        <w:rPr>
          <w:rFonts w:ascii="宋体" w:hAnsi="宋体"/>
          <w:color w:val="000000" w:themeColor="text1"/>
          <w:sz w:val="21"/>
          <w:szCs w:val="21"/>
          <w:highlight w:val="none"/>
          <w14:textFill>
            <w14:solidFill>
              <w14:schemeClr w14:val="tx1"/>
            </w14:solidFill>
          </w14:textFill>
        </w:rPr>
        <w:t>比选申请报价</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 xml:space="preserve">12.1 </w:t>
      </w:r>
      <w:r>
        <w:rPr>
          <w:rFonts w:hint="eastAsia" w:ascii="宋体" w:hAnsi="宋体"/>
          <w:color w:val="000000" w:themeColor="text1"/>
          <w:highlight w:val="none"/>
          <w14:textFill>
            <w14:solidFill>
              <w14:schemeClr w14:val="tx1"/>
            </w14:solidFill>
          </w14:textFill>
        </w:rPr>
        <w:t>本项目采用</w:t>
      </w:r>
      <w:r>
        <w:rPr>
          <w:rFonts w:hint="eastAsia" w:ascii="宋体" w:hAnsi="宋体"/>
          <w:b/>
          <w:bCs/>
          <w:color w:val="000000" w:themeColor="text1"/>
          <w:highlight w:val="none"/>
          <w14:textFill>
            <w14:solidFill>
              <w14:schemeClr w14:val="tx1"/>
            </w14:solidFill>
          </w14:textFill>
        </w:rPr>
        <w:t>不含税报价</w:t>
      </w:r>
      <w:r>
        <w:rPr>
          <w:rFonts w:hint="eastAsia" w:ascii="宋体" w:hAnsi="宋体"/>
          <w:color w:val="000000" w:themeColor="text1"/>
          <w:highlight w:val="none"/>
          <w14:textFill>
            <w14:solidFill>
              <w14:schemeClr w14:val="tx1"/>
            </w14:solidFill>
          </w14:textFill>
        </w:rPr>
        <w:t>进行商务评审。</w:t>
      </w:r>
      <w:r>
        <w:rPr>
          <w:rFonts w:ascii="宋体" w:hAnsi="宋体"/>
          <w:b/>
          <w:bCs/>
          <w:color w:val="000000" w:themeColor="text1"/>
          <w:highlight w:val="none"/>
          <w14:textFill>
            <w14:solidFill>
              <w14:schemeClr w14:val="tx1"/>
            </w14:solidFill>
          </w14:textFill>
        </w:rPr>
        <w:t>含税报价为合同暂定价</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本项目合同最终税金在结算阶段，按实际产生的税金进行核算</w:t>
      </w:r>
      <w:r>
        <w:rPr>
          <w:rFonts w:ascii="宋体" w:hAnsi="宋体"/>
          <w:color w:val="000000" w:themeColor="text1"/>
          <w:highlight w:val="none"/>
          <w14:textFill>
            <w14:solidFill>
              <w14:schemeClr w14:val="tx1"/>
            </w14:solidFill>
          </w14:textFill>
        </w:rPr>
        <w:t>，但合同不含税价格不因国家税率调整而调整</w:t>
      </w:r>
      <w:r>
        <w:rPr>
          <w:rFonts w:hint="eastAsia" w:ascii="宋体" w:hAnsi="宋体"/>
          <w:color w:val="000000" w:themeColor="text1"/>
          <w:highlight w:val="none"/>
          <w14:textFill>
            <w14:solidFill>
              <w14:schemeClr w14:val="tx1"/>
            </w14:solidFill>
          </w14:textFill>
        </w:rPr>
        <w:t>。比选申请人应</w:t>
      </w:r>
      <w:r>
        <w:rPr>
          <w:rFonts w:ascii="宋体" w:hAnsi="宋体"/>
          <w:color w:val="000000" w:themeColor="text1"/>
          <w:highlight w:val="none"/>
          <w14:textFill>
            <w14:solidFill>
              <w14:schemeClr w14:val="tx1"/>
            </w14:solidFill>
          </w14:textFill>
        </w:rPr>
        <w:t>完整</w:t>
      </w:r>
      <w:r>
        <w:rPr>
          <w:rFonts w:hint="eastAsia" w:ascii="宋体" w:hAnsi="宋体"/>
          <w:color w:val="000000" w:themeColor="text1"/>
          <w:highlight w:val="none"/>
          <w14:textFill>
            <w14:solidFill>
              <w14:schemeClr w14:val="tx1"/>
            </w14:solidFill>
          </w14:textFill>
        </w:rPr>
        <w:t>地填写比选文件中提供的“比选申请报价一览表”。比选申请人在 “比选申请报价一览表”内所填报的总价应相一致。如大写金额与小写金额不一致，以大写金额为准。</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 xml:space="preserve">12.2 </w:t>
      </w:r>
      <w:r>
        <w:rPr>
          <w:rFonts w:hint="eastAsia" w:ascii="宋体" w:hAnsi="宋体"/>
          <w:color w:val="000000" w:themeColor="text1"/>
          <w:highlight w:val="none"/>
          <w14:textFill>
            <w14:solidFill>
              <w14:schemeClr w14:val="tx1"/>
            </w14:solidFill>
          </w14:textFill>
        </w:rPr>
        <w:t>比选申请报价应包括比选申请人完成所有项目内容及质量保证期服务等履行合同标的全过程产生的所有成本、利润及其他费用等全部费用以及比选申请人应承担的费用。</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12.3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12.</w:t>
      </w:r>
      <w:r>
        <w:rPr>
          <w:rFonts w:ascii="宋体" w:hAnsi="宋体"/>
          <w:color w:val="000000" w:themeColor="text1"/>
          <w:highlight w:val="none"/>
          <w14:textFill>
            <w14:solidFill>
              <w14:schemeClr w14:val="tx1"/>
            </w14:solidFill>
          </w14:textFill>
        </w:rPr>
        <w:t>4</w:t>
      </w:r>
      <w:r>
        <w:rPr>
          <w:rFonts w:hint="eastAsia" w:ascii="宋体" w:hAnsi="宋体"/>
          <w:color w:val="000000" w:themeColor="text1"/>
          <w:highlight w:val="none"/>
          <w14:textFill>
            <w14:solidFill>
              <w14:schemeClr w14:val="tx1"/>
            </w14:solidFill>
          </w14:textFill>
        </w:rPr>
        <w:t xml:space="preserve"> 同一规格、型号、标准、内容的项目在各分项报价中应为同一单价。比选申请人对同类项目只允许有一个报价，如有不同报价，则以最低报价为准。</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12.5</w:t>
      </w:r>
      <w:r>
        <w:rPr>
          <w:rFonts w:hint="eastAsia" w:ascii="宋体" w:hAnsi="宋体"/>
          <w:color w:val="000000" w:themeColor="text1"/>
          <w:highlight w:val="none"/>
          <w14:textFill>
            <w14:solidFill>
              <w14:schemeClr w14:val="tx1"/>
            </w14:solidFill>
          </w14:textFill>
        </w:rPr>
        <w:t>项目不接受</w:t>
      </w:r>
      <w:r>
        <w:rPr>
          <w:rFonts w:ascii="宋体" w:hAnsi="宋体"/>
          <w:color w:val="000000" w:themeColor="text1"/>
          <w:highlight w:val="none"/>
          <w14:textFill>
            <w14:solidFill>
              <w14:schemeClr w14:val="tx1"/>
            </w14:solidFill>
          </w14:textFill>
        </w:rPr>
        <w:t>比选申请人免费</w:t>
      </w:r>
      <w:r>
        <w:rPr>
          <w:rFonts w:hint="eastAsia" w:ascii="宋体" w:hAnsi="宋体"/>
          <w:color w:val="000000" w:themeColor="text1"/>
          <w:highlight w:val="none"/>
          <w14:textFill>
            <w14:solidFill>
              <w14:schemeClr w14:val="tx1"/>
            </w14:solidFill>
          </w14:textFill>
        </w:rPr>
        <w:t>、赠送、打折</w:t>
      </w:r>
      <w:r>
        <w:rPr>
          <w:rFonts w:ascii="宋体" w:hAnsi="宋体"/>
          <w:color w:val="000000" w:themeColor="text1"/>
          <w:highlight w:val="none"/>
          <w14:textFill>
            <w14:solidFill>
              <w14:schemeClr w14:val="tx1"/>
            </w14:solidFill>
          </w14:textFill>
        </w:rPr>
        <w:t>提供</w:t>
      </w:r>
      <w:r>
        <w:rPr>
          <w:rFonts w:hint="eastAsia" w:ascii="宋体" w:hAnsi="宋体"/>
          <w:color w:val="000000" w:themeColor="text1"/>
          <w:highlight w:val="none"/>
          <w14:textFill>
            <w14:solidFill>
              <w14:schemeClr w14:val="tx1"/>
            </w14:solidFill>
          </w14:textFill>
        </w:rPr>
        <w:t>任何形式的</w:t>
      </w:r>
      <w:r>
        <w:rPr>
          <w:rFonts w:ascii="宋体" w:hAnsi="宋体"/>
          <w:color w:val="000000" w:themeColor="text1"/>
          <w:highlight w:val="none"/>
          <w14:textFill>
            <w14:solidFill>
              <w14:schemeClr w14:val="tx1"/>
            </w14:solidFill>
          </w14:textFill>
        </w:rPr>
        <w:t>产品、部件</w:t>
      </w:r>
      <w:r>
        <w:rPr>
          <w:rFonts w:hint="eastAsia" w:ascii="宋体" w:hAnsi="宋体"/>
          <w:color w:val="000000" w:themeColor="text1"/>
          <w:highlight w:val="none"/>
          <w14:textFill>
            <w14:solidFill>
              <w14:schemeClr w14:val="tx1"/>
            </w14:solidFill>
          </w14:textFill>
        </w:rPr>
        <w:t>和服务。</w:t>
      </w:r>
    </w:p>
    <w:p>
      <w:pPr>
        <w:tabs>
          <w:tab w:val="left" w:pos="8364"/>
        </w:tabs>
        <w:spacing w:before="0" w:after="0" w:afterAutospacing="0"/>
        <w:ind w:left="0" w:right="0" w:firstLine="420" w:firstLineChars="200"/>
        <w:rPr>
          <w:rFonts w:ascii="宋体" w:hAnsi="宋体" w:cs="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12.6比选申请人在编制比选申请报价时应考虑包括但不限于合同实施期间政策、法规变化以及汇率浮动、物价指数浮动等对价格的影响，以可调整的价</w:t>
      </w:r>
      <w:r>
        <w:rPr>
          <w:rFonts w:ascii="宋体" w:hAnsi="宋体" w:cs="宋体"/>
          <w:color w:val="000000" w:themeColor="text1"/>
          <w:highlight w:val="none"/>
          <w14:textFill>
            <w14:solidFill>
              <w14:schemeClr w14:val="tx1"/>
            </w14:solidFill>
          </w14:textFill>
        </w:rPr>
        <w:t xml:space="preserve">格或以选择性报价递交的比选申请文件将作为非实质性响应比选申请而被否决。 </w:t>
      </w:r>
    </w:p>
    <w:p>
      <w:pPr>
        <w:tabs>
          <w:tab w:val="left" w:pos="8364"/>
        </w:tabs>
        <w:spacing w:before="0" w:after="0" w:afterAutospacing="0"/>
        <w:ind w:left="0" w:right="0" w:firstLine="420" w:firstLineChars="200"/>
        <w:rPr>
          <w:rFonts w:ascii="宋体" w:hAnsi="宋体"/>
          <w:b/>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12.</w:t>
      </w:r>
      <w:r>
        <w:rPr>
          <w:rFonts w:hint="eastAsia" w:ascii="宋体" w:hAnsi="宋体"/>
          <w:color w:val="000000" w:themeColor="text1"/>
          <w:highlight w:val="none"/>
          <w14:textFill>
            <w14:solidFill>
              <w14:schemeClr w14:val="tx1"/>
            </w14:solidFill>
          </w14:textFill>
        </w:rPr>
        <w:t>7</w:t>
      </w:r>
      <w:r>
        <w:rPr>
          <w:rFonts w:hint="eastAsia" w:ascii="宋体" w:hAnsi="宋体"/>
          <w:b/>
          <w:color w:val="000000" w:themeColor="text1"/>
          <w:highlight w:val="none"/>
          <w14:textFill>
            <w14:solidFill>
              <w14:schemeClr w14:val="tx1"/>
            </w14:solidFill>
          </w14:textFill>
        </w:rPr>
        <w:t>比选申请人不得以低于成本的报价竞标，也不得以他人名义比选申请或者以其他方式弄虚作假，骗取中选。</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12.8 比选人不接受比选申请人对任何未办理正常进口手续的非中华人民共和国境内生产的货物的比选申请报价。</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12.9 比选申请人不得在价格文件之外的比选申请文件中出现任何有关本项目的报价信息。</w:t>
      </w:r>
    </w:p>
    <w:p>
      <w:pPr>
        <w:pStyle w:val="4"/>
        <w:numPr>
          <w:ilvl w:val="0"/>
          <w:numId w:val="3"/>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418" w:name="_Toc385427807"/>
      <w:bookmarkStart w:id="419" w:name="_Toc15940"/>
      <w:bookmarkStart w:id="420" w:name="_Toc375039078"/>
      <w:bookmarkStart w:id="421" w:name="_Toc20156"/>
      <w:bookmarkStart w:id="422" w:name="_Toc28880"/>
      <w:bookmarkStart w:id="423" w:name="_Toc10220"/>
      <w:bookmarkStart w:id="424" w:name="_Toc16948"/>
      <w:bookmarkStart w:id="425" w:name="_Toc12983519"/>
      <w:bookmarkStart w:id="426" w:name="_Toc114134622"/>
      <w:bookmarkStart w:id="427" w:name="_Toc1664"/>
      <w:bookmarkStart w:id="428" w:name="_Toc5836"/>
      <w:bookmarkStart w:id="429" w:name="_Toc21448"/>
      <w:bookmarkStart w:id="430" w:name="_Toc18875"/>
      <w:bookmarkStart w:id="431" w:name="_Toc7428"/>
      <w:bookmarkStart w:id="432" w:name="_Toc25750605"/>
      <w:bookmarkStart w:id="433" w:name="_Toc383891182"/>
      <w:bookmarkStart w:id="434" w:name="_Toc12762"/>
      <w:bookmarkStart w:id="435" w:name="_Toc26064"/>
      <w:bookmarkStart w:id="436" w:name="_Toc13229"/>
      <w:bookmarkStart w:id="437" w:name="_Toc2710"/>
      <w:bookmarkStart w:id="438" w:name="_Toc25459"/>
      <w:bookmarkStart w:id="439" w:name="_Toc492478732"/>
      <w:bookmarkStart w:id="440" w:name="_Toc21430"/>
      <w:bookmarkStart w:id="441" w:name="_Toc12947"/>
      <w:bookmarkStart w:id="442" w:name="_Toc390098433"/>
      <w:bookmarkStart w:id="443" w:name="_Toc28476"/>
      <w:bookmarkStart w:id="444" w:name="_Toc21706"/>
      <w:r>
        <w:rPr>
          <w:rFonts w:ascii="宋体" w:hAnsi="宋体"/>
          <w:color w:val="000000" w:themeColor="text1"/>
          <w:sz w:val="21"/>
          <w:szCs w:val="21"/>
          <w:highlight w:val="none"/>
          <w14:textFill>
            <w14:solidFill>
              <w14:schemeClr w14:val="tx1"/>
            </w14:solidFill>
          </w14:textFill>
        </w:rPr>
        <w:t>比选申请货币</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13.1</w:t>
      </w:r>
      <w:r>
        <w:rPr>
          <w:rFonts w:ascii="宋体" w:hAnsi="宋体"/>
          <w:color w:val="000000" w:themeColor="text1"/>
          <w:highlight w:val="none"/>
          <w14:textFill>
            <w14:solidFill>
              <w14:schemeClr w14:val="tx1"/>
            </w14:solidFill>
          </w14:textFill>
        </w:rPr>
        <w:t>比选申请人提供的货物和服务用人民币报价。在比选申请文件中的报价一律用人民币币种填报，比选人不接受任何非人民币币种的比选申请报价。</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13.2</w:t>
      </w:r>
      <w:r>
        <w:rPr>
          <w:rFonts w:ascii="宋体" w:hAnsi="宋体"/>
          <w:color w:val="000000" w:themeColor="text1"/>
          <w:highlight w:val="none"/>
          <w14:textFill>
            <w14:solidFill>
              <w14:schemeClr w14:val="tx1"/>
            </w14:solidFill>
          </w14:textFill>
        </w:rPr>
        <w:t>比选人将以人民币与中选的比选申请人签订合同。</w:t>
      </w:r>
    </w:p>
    <w:p>
      <w:pPr>
        <w:pStyle w:val="4"/>
        <w:numPr>
          <w:ilvl w:val="0"/>
          <w:numId w:val="3"/>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445" w:name="_Toc385427810"/>
      <w:bookmarkStart w:id="446" w:name="_Toc375039081"/>
      <w:bookmarkStart w:id="447" w:name="_Toc383891185"/>
      <w:bookmarkStart w:id="448" w:name="_Toc14922"/>
      <w:bookmarkStart w:id="449" w:name="_Toc30040"/>
      <w:bookmarkStart w:id="450" w:name="_Toc19848"/>
      <w:bookmarkStart w:id="451" w:name="_Toc390098436"/>
      <w:bookmarkStart w:id="452" w:name="_Toc9237"/>
      <w:bookmarkStart w:id="453" w:name="_Toc16314"/>
      <w:bookmarkStart w:id="454" w:name="_Toc1530"/>
      <w:bookmarkStart w:id="455" w:name="_Toc12983520"/>
      <w:bookmarkStart w:id="456" w:name="_Toc30848"/>
      <w:bookmarkStart w:id="457" w:name="_Toc114134623"/>
      <w:bookmarkStart w:id="458" w:name="_Toc12049"/>
      <w:bookmarkStart w:id="459" w:name="_Toc24199"/>
      <w:bookmarkStart w:id="460" w:name="_Toc28665"/>
      <w:bookmarkStart w:id="461" w:name="_Toc11690"/>
      <w:bookmarkStart w:id="462" w:name="_Toc30606"/>
      <w:bookmarkStart w:id="463" w:name="_Toc1624"/>
      <w:bookmarkStart w:id="464" w:name="_Toc492478735"/>
      <w:bookmarkStart w:id="465" w:name="_Toc27508"/>
      <w:bookmarkStart w:id="466" w:name="_Toc7417"/>
      <w:bookmarkStart w:id="467" w:name="_Toc22051"/>
      <w:bookmarkStart w:id="468" w:name="_Toc14309"/>
      <w:bookmarkStart w:id="469" w:name="_Toc5974"/>
      <w:bookmarkStart w:id="470" w:name="_Toc25750606"/>
      <w:bookmarkStart w:id="471" w:name="_Toc1506"/>
      <w:r>
        <w:rPr>
          <w:rFonts w:ascii="宋体" w:hAnsi="宋体"/>
          <w:color w:val="000000" w:themeColor="text1"/>
          <w:sz w:val="21"/>
          <w:szCs w:val="21"/>
          <w:highlight w:val="none"/>
          <w14:textFill>
            <w14:solidFill>
              <w14:schemeClr w14:val="tx1"/>
            </w14:solidFill>
          </w14:textFill>
        </w:rPr>
        <w:t>比选保证金</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pPr>
        <w:pStyle w:val="15"/>
        <w:spacing w:before="0" w:after="0" w:afterAutospacing="0"/>
        <w:ind w:left="0" w:right="0" w:firstLine="420" w:firstLineChars="200"/>
        <w:rPr>
          <w:rFonts w:hAnsi="宋体" w:cs="Times New Roman"/>
          <w:color w:val="000000" w:themeColor="text1"/>
          <w:sz w:val="21"/>
          <w:szCs w:val="21"/>
          <w:highlight w:val="none"/>
          <w14:textFill>
            <w14:solidFill>
              <w14:schemeClr w14:val="tx1"/>
            </w14:solidFill>
          </w14:textFill>
        </w:rPr>
      </w:pPr>
      <w:r>
        <w:rPr>
          <w:rFonts w:hint="eastAsia" w:hAnsi="宋体" w:cs="Times New Roman"/>
          <w:color w:val="000000" w:themeColor="text1"/>
          <w:sz w:val="21"/>
          <w:szCs w:val="21"/>
          <w:highlight w:val="none"/>
          <w14:textFill>
            <w14:solidFill>
              <w14:schemeClr w14:val="tx1"/>
            </w14:solidFill>
          </w14:textFill>
        </w:rPr>
        <w:t>本项目</w:t>
      </w:r>
      <w:r>
        <w:rPr>
          <w:rFonts w:hint="eastAsia" w:hAnsi="宋体"/>
          <w:color w:val="000000" w:themeColor="text1"/>
          <w:sz w:val="21"/>
          <w:szCs w:val="21"/>
          <w:highlight w:val="none"/>
          <w14:textFill>
            <w14:solidFill>
              <w14:schemeClr w14:val="tx1"/>
            </w14:solidFill>
          </w14:textFill>
        </w:rPr>
        <w:t>不要求递交比选保证金。</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472" w:name="_Toc25750607"/>
      <w:bookmarkStart w:id="473" w:name="_Toc691"/>
      <w:bookmarkStart w:id="474" w:name="_Toc20070"/>
      <w:bookmarkStart w:id="475" w:name="_Toc4433"/>
      <w:bookmarkStart w:id="476" w:name="_Toc383891186"/>
      <w:bookmarkStart w:id="477" w:name="_Toc390098437"/>
      <w:bookmarkStart w:id="478" w:name="_Toc845"/>
      <w:bookmarkStart w:id="479" w:name="_Toc385427811"/>
      <w:bookmarkStart w:id="480" w:name="_Toc1604"/>
      <w:bookmarkStart w:id="481" w:name="_Toc375039082"/>
      <w:bookmarkStart w:id="482" w:name="_Toc5690"/>
      <w:bookmarkStart w:id="483" w:name="_Toc7808"/>
      <w:bookmarkStart w:id="484" w:name="_Toc9117"/>
      <w:bookmarkStart w:id="485" w:name="_Toc114134624"/>
      <w:bookmarkStart w:id="486" w:name="_Toc28997"/>
      <w:bookmarkStart w:id="487" w:name="_Toc10918"/>
      <w:bookmarkStart w:id="488" w:name="_Toc20493"/>
      <w:bookmarkStart w:id="489" w:name="_Toc23114"/>
      <w:bookmarkStart w:id="490" w:name="_Toc30499"/>
      <w:bookmarkStart w:id="491" w:name="_Toc24656"/>
      <w:bookmarkStart w:id="492" w:name="_Toc2268"/>
      <w:bookmarkStart w:id="493" w:name="_Toc492478736"/>
      <w:bookmarkStart w:id="494" w:name="_Toc12983521"/>
      <w:bookmarkStart w:id="495" w:name="_Toc20643"/>
      <w:bookmarkStart w:id="496" w:name="_Toc14330"/>
      <w:bookmarkStart w:id="497" w:name="_Toc28555"/>
      <w:bookmarkStart w:id="498" w:name="_Toc21214"/>
      <w:r>
        <w:rPr>
          <w:rFonts w:hint="eastAsia" w:ascii="宋体" w:hAnsi="宋体"/>
          <w:color w:val="000000" w:themeColor="text1"/>
          <w:sz w:val="21"/>
          <w:szCs w:val="21"/>
          <w:highlight w:val="none"/>
          <w14:textFill>
            <w14:solidFill>
              <w14:schemeClr w14:val="tx1"/>
            </w14:solidFill>
          </w14:textFill>
        </w:rPr>
        <w:t xml:space="preserve">15. </w:t>
      </w:r>
      <w:r>
        <w:rPr>
          <w:rFonts w:ascii="宋体" w:hAnsi="宋体"/>
          <w:color w:val="000000" w:themeColor="text1"/>
          <w:sz w:val="21"/>
          <w:szCs w:val="21"/>
          <w:highlight w:val="none"/>
          <w14:textFill>
            <w14:solidFill>
              <w14:schemeClr w14:val="tx1"/>
            </w14:solidFill>
          </w14:textFill>
        </w:rPr>
        <w:t>比选申请有效期</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15.1 </w:t>
      </w:r>
      <w:r>
        <w:rPr>
          <w:rFonts w:ascii="宋体" w:hAnsi="宋体"/>
          <w:color w:val="000000" w:themeColor="text1"/>
          <w:highlight w:val="none"/>
          <w14:textFill>
            <w14:solidFill>
              <w14:schemeClr w14:val="tx1"/>
            </w14:solidFill>
          </w14:textFill>
        </w:rPr>
        <w:t>根据本须知前附表规定，比选申请应在比选申请须知前附表中规定的时间内保持有效。比选申请有效期不满足要求的比选申请将被视为非实质性响应比选申请而予以否决。</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15.2 </w:t>
      </w:r>
      <w:r>
        <w:rPr>
          <w:rFonts w:ascii="宋体" w:hAnsi="宋体"/>
          <w:color w:val="000000" w:themeColor="text1"/>
          <w:highlight w:val="none"/>
          <w14:textFill>
            <w14:solidFill>
              <w14:schemeClr w14:val="tx1"/>
            </w14:solidFill>
          </w14:textFill>
        </w:rPr>
        <w:t>特殊情况下，</w:t>
      </w:r>
      <w:r>
        <w:rPr>
          <w:rFonts w:hint="eastAsia" w:ascii="宋体" w:hAnsi="宋体"/>
          <w:color w:val="000000" w:themeColor="text1"/>
          <w:highlight w:val="none"/>
          <w14:textFill>
            <w14:solidFill>
              <w14:schemeClr w14:val="tx1"/>
            </w14:solidFill>
          </w14:textFill>
        </w:rPr>
        <w:t>比选人</w:t>
      </w:r>
      <w:r>
        <w:rPr>
          <w:rFonts w:ascii="宋体" w:hAnsi="宋体"/>
          <w:color w:val="000000" w:themeColor="text1"/>
          <w:highlight w:val="none"/>
          <w14:textFill>
            <w14:solidFill>
              <w14:schemeClr w14:val="tx1"/>
            </w14:solidFill>
          </w14:textFill>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2" w:firstLineChars="200"/>
        <w:rPr>
          <w:rFonts w:ascii="宋体" w:hAnsi="宋体"/>
          <w:b/>
          <w:bCs/>
          <w:color w:val="000000" w:themeColor="text1"/>
          <w:highlight w:val="none"/>
          <w14:textFill>
            <w14:solidFill>
              <w14:schemeClr w14:val="tx1"/>
            </w14:solidFill>
          </w14:textFill>
        </w:rPr>
      </w:pPr>
      <w:bookmarkStart w:id="499" w:name="_Toc12435"/>
      <w:bookmarkStart w:id="500" w:name="_Toc301"/>
      <w:bookmarkStart w:id="501" w:name="_Toc6065"/>
      <w:bookmarkStart w:id="502" w:name="_Toc25684"/>
      <w:bookmarkStart w:id="503" w:name="_Toc8100"/>
      <w:bookmarkStart w:id="504" w:name="_Toc390098438"/>
      <w:bookmarkStart w:id="505" w:name="_Toc19603"/>
      <w:bookmarkStart w:id="506" w:name="_Toc24922"/>
      <w:bookmarkStart w:id="507" w:name="_Toc383891187"/>
      <w:bookmarkStart w:id="508" w:name="_Toc3414"/>
      <w:bookmarkStart w:id="509" w:name="_Toc4216"/>
      <w:bookmarkStart w:id="510" w:name="_Toc14672"/>
      <w:bookmarkStart w:id="511" w:name="_Toc375039083"/>
      <w:bookmarkStart w:id="512" w:name="_Toc32525"/>
      <w:bookmarkStart w:id="513" w:name="_Toc385427812"/>
      <w:bookmarkStart w:id="514" w:name="_Toc25468"/>
      <w:bookmarkStart w:id="515" w:name="_Toc492478737"/>
      <w:bookmarkStart w:id="516" w:name="_Toc29108"/>
      <w:bookmarkStart w:id="517" w:name="_Toc27730"/>
      <w:bookmarkStart w:id="518" w:name="_Toc12983522"/>
      <w:bookmarkStart w:id="519" w:name="_Toc32020"/>
      <w:bookmarkStart w:id="520" w:name="_Toc12506"/>
      <w:bookmarkStart w:id="521" w:name="_Toc19044"/>
      <w:r>
        <w:rPr>
          <w:rFonts w:hint="eastAsia" w:ascii="宋体" w:hAnsi="宋体"/>
          <w:b/>
          <w:bCs/>
          <w:color w:val="000000" w:themeColor="text1"/>
          <w:highlight w:val="none"/>
          <w14:textFill>
            <w14:solidFill>
              <w14:schemeClr w14:val="tx1"/>
            </w14:solidFill>
          </w14:textFill>
        </w:rPr>
        <w:t xml:space="preserve">16. </w:t>
      </w:r>
      <w:r>
        <w:rPr>
          <w:rFonts w:ascii="宋体" w:hAnsi="宋体"/>
          <w:b/>
          <w:bCs/>
          <w:color w:val="000000" w:themeColor="text1"/>
          <w:highlight w:val="none"/>
          <w14:textFill>
            <w14:solidFill>
              <w14:schemeClr w14:val="tx1"/>
            </w14:solidFill>
          </w14:textFill>
        </w:rPr>
        <w:t>比选申请文件的制作和签署</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16.1 </w:t>
      </w:r>
      <w:r>
        <w:rPr>
          <w:rFonts w:ascii="宋体" w:hAnsi="宋体"/>
          <w:color w:val="000000" w:themeColor="text1"/>
          <w:highlight w:val="none"/>
          <w14:textFill>
            <w14:solidFill>
              <w14:schemeClr w14:val="tx1"/>
            </w14:solidFill>
          </w14:textFill>
        </w:rPr>
        <w:t>比选申请人应按比选申请须知前附表所示套数准备比选申请文件。每套比选申请文件封面上应清楚地注明比选项目名称、项目编号及比选申请人名称，同时加盖公章并由法定代表人或其授权代表签字或盖章，且须清楚地标明“正本”、“副本”或“电子文件”。若正本和副本不符，以正本为准，电子版与纸</w:t>
      </w:r>
      <w:r>
        <w:rPr>
          <w:rFonts w:hint="eastAsia" w:ascii="宋体" w:hAnsi="宋体"/>
          <w:color w:val="000000" w:themeColor="text1"/>
          <w:highlight w:val="none"/>
          <w14:textFill>
            <w14:solidFill>
              <w14:schemeClr w14:val="tx1"/>
            </w14:solidFill>
          </w14:textFill>
        </w:rPr>
        <w:t>质</w:t>
      </w:r>
      <w:r>
        <w:rPr>
          <w:rFonts w:ascii="宋体" w:hAnsi="宋体"/>
          <w:color w:val="000000" w:themeColor="text1"/>
          <w:highlight w:val="none"/>
          <w14:textFill>
            <w14:solidFill>
              <w14:schemeClr w14:val="tx1"/>
            </w14:solidFill>
          </w14:textFill>
        </w:rPr>
        <w:t>文件不符以纸</w:t>
      </w:r>
      <w:r>
        <w:rPr>
          <w:rFonts w:hint="eastAsia" w:ascii="宋体" w:hAnsi="宋体"/>
          <w:color w:val="000000" w:themeColor="text1"/>
          <w:highlight w:val="none"/>
          <w14:textFill>
            <w14:solidFill>
              <w14:schemeClr w14:val="tx1"/>
            </w14:solidFill>
          </w14:textFill>
        </w:rPr>
        <w:t>质</w:t>
      </w:r>
      <w:r>
        <w:rPr>
          <w:rFonts w:ascii="宋体" w:hAnsi="宋体"/>
          <w:color w:val="000000" w:themeColor="text1"/>
          <w:highlight w:val="none"/>
          <w14:textFill>
            <w14:solidFill>
              <w14:schemeClr w14:val="tx1"/>
            </w14:solidFill>
          </w14:textFill>
        </w:rPr>
        <w:t>文件为准。</w:t>
      </w:r>
      <w:r>
        <w:rPr>
          <w:rFonts w:hint="eastAsia" w:ascii="宋体" w:hAnsi="宋体"/>
          <w:b/>
          <w:color w:val="000000" w:themeColor="text1"/>
          <w:highlight w:val="none"/>
          <w14:textFill>
            <w14:solidFill>
              <w14:schemeClr w14:val="tx1"/>
            </w14:solidFill>
          </w14:textFill>
        </w:rPr>
        <w:t>比选申请文件要按照资格审查文件、价格文件和技术文件三部分文件单独装订成册。并按照比选申请须知规定的式样、密封和标记、时间和地点递交。</w:t>
      </w:r>
    </w:p>
    <w:p>
      <w:pPr>
        <w:tabs>
          <w:tab w:val="left" w:pos="1134"/>
          <w:tab w:val="left" w:pos="8364"/>
        </w:tabs>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 xml:space="preserve">16.2 </w:t>
      </w:r>
      <w:r>
        <w:rPr>
          <w:rFonts w:ascii="宋体" w:hAnsi="宋体"/>
          <w:b/>
          <w:color w:val="000000" w:themeColor="text1"/>
          <w:highlight w:val="none"/>
          <w14:textFill>
            <w14:solidFill>
              <w14:schemeClr w14:val="tx1"/>
            </w14:solidFill>
          </w14:textFill>
        </w:rPr>
        <w:t>比选申请文件的正本需打印，并由比选申请人法定代表人或其授权委托人</w:t>
      </w:r>
      <w:r>
        <w:rPr>
          <w:rFonts w:hint="eastAsia" w:ascii="宋体" w:hAnsi="宋体"/>
          <w:b/>
          <w:color w:val="000000" w:themeColor="text1"/>
          <w:highlight w:val="none"/>
          <w14:textFill>
            <w14:solidFill>
              <w14:schemeClr w14:val="tx1"/>
            </w14:solidFill>
          </w14:textFill>
        </w:rPr>
        <w:t>在比选文件规定的相关位置</w:t>
      </w:r>
      <w:r>
        <w:rPr>
          <w:rFonts w:ascii="宋体" w:hAnsi="宋体"/>
          <w:b/>
          <w:color w:val="000000" w:themeColor="text1"/>
          <w:highlight w:val="none"/>
          <w14:textFill>
            <w14:solidFill>
              <w14:schemeClr w14:val="tx1"/>
            </w14:solidFill>
          </w14:textFill>
        </w:rPr>
        <w:t>签字并加盖公章。授权委托人应将以书面形式出具的“法定代表人授权书”附在比选申请文件中。</w:t>
      </w:r>
      <w:r>
        <w:rPr>
          <w:rFonts w:hint="eastAsia" w:ascii="宋体" w:hAnsi="宋体"/>
          <w:b/>
          <w:color w:val="000000" w:themeColor="text1"/>
          <w:highlight w:val="none"/>
          <w14:textFill>
            <w14:solidFill>
              <w14:schemeClr w14:val="tx1"/>
            </w14:solidFill>
          </w14:textFill>
        </w:rPr>
        <w:t>比选申请文件正本需</w:t>
      </w:r>
      <w:r>
        <w:rPr>
          <w:rFonts w:ascii="宋体" w:hAnsi="宋体"/>
          <w:b/>
          <w:color w:val="000000" w:themeColor="text1"/>
          <w:highlight w:val="none"/>
          <w14:textFill>
            <w14:solidFill>
              <w14:schemeClr w14:val="tx1"/>
            </w14:solidFill>
          </w14:textFill>
        </w:rPr>
        <w:t>骑缝加盖比选申请人单位公章</w:t>
      </w:r>
      <w:r>
        <w:rPr>
          <w:rFonts w:hint="eastAsia" w:ascii="宋体" w:hAnsi="宋体"/>
          <w:b/>
          <w:color w:val="000000" w:themeColor="text1"/>
          <w:highlight w:val="none"/>
          <w14:textFill>
            <w14:solidFill>
              <w14:schemeClr w14:val="tx1"/>
            </w14:solidFill>
          </w14:textFill>
        </w:rPr>
        <w:t>，</w:t>
      </w:r>
      <w:r>
        <w:rPr>
          <w:rFonts w:ascii="宋体" w:hAnsi="宋体"/>
          <w:b/>
          <w:color w:val="000000" w:themeColor="text1"/>
          <w:highlight w:val="none"/>
          <w14:textFill>
            <w14:solidFill>
              <w14:schemeClr w14:val="tx1"/>
            </w14:solidFill>
          </w14:textFill>
        </w:rPr>
        <w:t>比选申请文件的副本可采用正本的复印件</w:t>
      </w:r>
      <w:r>
        <w:rPr>
          <w:rFonts w:hint="eastAsia" w:ascii="宋体" w:hAnsi="宋体"/>
          <w:b/>
          <w:color w:val="000000" w:themeColor="text1"/>
          <w:highlight w:val="none"/>
          <w14:textFill>
            <w14:solidFill>
              <w14:schemeClr w14:val="tx1"/>
            </w14:solidFill>
          </w14:textFill>
        </w:rPr>
        <w:t>（需</w:t>
      </w:r>
      <w:r>
        <w:rPr>
          <w:rFonts w:ascii="宋体" w:hAnsi="宋体"/>
          <w:b/>
          <w:color w:val="000000" w:themeColor="text1"/>
          <w:highlight w:val="none"/>
          <w14:textFill>
            <w14:solidFill>
              <w14:schemeClr w14:val="tx1"/>
            </w14:solidFill>
          </w14:textFill>
        </w:rPr>
        <w:t>骑缝加盖比选申请人单位公章</w:t>
      </w:r>
      <w:r>
        <w:rPr>
          <w:rFonts w:hint="eastAsia" w:ascii="宋体" w:hAnsi="宋体"/>
          <w:b/>
          <w:color w:val="000000" w:themeColor="text1"/>
          <w:highlight w:val="none"/>
          <w14:textFill>
            <w14:solidFill>
              <w14:schemeClr w14:val="tx1"/>
            </w14:solidFill>
          </w14:textFill>
        </w:rPr>
        <w:t>）</w:t>
      </w:r>
      <w:r>
        <w:rPr>
          <w:rFonts w:ascii="宋体" w:hAnsi="宋体"/>
          <w:b/>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16.3 </w:t>
      </w:r>
      <w:r>
        <w:rPr>
          <w:rFonts w:ascii="宋体" w:hAnsi="宋体"/>
          <w:color w:val="000000" w:themeColor="text1"/>
          <w:highlight w:val="none"/>
          <w14:textFill>
            <w14:solidFill>
              <w14:schemeClr w14:val="tx1"/>
            </w14:solidFill>
          </w14:textFill>
        </w:rPr>
        <w:t>比选申请文件应无涂改和行间插字，除非是比选申请人造成的必须修改的错误，任何行间插字、涂改和增删，必须由比选申请人法定代表人或其授权代表在旁边签字或盖章确认才有效。</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16.4 </w:t>
      </w:r>
      <w:r>
        <w:rPr>
          <w:rFonts w:ascii="宋体" w:hAnsi="宋体"/>
          <w:color w:val="000000" w:themeColor="text1"/>
          <w:highlight w:val="none"/>
          <w14:textFill>
            <w14:solidFill>
              <w14:schemeClr w14:val="tx1"/>
            </w14:solidFill>
          </w14:textFill>
        </w:rPr>
        <w:t>比选人拒绝接受以</w:t>
      </w:r>
      <w:r>
        <w:rPr>
          <w:rFonts w:hint="eastAsia" w:ascii="宋体" w:hAnsi="宋体"/>
          <w:color w:val="000000" w:themeColor="text1"/>
          <w:highlight w:val="none"/>
          <w14:textFill>
            <w14:solidFill>
              <w14:schemeClr w14:val="tx1"/>
            </w14:solidFill>
          </w14:textFill>
        </w:rPr>
        <w:t>邮寄、</w:t>
      </w:r>
      <w:r>
        <w:rPr>
          <w:rFonts w:ascii="宋体" w:hAnsi="宋体"/>
          <w:color w:val="000000" w:themeColor="text1"/>
          <w:highlight w:val="none"/>
          <w14:textFill>
            <w14:solidFill>
              <w14:schemeClr w14:val="tx1"/>
            </w14:solidFill>
          </w14:textFill>
        </w:rPr>
        <w:t>电报、电话、传真、电子邮件形式的比选申请。</w:t>
      </w:r>
    </w:p>
    <w:p>
      <w:pPr>
        <w:pStyle w:val="3"/>
        <w:spacing w:after="0" w:afterAutospacing="0" w:line="360" w:lineRule="auto"/>
        <w:ind w:left="0" w:right="0" w:firstLine="482" w:firstLineChars="200"/>
        <w:rPr>
          <w:rFonts w:ascii="宋体" w:hAnsi="宋体" w:eastAsia="宋体"/>
          <w:color w:val="000000" w:themeColor="text1"/>
          <w:sz w:val="24"/>
          <w:szCs w:val="24"/>
          <w:highlight w:val="none"/>
          <w14:textFill>
            <w14:solidFill>
              <w14:schemeClr w14:val="tx1"/>
            </w14:solidFill>
          </w14:textFill>
        </w:rPr>
      </w:pPr>
      <w:bookmarkStart w:id="522" w:name="_Toc390098439"/>
      <w:bookmarkStart w:id="523" w:name="_Toc383891188"/>
      <w:bookmarkStart w:id="524" w:name="_Toc375039084"/>
      <w:bookmarkStart w:id="525" w:name="_Toc385427813"/>
      <w:bookmarkStart w:id="526" w:name="_Toc759"/>
      <w:bookmarkStart w:id="527" w:name="_Toc16409"/>
      <w:bookmarkStart w:id="528" w:name="_Toc114134625"/>
      <w:bookmarkStart w:id="529" w:name="_Toc30452"/>
      <w:bookmarkStart w:id="530" w:name="_Toc30962"/>
      <w:bookmarkStart w:id="531" w:name="_Toc1315"/>
      <w:bookmarkStart w:id="532" w:name="_Toc15116"/>
      <w:bookmarkStart w:id="533" w:name="_Toc6101"/>
      <w:bookmarkStart w:id="534" w:name="_Toc1952"/>
      <w:bookmarkStart w:id="535" w:name="_Toc26776"/>
      <w:bookmarkStart w:id="536" w:name="_Toc23177"/>
      <w:bookmarkStart w:id="537" w:name="_Toc12983523"/>
      <w:bookmarkStart w:id="538" w:name="_Toc7289"/>
      <w:bookmarkStart w:id="539" w:name="_Toc18322"/>
      <w:bookmarkStart w:id="540" w:name="_Toc21398"/>
      <w:bookmarkStart w:id="541" w:name="_Toc30187"/>
      <w:bookmarkStart w:id="542" w:name="_Toc2975"/>
      <w:bookmarkStart w:id="543" w:name="_Toc32054"/>
      <w:bookmarkStart w:id="544" w:name="_Toc10234"/>
      <w:bookmarkStart w:id="545" w:name="_Toc492478738"/>
      <w:bookmarkStart w:id="546" w:name="_Toc26551"/>
      <w:bookmarkStart w:id="547" w:name="_Toc2113"/>
      <w:r>
        <w:rPr>
          <w:rFonts w:hint="eastAsia" w:ascii="宋体" w:hAnsi="宋体" w:eastAsia="宋体"/>
          <w:color w:val="000000" w:themeColor="text1"/>
          <w:sz w:val="24"/>
          <w:szCs w:val="24"/>
          <w:highlight w:val="none"/>
          <w14:textFill>
            <w14:solidFill>
              <w14:schemeClr w14:val="tx1"/>
            </w14:solidFill>
          </w14:textFill>
        </w:rPr>
        <w:t>四、</w:t>
      </w:r>
      <w:r>
        <w:rPr>
          <w:rFonts w:ascii="宋体" w:hAnsi="宋体" w:eastAsia="宋体"/>
          <w:color w:val="000000" w:themeColor="text1"/>
          <w:sz w:val="24"/>
          <w:szCs w:val="24"/>
          <w:highlight w:val="none"/>
          <w14:textFill>
            <w14:solidFill>
              <w14:schemeClr w14:val="tx1"/>
            </w14:solidFill>
          </w14:textFill>
        </w:rPr>
        <w:t>比选申请文件</w:t>
      </w:r>
      <w:bookmarkEnd w:id="522"/>
      <w:bookmarkEnd w:id="523"/>
      <w:bookmarkEnd w:id="524"/>
      <w:bookmarkEnd w:id="525"/>
      <w:r>
        <w:rPr>
          <w:rFonts w:hint="eastAsia" w:ascii="宋体" w:hAnsi="宋体" w:eastAsia="宋体"/>
          <w:color w:val="000000" w:themeColor="text1"/>
          <w:sz w:val="24"/>
          <w:szCs w:val="24"/>
          <w:highlight w:val="none"/>
          <w14:textFill>
            <w14:solidFill>
              <w14:schemeClr w14:val="tx1"/>
            </w14:solidFill>
          </w14:textFill>
        </w:rPr>
        <w:t>的密封和递交</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548" w:name="_Toc18616"/>
      <w:bookmarkStart w:id="549" w:name="_Toc19248"/>
      <w:bookmarkStart w:id="550" w:name="_Toc24648"/>
      <w:bookmarkStart w:id="551" w:name="_Toc385427814"/>
      <w:bookmarkStart w:id="552" w:name="_Toc19495"/>
      <w:bookmarkStart w:id="553" w:name="_Toc26249"/>
      <w:bookmarkStart w:id="554" w:name="_Toc492478739"/>
      <w:bookmarkStart w:id="555" w:name="_Toc5922"/>
      <w:bookmarkStart w:id="556" w:name="_Toc13621"/>
      <w:bookmarkStart w:id="557" w:name="_Toc12329"/>
      <w:bookmarkStart w:id="558" w:name="_Toc9307"/>
      <w:bookmarkStart w:id="559" w:name="_Toc12983524"/>
      <w:bookmarkStart w:id="560" w:name="_Toc24538"/>
      <w:bookmarkStart w:id="561" w:name="_Toc15650"/>
      <w:bookmarkStart w:id="562" w:name="_Toc12117"/>
      <w:bookmarkStart w:id="563" w:name="_Toc15735"/>
      <w:bookmarkStart w:id="564" w:name="_Toc15663"/>
      <w:bookmarkStart w:id="565" w:name="_Toc25750609"/>
      <w:bookmarkStart w:id="566" w:name="_Toc15071"/>
      <w:bookmarkStart w:id="567" w:name="_Toc114134626"/>
      <w:bookmarkStart w:id="568" w:name="_Toc30196"/>
      <w:bookmarkStart w:id="569" w:name="_Toc383891189"/>
      <w:bookmarkStart w:id="570" w:name="_Toc13829"/>
      <w:bookmarkStart w:id="571" w:name="_Toc13875"/>
      <w:bookmarkStart w:id="572" w:name="_Toc390098440"/>
      <w:bookmarkStart w:id="573" w:name="_Toc17200"/>
      <w:bookmarkStart w:id="574" w:name="_Toc375039085"/>
      <w:r>
        <w:rPr>
          <w:rFonts w:hint="eastAsia" w:ascii="宋体" w:hAnsi="宋体"/>
          <w:color w:val="000000" w:themeColor="text1"/>
          <w:sz w:val="21"/>
          <w:szCs w:val="21"/>
          <w:highlight w:val="none"/>
          <w14:textFill>
            <w14:solidFill>
              <w14:schemeClr w14:val="tx1"/>
            </w14:solidFill>
          </w14:textFill>
        </w:rPr>
        <w:t xml:space="preserve">17. </w:t>
      </w:r>
      <w:r>
        <w:rPr>
          <w:rFonts w:ascii="宋体" w:hAnsi="宋体"/>
          <w:color w:val="000000" w:themeColor="text1"/>
          <w:sz w:val="21"/>
          <w:szCs w:val="21"/>
          <w:highlight w:val="none"/>
          <w14:textFill>
            <w14:solidFill>
              <w14:schemeClr w14:val="tx1"/>
            </w14:solidFill>
          </w14:textFill>
        </w:rPr>
        <w:t>比选申请文件</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bookmarkStart w:id="575" w:name="_Toc383891190"/>
      <w:bookmarkStart w:id="576" w:name="_Toc390098441"/>
      <w:bookmarkStart w:id="577" w:name="_Toc375039086"/>
      <w:bookmarkStart w:id="578" w:name="_Toc385427815"/>
      <w:r>
        <w:rPr>
          <w:rFonts w:hint="eastAsia" w:ascii="宋体" w:hAnsi="宋体"/>
          <w:color w:val="000000" w:themeColor="text1"/>
          <w:highlight w:val="none"/>
          <w14:textFill>
            <w14:solidFill>
              <w14:schemeClr w14:val="tx1"/>
            </w14:solidFill>
          </w14:textFill>
        </w:rPr>
        <w:t xml:space="preserve">17.1 </w:t>
      </w:r>
      <w:r>
        <w:rPr>
          <w:rFonts w:ascii="宋体" w:hAnsi="宋体"/>
          <w:color w:val="000000" w:themeColor="text1"/>
          <w:highlight w:val="none"/>
          <w14:textFill>
            <w14:solidFill>
              <w14:schemeClr w14:val="tx1"/>
            </w14:solidFill>
          </w14:textFill>
        </w:rPr>
        <w:t>封装方式</w:t>
      </w:r>
    </w:p>
    <w:p>
      <w:pPr>
        <w:tabs>
          <w:tab w:val="left" w:pos="420"/>
          <w:tab w:val="left" w:pos="720"/>
          <w:tab w:val="left" w:pos="113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（1）比选申请文件正本与副本应分别装订成册，封面上应分别标明“正本”和“副本”字样。</w:t>
      </w:r>
    </w:p>
    <w:p>
      <w:pPr>
        <w:tabs>
          <w:tab w:val="left" w:pos="420"/>
          <w:tab w:val="left" w:pos="720"/>
          <w:tab w:val="left" w:pos="113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）比选申请人可将比选申请文件封装为</w:t>
      </w:r>
      <w:r>
        <w:rPr>
          <w:rFonts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14:textFill>
            <w14:solidFill>
              <w14:schemeClr w14:val="tx1"/>
            </w14:solidFill>
          </w14:textFill>
        </w:rPr>
        <w:t>个包，其中价格文件还需独立密封成包。</w:t>
      </w:r>
    </w:p>
    <w:p>
      <w:pPr>
        <w:tabs>
          <w:tab w:val="left" w:pos="420"/>
          <w:tab w:val="left" w:pos="720"/>
          <w:tab w:val="left" w:pos="113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（3）所有密封箱/袋应保证其密封性，并骑缝加盖比选申请人单位公章。</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17.2 </w:t>
      </w:r>
      <w:r>
        <w:rPr>
          <w:rFonts w:ascii="宋体" w:hAnsi="宋体"/>
          <w:color w:val="000000" w:themeColor="text1"/>
          <w:highlight w:val="none"/>
          <w14:textFill>
            <w14:solidFill>
              <w14:schemeClr w14:val="tx1"/>
            </w14:solidFill>
          </w14:textFill>
        </w:rPr>
        <w:t>所有密封箱/袋都应具有下列识别标志：</w:t>
      </w:r>
    </w:p>
    <w:p>
      <w:pPr>
        <w:tabs>
          <w:tab w:val="left" w:pos="1155"/>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w:t>
      </w:r>
      <w:r>
        <w:rPr>
          <w:rFonts w:ascii="宋体" w:hAnsi="宋体"/>
          <w:color w:val="000000" w:themeColor="text1"/>
          <w:highlight w:val="none"/>
          <w14:textFill>
            <w14:solidFill>
              <w14:schemeClr w14:val="tx1"/>
            </w14:solidFill>
          </w14:textFill>
        </w:rPr>
        <w:t>项目名称：</w:t>
      </w:r>
      <w:r>
        <w:rPr>
          <w:rFonts w:hint="eastAsia" w:ascii="宋体" w:hAnsi="宋体"/>
          <w:color w:val="000000" w:themeColor="text1"/>
          <w:highlight w:val="none"/>
          <w:u w:val="single"/>
          <w:lang w:val="zh-CN"/>
          <w14:textFill>
            <w14:solidFill>
              <w14:schemeClr w14:val="tx1"/>
            </w14:solidFill>
          </w14:textFill>
        </w:rPr>
        <w:t>南宁市白沙半岛片区城中村改造项目安置住房小区4号地块配套基础设施-纵一路设计</w:t>
      </w:r>
      <w:r>
        <w:rPr>
          <w:rFonts w:ascii="宋体" w:hAnsi="宋体"/>
          <w:color w:val="000000" w:themeColor="text1"/>
          <w:highlight w:val="none"/>
          <w14:textFill>
            <w14:solidFill>
              <w14:schemeClr w14:val="tx1"/>
            </w14:solidFill>
          </w14:textFill>
        </w:rPr>
        <w:t>；</w:t>
      </w:r>
    </w:p>
    <w:p>
      <w:pPr>
        <w:tabs>
          <w:tab w:val="left" w:pos="420"/>
          <w:tab w:val="left" w:pos="720"/>
          <w:tab w:val="left" w:pos="113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项目编号：</w:t>
      </w:r>
      <w:r>
        <w:rPr>
          <w:rFonts w:hint="eastAsia" w:ascii="宋体" w:hAnsi="宋体"/>
          <w:color w:val="000000" w:themeColor="text1"/>
          <w:highlight w:val="none"/>
          <w14:textFill>
            <w14:solidFill>
              <w14:schemeClr w14:val="tx1"/>
            </w14:solidFill>
          </w14:textFill>
        </w:rPr>
        <w:t>无</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17.3 </w:t>
      </w:r>
      <w:r>
        <w:rPr>
          <w:rFonts w:ascii="宋体" w:hAnsi="宋体"/>
          <w:color w:val="000000" w:themeColor="text1"/>
          <w:highlight w:val="none"/>
          <w14:textFill>
            <w14:solidFill>
              <w14:schemeClr w14:val="tx1"/>
            </w14:solidFill>
          </w14:textFill>
        </w:rPr>
        <w:t>所有密封箱</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袋上均应写明比选申请人的名称与地址，以便比选申请被宣布迟到时，能原封退回。</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17.4 </w:t>
      </w:r>
      <w:r>
        <w:rPr>
          <w:rFonts w:ascii="宋体" w:hAnsi="宋体"/>
          <w:color w:val="000000" w:themeColor="text1"/>
          <w:highlight w:val="none"/>
          <w14:textFill>
            <w14:solidFill>
              <w14:schemeClr w14:val="tx1"/>
            </w14:solidFill>
          </w14:textFill>
        </w:rPr>
        <w:t>如果密封箱</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袋上没有按上述规定密封并加写标志，比选人将不承担比选申请文件错放或提前开封的责任，由此造成的提前开封的比选申请文件，比选人将予以拒绝，并退还给比选申请人。</w:t>
      </w:r>
    </w:p>
    <w:p>
      <w:pPr>
        <w:pStyle w:val="4"/>
        <w:numPr>
          <w:ilvl w:val="0"/>
          <w:numId w:val="4"/>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579" w:name="_Toc13136"/>
      <w:bookmarkStart w:id="580" w:name="_Toc12983525"/>
      <w:bookmarkStart w:id="581" w:name="_Toc11039"/>
      <w:bookmarkStart w:id="582" w:name="_Toc13883"/>
      <w:bookmarkStart w:id="583" w:name="_Toc492478740"/>
      <w:bookmarkStart w:id="584" w:name="_Toc25750610"/>
      <w:bookmarkStart w:id="585" w:name="_Toc11255"/>
      <w:bookmarkStart w:id="586" w:name="_Toc16755"/>
      <w:bookmarkStart w:id="587" w:name="_Toc4735"/>
      <w:bookmarkStart w:id="588" w:name="_Toc6339"/>
      <w:bookmarkStart w:id="589" w:name="_Toc6482"/>
      <w:bookmarkStart w:id="590" w:name="_Toc28071"/>
      <w:bookmarkStart w:id="591" w:name="_Toc16818"/>
      <w:bookmarkStart w:id="592" w:name="_Toc16266"/>
      <w:bookmarkStart w:id="593" w:name="_Toc114134627"/>
      <w:bookmarkStart w:id="594" w:name="_Toc2337"/>
      <w:bookmarkStart w:id="595" w:name="_Toc22445"/>
      <w:bookmarkStart w:id="596" w:name="_Toc23859"/>
      <w:bookmarkStart w:id="597" w:name="_Toc32760"/>
      <w:bookmarkStart w:id="598" w:name="_Toc24465"/>
      <w:bookmarkStart w:id="599" w:name="_Toc22180"/>
      <w:bookmarkStart w:id="600" w:name="_Toc642"/>
      <w:bookmarkStart w:id="601" w:name="_Toc11096"/>
      <w:r>
        <w:rPr>
          <w:rFonts w:ascii="宋体" w:hAnsi="宋体"/>
          <w:color w:val="000000" w:themeColor="text1"/>
          <w:sz w:val="21"/>
          <w:szCs w:val="21"/>
          <w:highlight w:val="none"/>
          <w14:textFill>
            <w14:solidFill>
              <w14:schemeClr w14:val="tx1"/>
            </w14:solidFill>
          </w14:textFill>
        </w:rPr>
        <w:t>比选申请截止期</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18.1 </w:t>
      </w:r>
      <w:r>
        <w:rPr>
          <w:rFonts w:ascii="宋体" w:hAnsi="宋体"/>
          <w:color w:val="000000" w:themeColor="text1"/>
          <w:highlight w:val="none"/>
          <w14:textFill>
            <w14:solidFill>
              <w14:schemeClr w14:val="tx1"/>
            </w14:solidFill>
          </w14:textFill>
        </w:rPr>
        <w:t>所有比选申请文件应派专人送交，并须按“比选申请须知前附表”中规定的比选申请截止时间</w:t>
      </w:r>
      <w:r>
        <w:rPr>
          <w:rFonts w:hint="eastAsia" w:ascii="宋体" w:hAnsi="宋体"/>
          <w:color w:val="000000" w:themeColor="text1"/>
          <w:highlight w:val="none"/>
          <w14:textFill>
            <w14:solidFill>
              <w14:schemeClr w14:val="tx1"/>
            </w14:solidFill>
          </w14:textFill>
        </w:rPr>
        <w:t>前</w:t>
      </w:r>
      <w:r>
        <w:rPr>
          <w:rFonts w:ascii="宋体" w:hAnsi="宋体"/>
          <w:color w:val="000000" w:themeColor="text1"/>
          <w:highlight w:val="none"/>
          <w14:textFill>
            <w14:solidFill>
              <w14:schemeClr w14:val="tx1"/>
            </w14:solidFill>
          </w14:textFill>
        </w:rPr>
        <w:t>送至</w:t>
      </w:r>
      <w:r>
        <w:rPr>
          <w:rFonts w:hint="eastAsia" w:ascii="宋体" w:hAnsi="宋体"/>
          <w:color w:val="000000" w:themeColor="text1"/>
          <w:highlight w:val="none"/>
          <w14:textFill>
            <w14:solidFill>
              <w14:schemeClr w14:val="tx1"/>
            </w14:solidFill>
          </w14:textFill>
        </w:rPr>
        <w:t>比选文件规定的</w:t>
      </w:r>
      <w:r>
        <w:rPr>
          <w:rFonts w:ascii="宋体" w:hAnsi="宋体"/>
          <w:color w:val="000000" w:themeColor="text1"/>
          <w:highlight w:val="none"/>
          <w14:textFill>
            <w14:solidFill>
              <w14:schemeClr w14:val="tx1"/>
            </w14:solidFill>
          </w14:textFill>
        </w:rPr>
        <w:t>地点。如有必要，比选申请人可事先自行到该场地进行察看。</w:t>
      </w:r>
    </w:p>
    <w:p>
      <w:pPr>
        <w:tabs>
          <w:tab w:val="left" w:pos="1134"/>
          <w:tab w:val="left" w:pos="8364"/>
        </w:tabs>
        <w:spacing w:before="0" w:after="0" w:afterAutospacing="0"/>
        <w:ind w:left="0" w:right="0" w:firstLine="422" w:firstLineChars="200"/>
        <w:rPr>
          <w:rFonts w:ascii="宋体" w:hAnsi="宋体"/>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 xml:space="preserve">18.2 </w:t>
      </w:r>
      <w:r>
        <w:rPr>
          <w:rFonts w:ascii="宋体" w:hAnsi="宋体"/>
          <w:b/>
          <w:color w:val="000000" w:themeColor="text1"/>
          <w:highlight w:val="none"/>
          <w14:textFill>
            <w14:solidFill>
              <w14:schemeClr w14:val="tx1"/>
            </w14:solidFill>
          </w14:textFill>
        </w:rPr>
        <w:t>比选申请人在递交比选申请文件时必须签到，否则比选申请无效。递交比选申请文件的时间晚于比选申请截止时间时，比选申请文件将不被接受。</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18.3 </w:t>
      </w:r>
      <w:r>
        <w:rPr>
          <w:rFonts w:ascii="宋体" w:hAnsi="宋体"/>
          <w:color w:val="000000" w:themeColor="text1"/>
          <w:highlight w:val="none"/>
          <w14:textFill>
            <w14:solidFill>
              <w14:schemeClr w14:val="tx1"/>
            </w14:solidFill>
          </w14:textFill>
        </w:rPr>
        <w:t>出现比选申请须知第7条因比选文件的修改推迟比选申请截止时间时，则按比选人修改通知规定的时间递交。在此情况下，比选人和比选申请人受比选申请截止时间制约的所有权利和义务均应延长至新的比选申请截止时间。</w:t>
      </w:r>
    </w:p>
    <w:p>
      <w:pPr>
        <w:pStyle w:val="4"/>
        <w:numPr>
          <w:ilvl w:val="0"/>
          <w:numId w:val="4"/>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602" w:name="_Toc9522"/>
      <w:bookmarkStart w:id="603" w:name="_Toc29473"/>
      <w:bookmarkStart w:id="604" w:name="_Toc390098442"/>
      <w:bookmarkStart w:id="605" w:name="_Toc14239"/>
      <w:bookmarkStart w:id="606" w:name="_Toc2226"/>
      <w:bookmarkStart w:id="607" w:name="_Toc383891191"/>
      <w:bookmarkStart w:id="608" w:name="_Toc6554"/>
      <w:bookmarkStart w:id="609" w:name="_Toc12983526"/>
      <w:bookmarkStart w:id="610" w:name="_Toc3597"/>
      <w:bookmarkStart w:id="611" w:name="_Toc375039087"/>
      <w:bookmarkStart w:id="612" w:name="_Toc23404"/>
      <w:bookmarkStart w:id="613" w:name="_Toc22945"/>
      <w:bookmarkStart w:id="614" w:name="_Toc11373"/>
      <w:bookmarkStart w:id="615" w:name="_Toc324"/>
      <w:bookmarkStart w:id="616" w:name="_Toc385427816"/>
      <w:bookmarkStart w:id="617" w:name="_Toc15252"/>
      <w:bookmarkStart w:id="618" w:name="_Toc32621"/>
      <w:bookmarkStart w:id="619" w:name="_Toc10818"/>
      <w:bookmarkStart w:id="620" w:name="_Toc492478741"/>
      <w:bookmarkStart w:id="621" w:name="_Toc114134628"/>
      <w:bookmarkStart w:id="622" w:name="_Toc13581"/>
      <w:bookmarkStart w:id="623" w:name="_Toc26431"/>
      <w:bookmarkStart w:id="624" w:name="_Toc32252"/>
      <w:bookmarkStart w:id="625" w:name="_Toc29066"/>
      <w:bookmarkStart w:id="626" w:name="_Toc28041"/>
      <w:bookmarkStart w:id="627" w:name="_Toc25750611"/>
      <w:bookmarkStart w:id="628" w:name="_Toc21960"/>
      <w:r>
        <w:rPr>
          <w:rFonts w:ascii="宋体" w:hAnsi="宋体"/>
          <w:color w:val="000000" w:themeColor="text1"/>
          <w:sz w:val="21"/>
          <w:szCs w:val="21"/>
          <w:highlight w:val="none"/>
          <w14:textFill>
            <w14:solidFill>
              <w14:schemeClr w14:val="tx1"/>
            </w14:solidFill>
          </w14:textFill>
        </w:rPr>
        <w:t>迟交的比选申请文件</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19.1 比选人</w:t>
      </w:r>
      <w:r>
        <w:rPr>
          <w:rFonts w:ascii="宋体" w:hAnsi="宋体"/>
          <w:color w:val="000000" w:themeColor="text1"/>
          <w:highlight w:val="none"/>
          <w14:textFill>
            <w14:solidFill>
              <w14:schemeClr w14:val="tx1"/>
            </w14:solidFill>
          </w14:textFill>
        </w:rPr>
        <w:t>将拒绝并原封退回在</w:t>
      </w:r>
      <w:r>
        <w:rPr>
          <w:rFonts w:hint="eastAsia" w:ascii="宋体" w:hAnsi="宋体"/>
          <w:color w:val="000000" w:themeColor="text1"/>
          <w:highlight w:val="none"/>
          <w14:textFill>
            <w14:solidFill>
              <w14:schemeClr w14:val="tx1"/>
            </w14:solidFill>
          </w14:textFill>
        </w:rPr>
        <w:t>本须知</w:t>
      </w:r>
      <w:r>
        <w:rPr>
          <w:rFonts w:ascii="宋体" w:hAnsi="宋体"/>
          <w:color w:val="000000" w:themeColor="text1"/>
          <w:highlight w:val="none"/>
          <w14:textFill>
            <w14:solidFill>
              <w14:schemeClr w14:val="tx1"/>
            </w14:solidFill>
          </w14:textFill>
        </w:rPr>
        <w:t>18.1</w:t>
      </w:r>
      <w:r>
        <w:rPr>
          <w:rFonts w:hint="eastAsia" w:ascii="宋体" w:hAnsi="宋体"/>
          <w:color w:val="000000" w:themeColor="text1"/>
          <w:highlight w:val="none"/>
          <w14:textFill>
            <w14:solidFill>
              <w14:schemeClr w14:val="tx1"/>
            </w14:solidFill>
          </w14:textFill>
        </w:rPr>
        <w:t>条</w:t>
      </w:r>
      <w:r>
        <w:rPr>
          <w:rFonts w:ascii="宋体" w:hAnsi="宋体"/>
          <w:color w:val="000000" w:themeColor="text1"/>
          <w:highlight w:val="none"/>
          <w14:textFill>
            <w14:solidFill>
              <w14:schemeClr w14:val="tx1"/>
            </w14:solidFill>
          </w14:textFill>
        </w:rPr>
        <w:t>规定的比选申请截止时间后收到的任何比选申请文件。</w:t>
      </w:r>
    </w:p>
    <w:p>
      <w:pPr>
        <w:pStyle w:val="4"/>
        <w:numPr>
          <w:ilvl w:val="0"/>
          <w:numId w:val="4"/>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629" w:name="_Toc14522"/>
      <w:bookmarkStart w:id="630" w:name="_Toc12682"/>
      <w:bookmarkStart w:id="631" w:name="_Toc28452"/>
      <w:bookmarkStart w:id="632" w:name="_Toc26282"/>
      <w:bookmarkStart w:id="633" w:name="_Toc29208"/>
      <w:bookmarkStart w:id="634" w:name="_Toc114134629"/>
      <w:bookmarkStart w:id="635" w:name="_Toc31033"/>
      <w:bookmarkStart w:id="636" w:name="_Toc27195"/>
      <w:bookmarkStart w:id="637" w:name="_Toc383891192"/>
      <w:bookmarkStart w:id="638" w:name="_Toc10345"/>
      <w:bookmarkStart w:id="639" w:name="_Toc492478742"/>
      <w:bookmarkStart w:id="640" w:name="_Toc25427"/>
      <w:bookmarkStart w:id="641" w:name="_Toc23449"/>
      <w:bookmarkStart w:id="642" w:name="_Toc25750612"/>
      <w:bookmarkStart w:id="643" w:name="_Toc21796"/>
      <w:bookmarkStart w:id="644" w:name="_Toc4605"/>
      <w:bookmarkStart w:id="645" w:name="_Toc8636"/>
      <w:bookmarkStart w:id="646" w:name="_Toc17797"/>
      <w:bookmarkStart w:id="647" w:name="_Toc385427817"/>
      <w:bookmarkStart w:id="648" w:name="_Toc24030"/>
      <w:bookmarkStart w:id="649" w:name="_Toc7221"/>
      <w:bookmarkStart w:id="650" w:name="_Toc14411"/>
      <w:bookmarkStart w:id="651" w:name="_Toc243"/>
      <w:bookmarkStart w:id="652" w:name="_Toc375039088"/>
      <w:bookmarkStart w:id="653" w:name="_Toc390098443"/>
      <w:bookmarkStart w:id="654" w:name="_Toc9706"/>
      <w:bookmarkStart w:id="655" w:name="_Toc12983527"/>
      <w:r>
        <w:rPr>
          <w:rFonts w:ascii="宋体" w:hAnsi="宋体"/>
          <w:color w:val="000000" w:themeColor="text1"/>
          <w:sz w:val="21"/>
          <w:szCs w:val="21"/>
          <w:highlight w:val="none"/>
          <w14:textFill>
            <w14:solidFill>
              <w14:schemeClr w14:val="tx1"/>
            </w14:solidFill>
          </w14:textFill>
        </w:rPr>
        <w:t>比选申请文件的修改和撤回</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20.1 </w:t>
      </w:r>
      <w:r>
        <w:rPr>
          <w:rFonts w:ascii="宋体" w:hAnsi="宋体"/>
          <w:color w:val="000000" w:themeColor="text1"/>
          <w:highlight w:val="none"/>
          <w14:textFill>
            <w14:solidFill>
              <w14:schemeClr w14:val="tx1"/>
            </w14:solidFill>
          </w14:textFill>
        </w:rPr>
        <w:t>比选申请人在提交比选申请文件后可对其比选申请文件进行修改或撤回，但该修改或撤回的书面通知须在比选申请截止时间之前送达</w:t>
      </w:r>
      <w:r>
        <w:rPr>
          <w:rFonts w:hint="eastAsia" w:ascii="宋体" w:hAnsi="宋体"/>
          <w:color w:val="000000" w:themeColor="text1"/>
          <w:highlight w:val="none"/>
          <w14:textFill>
            <w14:solidFill>
              <w14:schemeClr w14:val="tx1"/>
            </w14:solidFill>
          </w14:textFill>
        </w:rPr>
        <w:t>比选单位</w:t>
      </w:r>
      <w:r>
        <w:rPr>
          <w:rFonts w:ascii="宋体" w:hAnsi="宋体"/>
          <w:color w:val="000000" w:themeColor="text1"/>
          <w:highlight w:val="none"/>
          <w14:textFill>
            <w14:solidFill>
              <w14:schemeClr w14:val="tx1"/>
            </w14:solidFill>
          </w14:textFill>
        </w:rPr>
        <w:t>；且该通知需经正式授权的比选申请人代表签字方为有效。</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20.2 </w:t>
      </w:r>
      <w:r>
        <w:rPr>
          <w:rFonts w:ascii="宋体" w:hAnsi="宋体"/>
          <w:color w:val="000000" w:themeColor="text1"/>
          <w:highlight w:val="none"/>
          <w14:textFill>
            <w14:solidFill>
              <w14:schemeClr w14:val="tx1"/>
            </w14:solidFill>
          </w14:textFill>
        </w:rPr>
        <w:t>比选申请人对比选申请文件修改的书面材料或撤回的通知应按本比选申请须知</w:t>
      </w:r>
      <w:r>
        <w:rPr>
          <w:rFonts w:hint="eastAsia" w:ascii="宋体" w:hAnsi="宋体"/>
          <w:color w:val="000000" w:themeColor="text1"/>
          <w:highlight w:val="none"/>
          <w14:textFill>
            <w14:solidFill>
              <w14:schemeClr w14:val="tx1"/>
            </w14:solidFill>
          </w14:textFill>
        </w:rPr>
        <w:t>第16</w:t>
      </w:r>
      <w:r>
        <w:rPr>
          <w:rFonts w:ascii="宋体" w:hAnsi="宋体"/>
          <w:color w:val="000000" w:themeColor="text1"/>
          <w:highlight w:val="none"/>
          <w14:textFill>
            <w14:solidFill>
              <w14:schemeClr w14:val="tx1"/>
            </w14:solidFill>
          </w14:textFill>
        </w:rPr>
        <w:t>和</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"_尻깃匡숭돨쵱룐뵨깃션"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17</w:t>
      </w:r>
      <w:r>
        <w:rPr>
          <w:rFonts w:ascii="宋体" w:hAnsi="宋体"/>
          <w:color w:val="000000" w:themeColor="text1"/>
          <w:highlight w:val="none"/>
          <w14:textFill>
            <w14:solidFill>
              <w14:schemeClr w14:val="tx1"/>
            </w14:solidFill>
          </w14:textFill>
        </w:rPr>
        <w:t>条</w:t>
      </w:r>
      <w:r>
        <w:rPr>
          <w:rFonts w:ascii="宋体" w:hAnsi="宋体"/>
          <w:color w:val="000000" w:themeColor="text1"/>
          <w:highlight w:val="none"/>
          <w14:textFill>
            <w14:solidFill>
              <w14:schemeClr w14:val="tx1"/>
            </w14:solidFill>
          </w14:textFill>
        </w:rPr>
        <w:fldChar w:fldCharType="end"/>
      </w:r>
      <w:r>
        <w:rPr>
          <w:rFonts w:ascii="宋体" w:hAnsi="宋体"/>
          <w:color w:val="000000" w:themeColor="text1"/>
          <w:highlight w:val="none"/>
          <w14:textFill>
            <w14:solidFill>
              <w14:schemeClr w14:val="tx1"/>
            </w14:solidFill>
          </w14:textFill>
        </w:rPr>
        <w:t>规定进行编写、密封、标注和递送，并注明“修改比选申请文件”或“撤回比选申请书面通知”字样。</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20.3 </w:t>
      </w:r>
      <w:r>
        <w:rPr>
          <w:rFonts w:ascii="宋体" w:hAnsi="宋体"/>
          <w:color w:val="000000" w:themeColor="text1"/>
          <w:highlight w:val="none"/>
          <w14:textFill>
            <w14:solidFill>
              <w14:schemeClr w14:val="tx1"/>
            </w14:solidFill>
          </w14:textFill>
        </w:rPr>
        <w:t>比选申请截止时间以后比选申请人不得修改比选申请文件。</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20.4 </w:t>
      </w:r>
      <w:r>
        <w:rPr>
          <w:rFonts w:ascii="宋体" w:hAnsi="宋体"/>
          <w:color w:val="000000" w:themeColor="text1"/>
          <w:highlight w:val="none"/>
          <w14:textFill>
            <w14:solidFill>
              <w14:schemeClr w14:val="tx1"/>
            </w14:solidFill>
          </w14:textFill>
        </w:rPr>
        <w:t>比选申请人不得在比选申请截止时间至比选申请有效期期满前撤销比选申请文件。否则</w:t>
      </w:r>
      <w:r>
        <w:rPr>
          <w:rFonts w:hint="eastAsia" w:ascii="宋体" w:hAnsi="宋体"/>
          <w:color w:val="000000" w:themeColor="text1"/>
          <w:highlight w:val="none"/>
          <w14:textFill>
            <w14:solidFill>
              <w14:schemeClr w14:val="tx1"/>
            </w14:solidFill>
          </w14:textFill>
        </w:rPr>
        <w:t>比选人有权</w:t>
      </w:r>
      <w:r>
        <w:rPr>
          <w:rFonts w:ascii="宋体" w:hAnsi="宋体"/>
          <w:color w:val="000000" w:themeColor="text1"/>
          <w:highlight w:val="none"/>
          <w14:textFill>
            <w14:solidFill>
              <w14:schemeClr w14:val="tx1"/>
            </w14:solidFill>
          </w14:textFill>
        </w:rPr>
        <w:t>要求</w:t>
      </w:r>
      <w:r>
        <w:rPr>
          <w:rFonts w:hint="eastAsia" w:ascii="宋体" w:hAnsi="宋体"/>
          <w:color w:val="000000" w:themeColor="text1"/>
          <w:highlight w:val="none"/>
          <w14:textFill>
            <w14:solidFill>
              <w14:schemeClr w14:val="tx1"/>
            </w14:solidFill>
          </w14:textFill>
        </w:rPr>
        <w:t>比选申请人</w:t>
      </w:r>
      <w:r>
        <w:rPr>
          <w:rFonts w:ascii="宋体" w:hAnsi="宋体"/>
          <w:color w:val="000000" w:themeColor="text1"/>
          <w:highlight w:val="none"/>
          <w14:textFill>
            <w14:solidFill>
              <w14:schemeClr w14:val="tx1"/>
            </w14:solidFill>
          </w14:textFill>
        </w:rPr>
        <w:t>对损失给予赔偿。</w:t>
      </w:r>
    </w:p>
    <w:p>
      <w:pPr>
        <w:pStyle w:val="3"/>
        <w:spacing w:after="0" w:afterAutospacing="0" w:line="360" w:lineRule="auto"/>
        <w:ind w:left="0" w:right="0" w:firstLine="482" w:firstLineChars="200"/>
        <w:rPr>
          <w:rFonts w:ascii="宋体" w:hAnsi="宋体" w:eastAsia="宋体"/>
          <w:color w:val="000000" w:themeColor="text1"/>
          <w:sz w:val="24"/>
          <w:szCs w:val="24"/>
          <w:highlight w:val="none"/>
          <w14:textFill>
            <w14:solidFill>
              <w14:schemeClr w14:val="tx1"/>
            </w14:solidFill>
          </w14:textFill>
        </w:rPr>
      </w:pPr>
      <w:bookmarkStart w:id="656" w:name="_Toc4291"/>
      <w:bookmarkStart w:id="657" w:name="_Toc22587"/>
      <w:bookmarkStart w:id="658" w:name="_Toc390098444"/>
      <w:bookmarkStart w:id="659" w:name="_Toc24485"/>
      <w:bookmarkStart w:id="660" w:name="_Toc2306"/>
      <w:bookmarkStart w:id="661" w:name="_Toc12182"/>
      <w:bookmarkStart w:id="662" w:name="_Toc11529"/>
      <w:bookmarkStart w:id="663" w:name="_Toc5592"/>
      <w:bookmarkStart w:id="664" w:name="_Toc16856"/>
      <w:bookmarkStart w:id="665" w:name="_Toc12983528"/>
      <w:bookmarkStart w:id="666" w:name="_Toc29264"/>
      <w:bookmarkStart w:id="667" w:name="_Toc383891193"/>
      <w:bookmarkStart w:id="668" w:name="_Toc385427818"/>
      <w:bookmarkStart w:id="669" w:name="_Toc10325"/>
      <w:bookmarkStart w:id="670" w:name="_Toc28694"/>
      <w:bookmarkStart w:id="671" w:name="_Toc3006"/>
      <w:bookmarkStart w:id="672" w:name="_Toc9728"/>
      <w:bookmarkStart w:id="673" w:name="_Toc9549"/>
      <w:bookmarkStart w:id="674" w:name="_Toc375039089"/>
      <w:bookmarkStart w:id="675" w:name="_Toc18076"/>
      <w:bookmarkStart w:id="676" w:name="_Toc31978"/>
      <w:bookmarkStart w:id="677" w:name="_Toc25433"/>
      <w:bookmarkStart w:id="678" w:name="_Toc492478743"/>
      <w:bookmarkStart w:id="679" w:name="_Toc18091"/>
      <w:bookmarkStart w:id="680" w:name="_Toc114134630"/>
      <w:bookmarkStart w:id="681" w:name="_Toc7654"/>
      <w:r>
        <w:rPr>
          <w:rFonts w:hint="eastAsia" w:ascii="宋体" w:hAnsi="宋体" w:eastAsia="宋体"/>
          <w:color w:val="000000" w:themeColor="text1"/>
          <w:sz w:val="24"/>
          <w:szCs w:val="24"/>
          <w:highlight w:val="none"/>
          <w14:textFill>
            <w14:solidFill>
              <w14:schemeClr w14:val="tx1"/>
            </w14:solidFill>
          </w14:textFill>
        </w:rPr>
        <w:t>五、</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r>
        <w:rPr>
          <w:rFonts w:hint="eastAsia" w:ascii="宋体" w:hAnsi="宋体" w:eastAsia="宋体"/>
          <w:color w:val="000000" w:themeColor="text1"/>
          <w:sz w:val="24"/>
          <w:szCs w:val="24"/>
          <w:highlight w:val="none"/>
          <w14:textFill>
            <w14:solidFill>
              <w14:schemeClr w14:val="tx1"/>
            </w14:solidFill>
          </w14:textFill>
        </w:rPr>
        <w:t>比选申请文件递交与评审</w:t>
      </w:r>
      <w:bookmarkEnd w:id="679"/>
      <w:bookmarkEnd w:id="680"/>
      <w:bookmarkEnd w:id="681"/>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682" w:name="_Toc6974"/>
      <w:bookmarkStart w:id="683" w:name="_Toc23705"/>
      <w:bookmarkStart w:id="684" w:name="_Toc10292"/>
      <w:bookmarkStart w:id="685" w:name="_Toc383891194"/>
      <w:bookmarkStart w:id="686" w:name="_Toc4638"/>
      <w:bookmarkStart w:id="687" w:name="_Toc18919"/>
      <w:bookmarkStart w:id="688" w:name="_Toc4674"/>
      <w:bookmarkStart w:id="689" w:name="_Toc385427819"/>
      <w:bookmarkStart w:id="690" w:name="_Toc6839"/>
      <w:bookmarkStart w:id="691" w:name="_Toc9264"/>
      <w:bookmarkStart w:id="692" w:name="_Toc895"/>
      <w:bookmarkStart w:id="693" w:name="_Toc375039090"/>
      <w:bookmarkStart w:id="694" w:name="_Toc5182"/>
      <w:bookmarkStart w:id="695" w:name="_Toc24196"/>
      <w:bookmarkStart w:id="696" w:name="_Toc4825"/>
      <w:bookmarkStart w:id="697" w:name="_Toc25116"/>
      <w:bookmarkStart w:id="698" w:name="_Toc9309"/>
      <w:bookmarkStart w:id="699" w:name="_Toc4365"/>
      <w:bookmarkStart w:id="700" w:name="_Toc492478744"/>
      <w:bookmarkStart w:id="701" w:name="_Toc390098445"/>
      <w:bookmarkStart w:id="702" w:name="_Toc10883"/>
      <w:bookmarkStart w:id="703" w:name="_Toc12983529"/>
      <w:bookmarkStart w:id="704" w:name="_Toc6377"/>
      <w:bookmarkStart w:id="705" w:name="_Toc25314"/>
      <w:bookmarkStart w:id="706" w:name="_Toc25750614"/>
      <w:bookmarkStart w:id="707" w:name="_Toc114134631"/>
      <w:bookmarkStart w:id="708" w:name="_Toc9037"/>
      <w:r>
        <w:rPr>
          <w:rFonts w:hint="eastAsia" w:ascii="宋体" w:hAnsi="宋体"/>
          <w:color w:val="000000" w:themeColor="text1"/>
          <w:sz w:val="21"/>
          <w:szCs w:val="21"/>
          <w:highlight w:val="none"/>
          <w14:textFill>
            <w14:solidFill>
              <w14:schemeClr w14:val="tx1"/>
            </w14:solidFill>
          </w14:textFill>
        </w:rPr>
        <w:t xml:space="preserve">21. </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r>
        <w:rPr>
          <w:rFonts w:hint="eastAsia" w:ascii="宋体" w:hAnsi="宋体"/>
          <w:color w:val="000000" w:themeColor="text1"/>
          <w:sz w:val="21"/>
          <w:szCs w:val="21"/>
          <w:highlight w:val="none"/>
          <w14:textFill>
            <w14:solidFill>
              <w14:schemeClr w14:val="tx1"/>
            </w14:solidFill>
          </w14:textFill>
        </w:rPr>
        <w:t>比选申请文件递交</w:t>
      </w:r>
      <w:bookmarkEnd w:id="705"/>
      <w:bookmarkEnd w:id="706"/>
      <w:bookmarkEnd w:id="707"/>
      <w:bookmarkEnd w:id="708"/>
    </w:p>
    <w:p>
      <w:pPr>
        <w:tabs>
          <w:tab w:val="left" w:pos="945"/>
          <w:tab w:val="left" w:pos="113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21.1 比选人将按本须知第</w:t>
      </w:r>
      <w:r>
        <w:rPr>
          <w:rFonts w:ascii="宋体" w:hAnsi="宋体"/>
          <w:color w:val="000000" w:themeColor="text1"/>
          <w:highlight w:val="none"/>
          <w14:textFill>
            <w14:solidFill>
              <w14:schemeClr w14:val="tx1"/>
            </w14:solidFill>
          </w14:textFill>
        </w:rPr>
        <w:t>18.1</w:t>
      </w:r>
      <w:r>
        <w:rPr>
          <w:rFonts w:hint="eastAsia" w:ascii="宋体" w:hAnsi="宋体"/>
          <w:color w:val="000000" w:themeColor="text1"/>
          <w:highlight w:val="none"/>
          <w14:textFill>
            <w14:solidFill>
              <w14:schemeClr w14:val="tx1"/>
            </w14:solidFill>
          </w14:textFill>
        </w:rPr>
        <w:t>条项规定的时间和地址，对所有按时递交并已签收达三个或以上比选申请人的比选申请文件进行核查。</w:t>
      </w:r>
    </w:p>
    <w:p>
      <w:pPr>
        <w:tabs>
          <w:tab w:val="left" w:pos="113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比选申请文件有下列情形之一的，比选人应当拒收：</w:t>
      </w:r>
    </w:p>
    <w:p>
      <w:pPr>
        <w:snapToGrid w:val="0"/>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ascii="宋体" w:hAnsi="宋体"/>
          <w:b/>
          <w:color w:val="000000" w:themeColor="text1"/>
          <w:highlight w:val="none"/>
          <w14:textFill>
            <w14:solidFill>
              <w14:schemeClr w14:val="tx1"/>
            </w14:solidFill>
          </w14:textFill>
        </w:rPr>
        <w:t>2</w:t>
      </w:r>
      <w:r>
        <w:rPr>
          <w:rFonts w:hint="eastAsia" w:ascii="宋体" w:hAnsi="宋体"/>
          <w:b/>
          <w:color w:val="000000" w:themeColor="text1"/>
          <w:highlight w:val="none"/>
          <w14:textFill>
            <w14:solidFill>
              <w14:schemeClr w14:val="tx1"/>
            </w14:solidFill>
          </w14:textFill>
        </w:rPr>
        <w:t>1</w:t>
      </w:r>
      <w:r>
        <w:rPr>
          <w:rFonts w:ascii="宋体" w:hAnsi="宋体"/>
          <w:b/>
          <w:color w:val="000000" w:themeColor="text1"/>
          <w:highlight w:val="none"/>
          <w14:textFill>
            <w14:solidFill>
              <w14:schemeClr w14:val="tx1"/>
            </w14:solidFill>
          </w14:textFill>
        </w:rPr>
        <w:t>.1.1逾期送达的或者未送达指定地点的比选申请文件</w:t>
      </w:r>
      <w:r>
        <w:rPr>
          <w:rFonts w:hint="eastAsia" w:ascii="宋体" w:hAnsi="宋体"/>
          <w:b/>
          <w:color w:val="000000" w:themeColor="text1"/>
          <w:highlight w:val="none"/>
          <w14:textFill>
            <w14:solidFill>
              <w14:schemeClr w14:val="tx1"/>
            </w14:solidFill>
          </w14:textFill>
        </w:rPr>
        <w:t>；</w:t>
      </w:r>
    </w:p>
    <w:p>
      <w:pPr>
        <w:snapToGrid w:val="0"/>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ascii="宋体" w:hAnsi="宋体"/>
          <w:b/>
          <w:color w:val="000000" w:themeColor="text1"/>
          <w:highlight w:val="none"/>
          <w14:textFill>
            <w14:solidFill>
              <w14:schemeClr w14:val="tx1"/>
            </w14:solidFill>
          </w14:textFill>
        </w:rPr>
        <w:t>2</w:t>
      </w:r>
      <w:r>
        <w:rPr>
          <w:rFonts w:hint="eastAsia" w:ascii="宋体" w:hAnsi="宋体"/>
          <w:b/>
          <w:color w:val="000000" w:themeColor="text1"/>
          <w:highlight w:val="none"/>
          <w14:textFill>
            <w14:solidFill>
              <w14:schemeClr w14:val="tx1"/>
            </w14:solidFill>
          </w14:textFill>
        </w:rPr>
        <w:t>1</w:t>
      </w:r>
      <w:r>
        <w:rPr>
          <w:rFonts w:ascii="宋体" w:hAnsi="宋体"/>
          <w:b/>
          <w:color w:val="000000" w:themeColor="text1"/>
          <w:highlight w:val="none"/>
          <w14:textFill>
            <w14:solidFill>
              <w14:schemeClr w14:val="tx1"/>
            </w14:solidFill>
          </w14:textFill>
        </w:rPr>
        <w:t>.1.2</w:t>
      </w:r>
      <w:r>
        <w:rPr>
          <w:rFonts w:hint="eastAsia" w:ascii="宋体" w:hAnsi="宋体"/>
          <w:b/>
          <w:color w:val="000000" w:themeColor="text1"/>
          <w:highlight w:val="none"/>
          <w14:textFill>
            <w14:solidFill>
              <w14:schemeClr w14:val="tx1"/>
            </w14:solidFill>
          </w14:textFill>
        </w:rPr>
        <w:t>比选申请文件外包封</w:t>
      </w:r>
      <w:r>
        <w:rPr>
          <w:rFonts w:ascii="宋体" w:hAnsi="宋体"/>
          <w:b/>
          <w:color w:val="000000" w:themeColor="text1"/>
          <w:highlight w:val="none"/>
          <w14:textFill>
            <w14:solidFill>
              <w14:schemeClr w14:val="tx1"/>
            </w14:solidFill>
          </w14:textFill>
        </w:rPr>
        <w:t>未按比选文件要求密封的</w:t>
      </w:r>
      <w:r>
        <w:rPr>
          <w:rFonts w:hint="eastAsia" w:ascii="宋体" w:hAnsi="宋体"/>
          <w:b/>
          <w:color w:val="000000" w:themeColor="text1"/>
          <w:highlight w:val="none"/>
          <w14:textFill>
            <w14:solidFill>
              <w14:schemeClr w14:val="tx1"/>
            </w14:solidFill>
          </w14:textFill>
        </w:rPr>
        <w:t>。</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709" w:name="_Toc390098446"/>
      <w:bookmarkStart w:id="710" w:name="_Toc383891195"/>
      <w:bookmarkStart w:id="711" w:name="_Toc385427820"/>
      <w:bookmarkStart w:id="712" w:name="_Toc375039091"/>
      <w:bookmarkStart w:id="713" w:name="_Toc11263"/>
      <w:bookmarkStart w:id="714" w:name="_Toc30671"/>
      <w:bookmarkStart w:id="715" w:name="_Toc16897"/>
      <w:bookmarkStart w:id="716" w:name="_Toc9391"/>
      <w:bookmarkStart w:id="717" w:name="_Toc21819"/>
      <w:bookmarkStart w:id="718" w:name="_Toc27636"/>
      <w:bookmarkStart w:id="719" w:name="_Toc492478745"/>
      <w:bookmarkStart w:id="720" w:name="_Toc114134632"/>
      <w:bookmarkStart w:id="721" w:name="_Toc17785"/>
      <w:bookmarkStart w:id="722" w:name="_Toc12983530"/>
      <w:bookmarkStart w:id="723" w:name="_Toc15111"/>
      <w:bookmarkStart w:id="724" w:name="_Toc23699"/>
      <w:bookmarkStart w:id="725" w:name="_Toc25750615"/>
      <w:bookmarkStart w:id="726" w:name="_Toc24687"/>
      <w:bookmarkStart w:id="727" w:name="_Toc16068"/>
      <w:bookmarkStart w:id="728" w:name="_Toc1920"/>
      <w:bookmarkStart w:id="729" w:name="_Toc5267"/>
      <w:bookmarkStart w:id="730" w:name="_Toc15466"/>
      <w:bookmarkStart w:id="731" w:name="_Toc25270"/>
      <w:bookmarkStart w:id="732" w:name="_Toc13202"/>
      <w:bookmarkStart w:id="733" w:name="_Toc16601"/>
      <w:bookmarkStart w:id="734" w:name="_Toc11013"/>
      <w:bookmarkStart w:id="735" w:name="_Toc24630"/>
      <w:r>
        <w:rPr>
          <w:rFonts w:hint="eastAsia" w:ascii="宋体" w:hAnsi="宋体"/>
          <w:color w:val="000000" w:themeColor="text1"/>
          <w:sz w:val="21"/>
          <w:szCs w:val="21"/>
          <w:highlight w:val="none"/>
          <w14:textFill>
            <w14:solidFill>
              <w14:schemeClr w14:val="tx1"/>
            </w14:solidFill>
          </w14:textFill>
        </w:rPr>
        <w:t>22.</w:t>
      </w:r>
      <w:r>
        <w:rPr>
          <w:rFonts w:ascii="宋体" w:hAnsi="宋体"/>
          <w:color w:val="000000" w:themeColor="text1"/>
          <w:sz w:val="21"/>
          <w:szCs w:val="21"/>
          <w:highlight w:val="none"/>
          <w14:textFill>
            <w14:solidFill>
              <w14:schemeClr w14:val="tx1"/>
            </w14:solidFill>
          </w14:textFill>
        </w:rPr>
        <w:t>评审</w:t>
      </w:r>
      <w:bookmarkEnd w:id="709"/>
      <w:bookmarkEnd w:id="710"/>
      <w:bookmarkEnd w:id="711"/>
      <w:bookmarkEnd w:id="712"/>
      <w:r>
        <w:rPr>
          <w:rFonts w:ascii="宋体" w:hAnsi="宋体"/>
          <w:color w:val="000000" w:themeColor="text1"/>
          <w:sz w:val="21"/>
          <w:szCs w:val="21"/>
          <w:highlight w:val="none"/>
          <w14:textFill>
            <w14:solidFill>
              <w14:schemeClr w14:val="tx1"/>
            </w14:solidFill>
          </w14:textFill>
        </w:rPr>
        <w:t>程序</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pPr>
        <w:tabs>
          <w:tab w:val="left" w:pos="8364"/>
        </w:tabs>
        <w:spacing w:before="0" w:after="0" w:afterAutospacing="0"/>
        <w:ind w:left="0" w:right="0" w:firstLine="420" w:firstLineChars="200"/>
        <w:rPr>
          <w:rFonts w:ascii="宋体" w:hAnsi="宋体"/>
          <w:b/>
          <w:color w:val="000000" w:themeColor="text1"/>
          <w:highlight w:val="none"/>
          <w14:textFill>
            <w14:solidFill>
              <w14:schemeClr w14:val="tx1"/>
            </w14:solidFill>
          </w14:textFill>
        </w:rPr>
      </w:pPr>
      <w:bookmarkStart w:id="736" w:name="_Toc375039092"/>
      <w:r>
        <w:rPr>
          <w:rFonts w:hint="eastAsia" w:ascii="宋体" w:hAnsi="宋体"/>
          <w:color w:val="000000" w:themeColor="text1"/>
          <w:highlight w:val="none"/>
          <w14:textFill>
            <w14:solidFill>
              <w14:schemeClr w14:val="tx1"/>
            </w14:solidFill>
          </w14:textFill>
        </w:rPr>
        <w:t>详见第六章《评分办法》。</w:t>
      </w:r>
      <w:bookmarkEnd w:id="736"/>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737" w:name="_Toc29929"/>
      <w:bookmarkStart w:id="738" w:name="_Toc383891196"/>
      <w:bookmarkStart w:id="739" w:name="_Toc390098447"/>
      <w:bookmarkStart w:id="740" w:name="_Toc15"/>
      <w:bookmarkStart w:id="741" w:name="_Toc26137"/>
      <w:bookmarkStart w:id="742" w:name="_Toc14719"/>
      <w:bookmarkStart w:id="743" w:name="_Toc12983531"/>
      <w:bookmarkStart w:id="744" w:name="_Toc17980"/>
      <w:bookmarkStart w:id="745" w:name="_Toc24755"/>
      <w:bookmarkStart w:id="746" w:name="_Toc8295"/>
      <w:bookmarkStart w:id="747" w:name="_Toc385427821"/>
      <w:bookmarkStart w:id="748" w:name="_Toc32545"/>
      <w:bookmarkStart w:id="749" w:name="_Toc25750616"/>
      <w:bookmarkStart w:id="750" w:name="_Toc114134633"/>
      <w:bookmarkStart w:id="751" w:name="_Toc375039093"/>
      <w:bookmarkStart w:id="752" w:name="_Toc25047"/>
      <w:bookmarkStart w:id="753" w:name="_Toc18803"/>
      <w:bookmarkStart w:id="754" w:name="_Toc27570"/>
      <w:bookmarkStart w:id="755" w:name="_Toc833"/>
      <w:bookmarkStart w:id="756" w:name="_Toc13421"/>
      <w:bookmarkStart w:id="757" w:name="_Toc1456"/>
      <w:bookmarkStart w:id="758" w:name="_Toc492478746"/>
      <w:bookmarkStart w:id="759" w:name="_Toc26083"/>
      <w:bookmarkStart w:id="760" w:name="_Toc11716"/>
      <w:bookmarkStart w:id="761" w:name="_Toc16072"/>
      <w:bookmarkStart w:id="762" w:name="_Toc5386"/>
      <w:bookmarkStart w:id="763" w:name="_Toc18063"/>
      <w:r>
        <w:rPr>
          <w:rFonts w:ascii="宋体" w:hAnsi="宋体"/>
          <w:color w:val="000000" w:themeColor="text1"/>
          <w:sz w:val="21"/>
          <w:szCs w:val="21"/>
          <w:highlight w:val="none"/>
          <w14:textFill>
            <w14:solidFill>
              <w14:schemeClr w14:val="tx1"/>
            </w14:solidFill>
          </w14:textFill>
        </w:rPr>
        <w:t>与比选人和评审委员会的接触</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 xml:space="preserve">23.1 </w:t>
      </w:r>
      <w:r>
        <w:rPr>
          <w:rFonts w:ascii="宋体" w:hAnsi="宋体" w:cs="Arial"/>
          <w:color w:val="000000" w:themeColor="text1"/>
          <w:highlight w:val="none"/>
          <w14:textFill>
            <w14:solidFill>
              <w14:schemeClr w14:val="tx1"/>
            </w14:solidFill>
          </w14:textFill>
        </w:rPr>
        <w:t>从比选申请截止日起至授予合同期间，未经书面要求，比选申请人不得就与其比选申请文件有关的事项与评审委员会、比选人接触（包括直接接触</w:t>
      </w:r>
      <w:r>
        <w:rPr>
          <w:rFonts w:hint="eastAsia" w:ascii="宋体" w:hAnsi="宋体" w:cs="Arial"/>
          <w:color w:val="000000" w:themeColor="text1"/>
          <w:highlight w:val="none"/>
          <w14:textFill>
            <w14:solidFill>
              <w14:schemeClr w14:val="tx1"/>
            </w14:solidFill>
          </w14:textFill>
        </w:rPr>
        <w:t>或</w:t>
      </w:r>
      <w:r>
        <w:rPr>
          <w:rFonts w:ascii="宋体" w:hAnsi="宋体" w:cs="Arial"/>
          <w:color w:val="000000" w:themeColor="text1"/>
          <w:highlight w:val="none"/>
          <w14:textFill>
            <w14:solidFill>
              <w14:schemeClr w14:val="tx1"/>
            </w14:solidFill>
          </w14:textFill>
        </w:rPr>
        <w:t>间接接触）。</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 xml:space="preserve">23.2 </w:t>
      </w:r>
      <w:r>
        <w:rPr>
          <w:rFonts w:ascii="宋体" w:hAnsi="宋体" w:cs="Arial"/>
          <w:color w:val="000000" w:themeColor="text1"/>
          <w:highlight w:val="none"/>
          <w14:textFill>
            <w14:solidFill>
              <w14:schemeClr w14:val="tx1"/>
            </w14:solidFill>
          </w14:textFill>
        </w:rPr>
        <w:t>比选申请人试图对评审委员会的评审、比较或授予合同的决定进行影响，都可能导致其比选申请文件被否决。</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 xml:space="preserve">23.3 </w:t>
      </w:r>
      <w:r>
        <w:rPr>
          <w:rFonts w:ascii="宋体" w:hAnsi="宋体" w:cs="Arial"/>
          <w:color w:val="000000" w:themeColor="text1"/>
          <w:highlight w:val="none"/>
          <w14:textFill>
            <w14:solidFill>
              <w14:schemeClr w14:val="tx1"/>
            </w14:solidFill>
          </w14:textFill>
        </w:rPr>
        <w:t>比选申请人不得以任何方式干扰比选人的</w:t>
      </w:r>
      <w:r>
        <w:rPr>
          <w:rFonts w:hint="eastAsia" w:ascii="宋体" w:hAnsi="宋体" w:cs="Arial"/>
          <w:color w:val="000000" w:themeColor="text1"/>
          <w:highlight w:val="none"/>
          <w14:textFill>
            <w14:solidFill>
              <w14:schemeClr w14:val="tx1"/>
            </w14:solidFill>
          </w14:textFill>
        </w:rPr>
        <w:t>比选</w:t>
      </w:r>
      <w:r>
        <w:rPr>
          <w:rFonts w:ascii="宋体" w:hAnsi="宋体" w:cs="Arial"/>
          <w:color w:val="000000" w:themeColor="text1"/>
          <w:highlight w:val="none"/>
          <w14:textFill>
            <w14:solidFill>
              <w14:schemeClr w14:val="tx1"/>
            </w14:solidFill>
          </w14:textFill>
        </w:rPr>
        <w:t>和评审活动，否则其比选申请无效并追究其法律责任。</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 xml:space="preserve">23.4 </w:t>
      </w:r>
      <w:r>
        <w:rPr>
          <w:rFonts w:ascii="宋体" w:hAnsi="宋体" w:cs="Arial"/>
          <w:color w:val="000000" w:themeColor="text1"/>
          <w:highlight w:val="none"/>
          <w14:textFill>
            <w14:solidFill>
              <w14:schemeClr w14:val="tx1"/>
            </w14:solidFill>
          </w14:textFill>
        </w:rPr>
        <w:t>有关比选申请文件的审查、澄清、评估和比较以及有关授予合同的意向的一切情况都不得透露给任一比选申请人。</w:t>
      </w:r>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764" w:name="_Toc25734"/>
      <w:bookmarkStart w:id="765" w:name="_Toc9941"/>
      <w:bookmarkStart w:id="766" w:name="_Toc654"/>
      <w:bookmarkStart w:id="767" w:name="_Toc385427822"/>
      <w:bookmarkStart w:id="768" w:name="_Toc25750617"/>
      <w:bookmarkStart w:id="769" w:name="_Toc12983532"/>
      <w:bookmarkStart w:id="770" w:name="_Toc12671"/>
      <w:bookmarkStart w:id="771" w:name="_Toc492478747"/>
      <w:bookmarkStart w:id="772" w:name="_Toc390098448"/>
      <w:bookmarkStart w:id="773" w:name="_Toc30207"/>
      <w:bookmarkStart w:id="774" w:name="_Toc18515"/>
      <w:bookmarkStart w:id="775" w:name="_Toc24161"/>
      <w:bookmarkStart w:id="776" w:name="_Toc383891197"/>
      <w:bookmarkStart w:id="777" w:name="_Toc12960"/>
      <w:bookmarkStart w:id="778" w:name="_Toc20523"/>
      <w:bookmarkStart w:id="779" w:name="_Toc19810"/>
      <w:bookmarkStart w:id="780" w:name="_Toc19005"/>
      <w:bookmarkStart w:id="781" w:name="_Toc29504"/>
      <w:bookmarkStart w:id="782" w:name="_Toc7858"/>
      <w:bookmarkStart w:id="783" w:name="_Toc12909"/>
      <w:bookmarkStart w:id="784" w:name="_Toc114134634"/>
      <w:bookmarkStart w:id="785" w:name="_Toc12555"/>
      <w:bookmarkStart w:id="786" w:name="_Toc9602"/>
      <w:bookmarkStart w:id="787" w:name="_Toc21167"/>
      <w:bookmarkStart w:id="788" w:name="_Toc16963"/>
      <w:bookmarkStart w:id="789" w:name="_Toc15988"/>
      <w:bookmarkStart w:id="790" w:name="_Toc378514937"/>
      <w:bookmarkStart w:id="791" w:name="_Toc294723156"/>
      <w:bookmarkStart w:id="792" w:name="_Toc375039094"/>
      <w:r>
        <w:rPr>
          <w:rFonts w:hint="eastAsia" w:ascii="宋体" w:hAnsi="宋体"/>
          <w:color w:val="000000" w:themeColor="text1"/>
          <w:sz w:val="21"/>
          <w:szCs w:val="21"/>
          <w:highlight w:val="none"/>
          <w14:textFill>
            <w14:solidFill>
              <w14:schemeClr w14:val="tx1"/>
            </w14:solidFill>
          </w14:textFill>
        </w:rPr>
        <w:t>评审过程保密</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24.1 递交比选文件后，直到宣布授予中选人且签订合同为止，凡属于审查、澄清、评价和比较比选申请的有关资料且与授予合同有关的信息，都不应向比选申请人或与该过程无关的其他人泄露。</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24.2 比选申请人在比选申请文件的审查、澄清、评价和比较以及授予合同的过程中，对比选人和评审专家施加影响的任何行为，都将导致取消比选申请资格。</w:t>
      </w:r>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793" w:name="_Toc14860"/>
      <w:bookmarkStart w:id="794" w:name="_Toc25750618"/>
      <w:bookmarkStart w:id="795" w:name="_Toc13743"/>
      <w:bookmarkStart w:id="796" w:name="_Toc14799"/>
      <w:bookmarkStart w:id="797" w:name="_Toc23267"/>
      <w:bookmarkStart w:id="798" w:name="_Toc114134635"/>
      <w:bookmarkStart w:id="799" w:name="_Toc28843"/>
      <w:bookmarkStart w:id="800" w:name="_Toc27553"/>
      <w:bookmarkStart w:id="801" w:name="_Toc5983"/>
      <w:bookmarkStart w:id="802" w:name="_Toc8827"/>
      <w:bookmarkStart w:id="803" w:name="_Toc22510"/>
      <w:bookmarkStart w:id="804" w:name="_Toc28701"/>
      <w:bookmarkStart w:id="805" w:name="_Toc383891198"/>
      <w:bookmarkStart w:id="806" w:name="_Toc385427823"/>
      <w:bookmarkStart w:id="807" w:name="_Toc13768"/>
      <w:bookmarkStart w:id="808" w:name="_Toc12983533"/>
      <w:bookmarkStart w:id="809" w:name="_Toc1983"/>
      <w:bookmarkStart w:id="810" w:name="_Toc30429"/>
      <w:bookmarkStart w:id="811" w:name="_Toc28898"/>
      <w:bookmarkStart w:id="812" w:name="_Toc11077"/>
      <w:bookmarkStart w:id="813" w:name="_Toc23586"/>
      <w:bookmarkStart w:id="814" w:name="_Toc27670"/>
      <w:bookmarkStart w:id="815" w:name="_Toc6624"/>
      <w:bookmarkStart w:id="816" w:name="_Toc492478748"/>
      <w:bookmarkStart w:id="817" w:name="_Toc24327"/>
      <w:bookmarkStart w:id="818" w:name="_Toc390098449"/>
      <w:r>
        <w:rPr>
          <w:rFonts w:hint="eastAsia" w:ascii="宋体" w:hAnsi="宋体"/>
          <w:color w:val="000000" w:themeColor="text1"/>
          <w:sz w:val="21"/>
          <w:szCs w:val="21"/>
          <w:highlight w:val="none"/>
          <w14:textFill>
            <w14:solidFill>
              <w14:schemeClr w14:val="tx1"/>
            </w14:solidFill>
          </w14:textFill>
        </w:rPr>
        <w:t>比选申请文件的澄清</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25.1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819" w:name="_Toc492478749"/>
      <w:bookmarkStart w:id="820" w:name="_Toc383891199"/>
      <w:bookmarkStart w:id="821" w:name="_Toc25750619"/>
      <w:bookmarkStart w:id="822" w:name="_Toc5607"/>
      <w:bookmarkStart w:id="823" w:name="_Toc9040"/>
      <w:bookmarkStart w:id="824" w:name="_Toc12795"/>
      <w:bookmarkStart w:id="825" w:name="_Toc18093"/>
      <w:bookmarkStart w:id="826" w:name="_Toc385427824"/>
      <w:bookmarkStart w:id="827" w:name="_Toc4397"/>
      <w:bookmarkStart w:id="828" w:name="_Toc26070"/>
      <w:bookmarkStart w:id="829" w:name="_Toc28992"/>
      <w:bookmarkStart w:id="830" w:name="_Toc6908"/>
      <w:bookmarkStart w:id="831" w:name="_Toc26318"/>
      <w:bookmarkStart w:id="832" w:name="_Toc114134636"/>
      <w:bookmarkStart w:id="833" w:name="_Toc390098450"/>
      <w:bookmarkStart w:id="834" w:name="_Toc29146"/>
      <w:bookmarkStart w:id="835" w:name="_Toc8378"/>
      <w:bookmarkStart w:id="836" w:name="_Toc1915"/>
      <w:bookmarkStart w:id="837" w:name="_Toc16884"/>
      <w:bookmarkStart w:id="838" w:name="_Toc5437"/>
      <w:bookmarkStart w:id="839" w:name="_Toc5926"/>
      <w:bookmarkStart w:id="840" w:name="_Toc20519"/>
      <w:bookmarkStart w:id="841" w:name="_Toc12983534"/>
      <w:bookmarkStart w:id="842" w:name="_Toc22681"/>
      <w:bookmarkStart w:id="843" w:name="_Toc30176"/>
      <w:bookmarkStart w:id="844" w:name="_Toc30017"/>
      <w:r>
        <w:rPr>
          <w:rFonts w:hint="eastAsia" w:ascii="宋体" w:hAnsi="宋体"/>
          <w:color w:val="000000" w:themeColor="text1"/>
          <w:sz w:val="21"/>
          <w:szCs w:val="21"/>
          <w:highlight w:val="none"/>
          <w14:textFill>
            <w14:solidFill>
              <w14:schemeClr w14:val="tx1"/>
            </w14:solidFill>
          </w14:textFill>
        </w:rPr>
        <w:t>比选申请文件响应性的确定</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26.1 在详细评审之前，评审委员会将首先审定每份比选申请文件是否在实质上响应了比选文件的要求和规定。</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26.2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26.3 如果比选申请文件实质上不响应比选文件的要求，比选人将予以拒绝，并且不允许比选申请人通过修正或撤销其不符要求的差异或保留使之成为具有响应性的比选申请。</w:t>
      </w:r>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845" w:name="_Toc21908"/>
      <w:bookmarkStart w:id="846" w:name="_Toc21468"/>
      <w:bookmarkStart w:id="847" w:name="_Toc385427825"/>
      <w:bookmarkStart w:id="848" w:name="_Toc15051"/>
      <w:bookmarkStart w:id="849" w:name="_Toc114134637"/>
      <w:bookmarkStart w:id="850" w:name="_Toc23956"/>
      <w:bookmarkStart w:id="851" w:name="_Toc22146"/>
      <w:bookmarkStart w:id="852" w:name="_Toc22063"/>
      <w:bookmarkStart w:id="853" w:name="_Toc20810"/>
      <w:bookmarkStart w:id="854" w:name="_Toc19477"/>
      <w:bookmarkStart w:id="855" w:name="_Toc383891200"/>
      <w:bookmarkStart w:id="856" w:name="_Toc492478750"/>
      <w:bookmarkStart w:id="857" w:name="_Toc390098451"/>
      <w:bookmarkStart w:id="858" w:name="_Toc29398"/>
      <w:bookmarkStart w:id="859" w:name="_Toc17236"/>
      <w:bookmarkStart w:id="860" w:name="_Toc20874"/>
      <w:bookmarkStart w:id="861" w:name="_Toc1027"/>
      <w:bookmarkStart w:id="862" w:name="_Toc20912"/>
      <w:bookmarkStart w:id="863" w:name="_Toc4436"/>
      <w:bookmarkStart w:id="864" w:name="_Toc23808"/>
      <w:bookmarkStart w:id="865" w:name="_Toc12983535"/>
      <w:bookmarkStart w:id="866" w:name="_Toc25750620"/>
      <w:bookmarkStart w:id="867" w:name="_Toc31646"/>
      <w:bookmarkStart w:id="868" w:name="_Toc26239"/>
      <w:bookmarkStart w:id="869" w:name="_Toc12167"/>
      <w:bookmarkStart w:id="870" w:name="_Toc23999"/>
      <w:r>
        <w:rPr>
          <w:rFonts w:hint="eastAsia" w:ascii="宋体" w:hAnsi="宋体"/>
          <w:color w:val="000000" w:themeColor="text1"/>
          <w:sz w:val="21"/>
          <w:szCs w:val="21"/>
          <w:highlight w:val="none"/>
          <w14:textFill>
            <w14:solidFill>
              <w14:schemeClr w14:val="tx1"/>
            </w14:solidFill>
          </w14:textFill>
        </w:rPr>
        <w:t>比选申请文件计算错误的修正</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27.1 比选申请报价大写金额与小写金额不一致的，以大写金额为准；</w:t>
      </w:r>
      <w:r>
        <w:rPr>
          <w:rFonts w:ascii="宋体" w:hAnsi="宋体"/>
          <w:color w:val="000000" w:themeColor="text1"/>
          <w:highlight w:val="none"/>
          <w14:textFill>
            <w14:solidFill>
              <w14:schemeClr w14:val="tx1"/>
            </w14:solidFill>
          </w14:textFill>
        </w:rPr>
        <w:t>总价金额与单价</w:t>
      </w:r>
      <w:r>
        <w:rPr>
          <w:rFonts w:hint="eastAsia" w:ascii="宋体" w:hAnsi="宋体"/>
          <w:color w:val="000000" w:themeColor="text1"/>
          <w:highlight w:val="none"/>
          <w14:textFill>
            <w14:solidFill>
              <w14:schemeClr w14:val="tx1"/>
            </w14:solidFill>
          </w14:textFill>
        </w:rPr>
        <w:t>乘以数量的合计</w:t>
      </w:r>
      <w:r>
        <w:rPr>
          <w:rFonts w:ascii="宋体" w:hAnsi="宋体"/>
          <w:color w:val="000000" w:themeColor="text1"/>
          <w:highlight w:val="none"/>
          <w14:textFill>
            <w14:solidFill>
              <w14:schemeClr w14:val="tx1"/>
            </w14:solidFill>
          </w14:textFill>
        </w:rPr>
        <w:t>计算出的结果不一致的，以单价为准修正总价，但单价金额小数点有明显错误的除外。</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 xml:space="preserve">27.2 </w:t>
      </w:r>
      <w:r>
        <w:rPr>
          <w:rFonts w:hint="eastAsia"/>
          <w:color w:val="000000" w:themeColor="text1"/>
          <w:highlight w:val="none"/>
          <w14:textFill>
            <w14:solidFill>
              <w14:schemeClr w14:val="tx1"/>
            </w14:solidFill>
          </w14:textFill>
        </w:rPr>
        <w:t>若</w:t>
      </w:r>
      <w:r>
        <w:rPr>
          <w:color w:val="000000" w:themeColor="text1"/>
          <w:highlight w:val="none"/>
          <w14:textFill>
            <w14:solidFill>
              <w14:schemeClr w14:val="tx1"/>
            </w14:solidFill>
          </w14:textFill>
        </w:rPr>
        <w:t>修正后的总价</w:t>
      </w:r>
      <w:r>
        <w:rPr>
          <w:rFonts w:hint="eastAsia"/>
          <w:color w:val="000000" w:themeColor="text1"/>
          <w:highlight w:val="none"/>
          <w14:textFill>
            <w14:solidFill>
              <w14:schemeClr w14:val="tx1"/>
            </w14:solidFill>
          </w14:textFill>
        </w:rPr>
        <w:t>与</w:t>
      </w:r>
      <w:r>
        <w:rPr>
          <w:color w:val="000000" w:themeColor="text1"/>
          <w:highlight w:val="none"/>
          <w14:textFill>
            <w14:solidFill>
              <w14:schemeClr w14:val="tx1"/>
            </w14:solidFill>
          </w14:textFill>
        </w:rPr>
        <w:t>投标报价</w:t>
      </w:r>
      <w:r>
        <w:rPr>
          <w:rFonts w:hint="eastAsia"/>
          <w:color w:val="000000" w:themeColor="text1"/>
          <w:highlight w:val="none"/>
          <w14:textFill>
            <w14:solidFill>
              <w14:schemeClr w14:val="tx1"/>
            </w14:solidFill>
          </w14:textFill>
        </w:rPr>
        <w:t>不相等</w:t>
      </w:r>
      <w:r>
        <w:rPr>
          <w:color w:val="000000" w:themeColor="text1"/>
          <w:highlight w:val="none"/>
          <w14:textFill>
            <w14:solidFill>
              <w14:schemeClr w14:val="tx1"/>
            </w14:solidFill>
          </w14:textFill>
        </w:rPr>
        <w:t>，则</w:t>
      </w:r>
      <w:r>
        <w:rPr>
          <w:rFonts w:hint="eastAsia"/>
          <w:color w:val="000000" w:themeColor="text1"/>
          <w:highlight w:val="none"/>
          <w14:textFill>
            <w14:solidFill>
              <w14:schemeClr w14:val="tx1"/>
            </w14:solidFill>
          </w14:textFill>
        </w:rPr>
        <w:t>评标总价和</w:t>
      </w:r>
      <w:r>
        <w:rPr>
          <w:color w:val="000000" w:themeColor="text1"/>
          <w:highlight w:val="none"/>
          <w14:textFill>
            <w14:solidFill>
              <w14:schemeClr w14:val="tx1"/>
            </w14:solidFill>
          </w14:textFill>
        </w:rPr>
        <w:t>中标价</w:t>
      </w:r>
      <w:r>
        <w:rPr>
          <w:rFonts w:hint="eastAsia"/>
          <w:color w:val="000000" w:themeColor="text1"/>
          <w:highlight w:val="none"/>
          <w14:textFill>
            <w14:solidFill>
              <w14:schemeClr w14:val="tx1"/>
            </w14:solidFill>
          </w14:textFill>
        </w:rPr>
        <w:t>均</w:t>
      </w:r>
      <w:r>
        <w:rPr>
          <w:color w:val="000000" w:themeColor="text1"/>
          <w:highlight w:val="none"/>
          <w14:textFill>
            <w14:solidFill>
              <w14:schemeClr w14:val="tx1"/>
            </w14:solidFill>
          </w14:textFill>
        </w:rPr>
        <w:t>以</w:t>
      </w:r>
      <w:r>
        <w:rPr>
          <w:rFonts w:hint="eastAsia"/>
          <w:color w:val="000000" w:themeColor="text1"/>
          <w:highlight w:val="none"/>
          <w14:textFill>
            <w14:solidFill>
              <w14:schemeClr w14:val="tx1"/>
            </w14:solidFill>
          </w14:textFill>
        </w:rPr>
        <w:t>修正后的总价</w:t>
      </w:r>
      <w:r>
        <w:rPr>
          <w:color w:val="000000" w:themeColor="text1"/>
          <w:highlight w:val="none"/>
          <w14:textFill>
            <w14:solidFill>
              <w14:schemeClr w14:val="tx1"/>
            </w14:solidFill>
          </w14:textFill>
        </w:rPr>
        <w:t>为准，</w:t>
      </w:r>
      <w:r>
        <w:rPr>
          <w:rFonts w:hint="eastAsia"/>
          <w:color w:val="000000" w:themeColor="text1"/>
          <w:highlight w:val="none"/>
          <w14:textFill>
            <w14:solidFill>
              <w14:schemeClr w14:val="tx1"/>
            </w14:solidFill>
          </w14:textFill>
        </w:rPr>
        <w:t>如比选申请人不接受按以上规则确定的评标总价和中标价，则其投标将被拒绝。</w:t>
      </w:r>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871" w:name="_Toc4958"/>
      <w:bookmarkStart w:id="872" w:name="_Toc15839"/>
      <w:bookmarkStart w:id="873" w:name="_Toc16418"/>
      <w:bookmarkStart w:id="874" w:name="_Toc390098452"/>
      <w:bookmarkStart w:id="875" w:name="_Toc15554"/>
      <w:bookmarkStart w:id="876" w:name="_Toc20881"/>
      <w:bookmarkStart w:id="877" w:name="_Toc12983536"/>
      <w:bookmarkStart w:id="878" w:name="_Toc20854"/>
      <w:bookmarkStart w:id="879" w:name="_Toc8959"/>
      <w:bookmarkStart w:id="880" w:name="_Toc9812"/>
      <w:bookmarkStart w:id="881" w:name="_Toc19936"/>
      <w:bookmarkStart w:id="882" w:name="_Toc1004"/>
      <w:bookmarkStart w:id="883" w:name="_Toc22994"/>
      <w:bookmarkStart w:id="884" w:name="_Toc492478751"/>
      <w:bookmarkStart w:id="885" w:name="_Toc25750621"/>
      <w:bookmarkStart w:id="886" w:name="_Toc385427826"/>
      <w:bookmarkStart w:id="887" w:name="_Toc23907"/>
      <w:bookmarkStart w:id="888" w:name="_Toc3258"/>
      <w:bookmarkStart w:id="889" w:name="_Toc9737"/>
      <w:bookmarkStart w:id="890" w:name="_Toc27112"/>
      <w:bookmarkStart w:id="891" w:name="_Toc29276"/>
      <w:bookmarkStart w:id="892" w:name="_Toc383891201"/>
      <w:bookmarkStart w:id="893" w:name="_Toc20444"/>
      <w:bookmarkStart w:id="894" w:name="_Toc5319"/>
      <w:bookmarkStart w:id="895" w:name="_Toc24176"/>
      <w:bookmarkStart w:id="896" w:name="_Toc114134638"/>
      <w:r>
        <w:rPr>
          <w:rFonts w:hint="eastAsia" w:ascii="宋体" w:hAnsi="宋体"/>
          <w:color w:val="000000" w:themeColor="text1"/>
          <w:sz w:val="21"/>
          <w:szCs w:val="21"/>
          <w:highlight w:val="none"/>
          <w14:textFill>
            <w14:solidFill>
              <w14:schemeClr w14:val="tx1"/>
            </w14:solidFill>
          </w14:textFill>
        </w:rPr>
        <w:t>比选申请文件的评价与比较</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28.1 《评审办法》详见比选文件第六章，比选人将按照《评审办法》对本须知第26条确定为实质上响应比选文件要求的比选申请文件进行评价与比较。</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28.2 评审将按《评审办法》规定执行。</w:t>
      </w:r>
      <w:bookmarkEnd w:id="790"/>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897" w:name="_Toc8845"/>
      <w:bookmarkStart w:id="898" w:name="_Toc17460"/>
      <w:bookmarkStart w:id="899" w:name="_Toc11010"/>
      <w:bookmarkStart w:id="900" w:name="_Toc8074"/>
      <w:bookmarkStart w:id="901" w:name="_Toc25750622"/>
      <w:bookmarkStart w:id="902" w:name="_Toc31731"/>
      <w:bookmarkStart w:id="903" w:name="_Toc27803"/>
      <w:bookmarkStart w:id="904" w:name="_Toc1450"/>
      <w:bookmarkStart w:id="905" w:name="_Toc32344"/>
      <w:bookmarkStart w:id="906" w:name="_Toc28489"/>
      <w:bookmarkStart w:id="907" w:name="_Toc14300"/>
      <w:bookmarkStart w:id="908" w:name="_Toc114134639"/>
      <w:bookmarkStart w:id="909" w:name="_Toc507"/>
      <w:bookmarkStart w:id="910" w:name="_Toc492478752"/>
      <w:bookmarkStart w:id="911" w:name="_Toc27289"/>
      <w:bookmarkStart w:id="912" w:name="_Toc12983537"/>
      <w:bookmarkStart w:id="913" w:name="_Toc22500"/>
      <w:bookmarkStart w:id="914" w:name="_Toc1083"/>
      <w:bookmarkStart w:id="915" w:name="_Toc31774"/>
      <w:bookmarkStart w:id="916" w:name="_Toc3358"/>
      <w:bookmarkStart w:id="917" w:name="_Toc383891202"/>
      <w:bookmarkStart w:id="918" w:name="_Toc385427827"/>
      <w:bookmarkStart w:id="919" w:name="_Toc11657"/>
      <w:bookmarkStart w:id="920" w:name="_Toc15146"/>
      <w:bookmarkStart w:id="921" w:name="_Toc390098453"/>
      <w:bookmarkStart w:id="922" w:name="_Toc19322"/>
      <w:r>
        <w:rPr>
          <w:rFonts w:hint="eastAsia" w:ascii="宋体" w:hAnsi="宋体"/>
          <w:color w:val="000000" w:themeColor="text1"/>
          <w:sz w:val="21"/>
          <w:szCs w:val="21"/>
          <w:highlight w:val="none"/>
          <w14:textFill>
            <w14:solidFill>
              <w14:schemeClr w14:val="tx1"/>
            </w14:solidFill>
          </w14:textFill>
        </w:rPr>
        <w:t>定标</w:t>
      </w:r>
      <w:bookmarkEnd w:id="791"/>
      <w:bookmarkEnd w:id="792"/>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pPr>
        <w:tabs>
          <w:tab w:val="left" w:pos="1134"/>
          <w:tab w:val="left" w:pos="836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29.1</w:t>
      </w:r>
      <w:r>
        <w:rPr>
          <w:rFonts w:hint="eastAsia"/>
          <w:color w:val="000000" w:themeColor="text1"/>
          <w:highlight w:val="none"/>
          <w14:textFill>
            <w14:solidFill>
              <w14:schemeClr w14:val="tx1"/>
            </w14:solidFill>
          </w14:textFill>
        </w:rPr>
        <w:t>评标委员会根据综合评分排名情况，推荐3名中标候选人（当中标候选人不足3名时按实际数量推荐），并标明排序</w:t>
      </w:r>
      <w:r>
        <w:rPr>
          <w:rFonts w:hint="eastAsia" w:ascii="宋体" w:hAnsi="宋体" w:cs="Arial"/>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29.2</w:t>
      </w:r>
      <w:r>
        <w:rPr>
          <w:rFonts w:hint="eastAsia" w:ascii="宋体" w:hAnsi="宋体" w:cs="Arial"/>
          <w:color w:val="000000" w:themeColor="text1"/>
          <w:highlight w:val="none"/>
          <w14:textFill>
            <w14:solidFill>
              <w14:schemeClr w14:val="tx1"/>
            </w14:solidFill>
          </w14:textFill>
        </w:rPr>
        <w:t>比选人应当确定排名第一的中选候选人为中选人。排名第一的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pPr>
        <w:tabs>
          <w:tab w:val="left" w:pos="1134"/>
          <w:tab w:val="left" w:pos="836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29.3</w:t>
      </w:r>
      <w:r>
        <w:rPr>
          <w:rFonts w:hint="eastAsia" w:ascii="宋体" w:hAnsi="宋体" w:cs="Arial"/>
          <w:color w:val="000000" w:themeColor="text1"/>
          <w:highlight w:val="none"/>
          <w14:textFill>
            <w14:solidFill>
              <w14:schemeClr w14:val="tx1"/>
            </w14:solidFill>
          </w14:textFill>
        </w:rPr>
        <w:t>比选申请人应确保提供的资料真实无误，如有弄虚作假的情况，一经查实，取消比选申请资格，已经中选的取消中选资格。</w:t>
      </w:r>
    </w:p>
    <w:p>
      <w:pPr>
        <w:tabs>
          <w:tab w:val="left" w:pos="1134"/>
          <w:tab w:val="left" w:pos="836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29.4</w:t>
      </w:r>
      <w:r>
        <w:rPr>
          <w:rFonts w:hint="eastAsia" w:ascii="宋体" w:hAnsi="宋体" w:cs="Arial"/>
          <w:color w:val="000000" w:themeColor="text1"/>
          <w:highlight w:val="none"/>
          <w14:textFill>
            <w14:solidFill>
              <w14:schemeClr w14:val="tx1"/>
            </w14:solidFill>
          </w14:textFill>
        </w:rPr>
        <w:t>比选人确定的中选人必须按有关规定进行公示。</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29.5</w:t>
      </w:r>
      <w:r>
        <w:rPr>
          <w:rFonts w:hint="eastAsia" w:ascii="宋体" w:hAnsi="宋体" w:cs="Arial"/>
          <w:color w:val="000000" w:themeColor="text1"/>
          <w:highlight w:val="none"/>
          <w14:textFill>
            <w14:solidFill>
              <w14:schemeClr w14:val="tx1"/>
            </w14:solidFill>
          </w14:textFill>
        </w:rPr>
        <w:t>评审委员会评审结束后，比选人经审查发现评审过程中有明显错误，可以组织原评审委员会进行复评。</w:t>
      </w:r>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923" w:name="_Toc19634"/>
      <w:bookmarkStart w:id="924" w:name="_Toc1215"/>
      <w:bookmarkStart w:id="925" w:name="_Toc5257"/>
      <w:bookmarkStart w:id="926" w:name="_Toc18192"/>
      <w:bookmarkStart w:id="927" w:name="_Toc26470"/>
      <w:bookmarkStart w:id="928" w:name="_Toc21142"/>
      <w:bookmarkStart w:id="929" w:name="_Toc385427828"/>
      <w:bookmarkStart w:id="930" w:name="_Toc16732"/>
      <w:bookmarkStart w:id="931" w:name="_Toc3761"/>
      <w:bookmarkStart w:id="932" w:name="_Toc12983538"/>
      <w:bookmarkStart w:id="933" w:name="_Toc21947"/>
      <w:bookmarkStart w:id="934" w:name="_Toc13986"/>
      <w:bookmarkStart w:id="935" w:name="_Toc17823"/>
      <w:bookmarkStart w:id="936" w:name="_Toc14042"/>
      <w:bookmarkStart w:id="937" w:name="_Toc27664"/>
      <w:bookmarkStart w:id="938" w:name="_Toc5172"/>
      <w:bookmarkStart w:id="939" w:name="_Toc15932"/>
      <w:bookmarkStart w:id="940" w:name="_Toc492478753"/>
      <w:bookmarkStart w:id="941" w:name="_Toc22182"/>
      <w:bookmarkStart w:id="942" w:name="_Toc37"/>
      <w:bookmarkStart w:id="943" w:name="_Toc375039095"/>
      <w:bookmarkStart w:id="944" w:name="_Toc390098454"/>
      <w:bookmarkStart w:id="945" w:name="_Toc383891203"/>
      <w:bookmarkStart w:id="946" w:name="_Toc114134640"/>
      <w:bookmarkStart w:id="947" w:name="_Toc3683"/>
      <w:bookmarkStart w:id="948" w:name="_Toc13088"/>
      <w:bookmarkStart w:id="949" w:name="_Toc25750623"/>
      <w:r>
        <w:rPr>
          <w:rFonts w:hint="eastAsia" w:ascii="宋体" w:hAnsi="宋体"/>
          <w:color w:val="000000" w:themeColor="text1"/>
          <w:sz w:val="21"/>
          <w:szCs w:val="21"/>
          <w:highlight w:val="none"/>
          <w14:textFill>
            <w14:solidFill>
              <w14:schemeClr w14:val="tx1"/>
            </w14:solidFill>
          </w14:textFill>
        </w:rPr>
        <w:t>重新</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r>
        <w:rPr>
          <w:rFonts w:hint="eastAsia" w:ascii="宋体" w:hAnsi="宋体"/>
          <w:color w:val="000000" w:themeColor="text1"/>
          <w:sz w:val="21"/>
          <w:szCs w:val="21"/>
          <w:highlight w:val="none"/>
          <w14:textFill>
            <w14:solidFill>
              <w14:schemeClr w14:val="tx1"/>
            </w14:solidFill>
          </w14:textFill>
        </w:rPr>
        <w:t>比选</w:t>
      </w:r>
      <w:bookmarkEnd w:id="946"/>
      <w:bookmarkEnd w:id="947"/>
      <w:bookmarkEnd w:id="948"/>
      <w:bookmarkEnd w:id="949"/>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出现下列特殊情况之一时，可重新</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30.1</w:t>
      </w:r>
      <w:r>
        <w:rPr>
          <w:rFonts w:ascii="宋体" w:hAnsi="宋体"/>
          <w:color w:val="000000" w:themeColor="text1"/>
          <w:highlight w:val="none"/>
          <w14:textFill>
            <w14:solidFill>
              <w14:schemeClr w14:val="tx1"/>
            </w14:solidFill>
          </w14:textFill>
        </w:rPr>
        <w:t>在比选申请截止时间到达时提交比选申请文件的比选申请人</w:t>
      </w:r>
      <w:r>
        <w:rPr>
          <w:rFonts w:hint="eastAsia" w:ascii="宋体" w:hAnsi="宋体"/>
          <w:color w:val="000000" w:themeColor="text1"/>
          <w:highlight w:val="none"/>
          <w14:textFill>
            <w14:solidFill>
              <w14:schemeClr w14:val="tx1"/>
            </w14:solidFill>
          </w14:textFill>
        </w:rPr>
        <w:t>不足3家</w:t>
      </w:r>
      <w:r>
        <w:rPr>
          <w:rFonts w:ascii="宋体" w:hAnsi="宋体"/>
          <w:color w:val="000000" w:themeColor="text1"/>
          <w:highlight w:val="none"/>
          <w14:textFill>
            <w14:solidFill>
              <w14:schemeClr w14:val="tx1"/>
            </w14:solidFill>
          </w14:textFill>
        </w:rPr>
        <w:t>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30.2</w:t>
      </w:r>
      <w:r>
        <w:rPr>
          <w:rFonts w:ascii="宋体" w:hAnsi="宋体"/>
          <w:color w:val="000000" w:themeColor="text1"/>
          <w:highlight w:val="none"/>
          <w14:textFill>
            <w14:solidFill>
              <w14:schemeClr w14:val="tx1"/>
            </w14:solidFill>
          </w14:textFill>
        </w:rPr>
        <w:t>评审委员会否决不合格比选申请或者界定为否决比选申请后，因有效比选申请不足三</w:t>
      </w:r>
      <w:r>
        <w:rPr>
          <w:rFonts w:hint="eastAsia" w:ascii="宋体" w:hAnsi="宋体"/>
          <w:color w:val="000000" w:themeColor="text1"/>
          <w:highlight w:val="none"/>
          <w14:textFill>
            <w14:solidFill>
              <w14:schemeClr w14:val="tx1"/>
            </w14:solidFill>
          </w14:textFill>
        </w:rPr>
        <w:t>家</w:t>
      </w:r>
      <w:r>
        <w:rPr>
          <w:rFonts w:ascii="宋体" w:hAnsi="宋体"/>
          <w:color w:val="000000" w:themeColor="text1"/>
          <w:highlight w:val="none"/>
          <w14:textFill>
            <w14:solidFill>
              <w14:schemeClr w14:val="tx1"/>
            </w14:solidFill>
          </w14:textFill>
        </w:rPr>
        <w:t>使得比选申请明显缺乏竞争性的（当有效比选申请不足三</w:t>
      </w:r>
      <w:r>
        <w:rPr>
          <w:rFonts w:hint="eastAsia" w:ascii="宋体" w:hAnsi="宋体"/>
          <w:color w:val="000000" w:themeColor="text1"/>
          <w:highlight w:val="none"/>
          <w14:textFill>
            <w14:solidFill>
              <w14:schemeClr w14:val="tx1"/>
            </w14:solidFill>
          </w14:textFill>
        </w:rPr>
        <w:t>家但还有两家</w:t>
      </w:r>
      <w:r>
        <w:rPr>
          <w:rFonts w:ascii="宋体" w:hAnsi="宋体"/>
          <w:color w:val="000000" w:themeColor="text1"/>
          <w:highlight w:val="none"/>
          <w14:textFill>
            <w14:solidFill>
              <w14:schemeClr w14:val="tx1"/>
            </w14:solidFill>
          </w14:textFill>
        </w:rPr>
        <w:t>时，评审委员会认为剩余</w:t>
      </w:r>
      <w:r>
        <w:rPr>
          <w:rFonts w:hint="eastAsia" w:ascii="宋体" w:hAnsi="宋体"/>
          <w:color w:val="000000" w:themeColor="text1"/>
          <w:highlight w:val="none"/>
          <w14:textFill>
            <w14:solidFill>
              <w14:schemeClr w14:val="tx1"/>
            </w14:solidFill>
          </w14:textFill>
        </w:rPr>
        <w:t>两家</w:t>
      </w:r>
      <w:r>
        <w:rPr>
          <w:rFonts w:ascii="宋体" w:hAnsi="宋体"/>
          <w:color w:val="000000" w:themeColor="text1"/>
          <w:highlight w:val="none"/>
          <w14:textFill>
            <w14:solidFill>
              <w14:schemeClr w14:val="tx1"/>
            </w14:solidFill>
          </w14:textFill>
        </w:rPr>
        <w:t>的比选申请文件仍具有竞争性的，应继续评审）；</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30.</w:t>
      </w:r>
      <w:r>
        <w:rPr>
          <w:rFonts w:hint="eastAsia" w:ascii="宋体" w:hAnsi="宋体"/>
          <w:color w:val="000000" w:themeColor="text1"/>
          <w:highlight w:val="none"/>
          <w14:textFill>
            <w14:solidFill>
              <w14:schemeClr w14:val="tx1"/>
            </w14:solidFill>
          </w14:textFill>
        </w:rPr>
        <w:t>3</w:t>
      </w:r>
      <w:r>
        <w:rPr>
          <w:rFonts w:ascii="宋体" w:hAnsi="宋体"/>
          <w:color w:val="000000" w:themeColor="text1"/>
          <w:highlight w:val="none"/>
          <w14:textFill>
            <w14:solidFill>
              <w14:schemeClr w14:val="tx1"/>
            </w14:solidFill>
          </w14:textFill>
        </w:rPr>
        <w:t>评审委员会决定否决全部比选申请的；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30.4</w:t>
      </w:r>
      <w:r>
        <w:rPr>
          <w:rFonts w:ascii="宋体" w:hAnsi="宋体"/>
          <w:color w:val="000000" w:themeColor="text1"/>
          <w:highlight w:val="none"/>
          <w14:textFill>
            <w14:solidFill>
              <w14:schemeClr w14:val="tx1"/>
            </w14:solidFill>
          </w14:textFill>
        </w:rPr>
        <w:t>中选候选人均放弃中选资格</w:t>
      </w:r>
      <w:r>
        <w:rPr>
          <w:rFonts w:hint="eastAsia" w:ascii="宋体" w:hAnsi="宋体"/>
          <w:color w:val="000000" w:themeColor="text1"/>
          <w:highlight w:val="none"/>
          <w14:textFill>
            <w14:solidFill>
              <w14:schemeClr w14:val="tx1"/>
            </w14:solidFill>
          </w14:textFill>
        </w:rPr>
        <w:t>的</w:t>
      </w:r>
      <w:r>
        <w:rPr>
          <w:rFonts w:ascii="宋体" w:hAnsi="宋体"/>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30.5</w:t>
      </w:r>
      <w:r>
        <w:rPr>
          <w:rFonts w:ascii="宋体" w:hAnsi="宋体"/>
          <w:color w:val="000000" w:themeColor="text1"/>
          <w:highlight w:val="none"/>
          <w14:textFill>
            <w14:solidFill>
              <w14:schemeClr w14:val="tx1"/>
            </w14:solidFill>
          </w14:textFill>
        </w:rPr>
        <w:t>根据本须知</w:t>
      </w:r>
      <w:r>
        <w:rPr>
          <w:rFonts w:hint="eastAsia" w:ascii="宋体" w:hAnsi="宋体"/>
          <w:color w:val="000000" w:themeColor="text1"/>
          <w:highlight w:val="none"/>
          <w14:textFill>
            <w14:solidFill>
              <w14:schemeClr w14:val="tx1"/>
            </w14:solidFill>
          </w14:textFill>
        </w:rPr>
        <w:t>第</w:t>
      </w:r>
      <w:r>
        <w:rPr>
          <w:rFonts w:ascii="宋体" w:hAnsi="宋体"/>
          <w:color w:val="000000" w:themeColor="text1"/>
          <w:highlight w:val="none"/>
          <w14:textFill>
            <w14:solidFill>
              <w14:schemeClr w14:val="tx1"/>
            </w14:solidFill>
          </w14:textFill>
        </w:rPr>
        <w:t>15</w:t>
      </w: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条规定，</w:t>
      </w:r>
      <w:r>
        <w:rPr>
          <w:rFonts w:hint="eastAsia" w:ascii="宋体" w:hAnsi="宋体"/>
          <w:color w:val="000000" w:themeColor="text1"/>
          <w:highlight w:val="none"/>
          <w14:textFill>
            <w14:solidFill>
              <w14:schemeClr w14:val="tx1"/>
            </w14:solidFill>
          </w14:textFill>
        </w:rPr>
        <w:t>所有中选候选人均不同意在比选申请有效期内延长比选申请有效期的。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30.6比选文件中规定的其他情况。</w:t>
      </w:r>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950" w:name="_Toc5959"/>
      <w:bookmarkStart w:id="951" w:name="_Toc3769"/>
      <w:bookmarkStart w:id="952" w:name="_Toc2422"/>
      <w:bookmarkStart w:id="953" w:name="_Toc26919"/>
      <w:bookmarkStart w:id="954" w:name="_Toc1945"/>
      <w:bookmarkStart w:id="955" w:name="_Toc26954"/>
      <w:bookmarkStart w:id="956" w:name="_Toc390098455"/>
      <w:bookmarkStart w:id="957" w:name="_Toc12031"/>
      <w:bookmarkStart w:id="958" w:name="_Toc12983539"/>
      <w:bookmarkStart w:id="959" w:name="_Toc383891204"/>
      <w:bookmarkStart w:id="960" w:name="_Toc11126"/>
      <w:bookmarkStart w:id="961" w:name="_Toc14454"/>
      <w:bookmarkStart w:id="962" w:name="_Toc6886"/>
      <w:bookmarkStart w:id="963" w:name="_Toc20979"/>
      <w:bookmarkStart w:id="964" w:name="_Toc1116"/>
      <w:bookmarkStart w:id="965" w:name="_Toc31757"/>
      <w:bookmarkStart w:id="966" w:name="_Toc17042"/>
      <w:bookmarkStart w:id="967" w:name="_Toc10962"/>
      <w:bookmarkStart w:id="968" w:name="_Toc25257"/>
      <w:bookmarkStart w:id="969" w:name="_Toc375039096"/>
      <w:bookmarkStart w:id="970" w:name="_Toc492478754"/>
      <w:bookmarkStart w:id="971" w:name="_Toc14235"/>
      <w:bookmarkStart w:id="972" w:name="_Toc385427829"/>
      <w:bookmarkStart w:id="973" w:name="_Toc24944"/>
      <w:bookmarkStart w:id="974" w:name="_Toc27072"/>
      <w:bookmarkStart w:id="975" w:name="_Toc25750624"/>
      <w:bookmarkStart w:id="976" w:name="_Toc114134641"/>
      <w:r>
        <w:rPr>
          <w:rFonts w:hint="eastAsia" w:ascii="宋体" w:hAnsi="宋体"/>
          <w:color w:val="000000" w:themeColor="text1"/>
          <w:sz w:val="21"/>
          <w:szCs w:val="21"/>
          <w:highlight w:val="none"/>
          <w14:textFill>
            <w14:solidFill>
              <w14:schemeClr w14:val="tx1"/>
            </w14:solidFill>
          </w14:textFill>
        </w:rPr>
        <w:t>不再</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r>
        <w:rPr>
          <w:rFonts w:hint="eastAsia" w:ascii="宋体" w:hAnsi="宋体"/>
          <w:color w:val="000000" w:themeColor="text1"/>
          <w:sz w:val="21"/>
          <w:szCs w:val="21"/>
          <w:highlight w:val="none"/>
          <w14:textFill>
            <w14:solidFill>
              <w14:schemeClr w14:val="tx1"/>
            </w14:solidFill>
          </w14:textFill>
        </w:rPr>
        <w:t>比选</w:t>
      </w:r>
      <w:bookmarkEnd w:id="973"/>
      <w:bookmarkEnd w:id="974"/>
      <w:bookmarkEnd w:id="975"/>
      <w:bookmarkEnd w:id="976"/>
    </w:p>
    <w:p>
      <w:pPr>
        <w:tabs>
          <w:tab w:val="left" w:pos="1155"/>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w:t>
      </w:r>
      <w:r>
        <w:rPr>
          <w:rFonts w:ascii="宋体" w:hAnsi="宋体"/>
          <w:color w:val="000000" w:themeColor="text1"/>
          <w:highlight w:val="none"/>
          <w14:textFill>
            <w14:solidFill>
              <w14:schemeClr w14:val="tx1"/>
            </w14:solidFill>
          </w14:textFill>
        </w:rPr>
        <w:t>项目</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经两次发布信息后比选申请人仍少于三个或重新</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后有效比选申请人仍少于三个或者所有比选申请被否决的，比选人可不再进行</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w:t>
      </w:r>
    </w:p>
    <w:p>
      <w:pPr>
        <w:pStyle w:val="3"/>
        <w:spacing w:after="0" w:afterAutospacing="0" w:line="360" w:lineRule="auto"/>
        <w:ind w:left="0" w:right="0" w:firstLine="482" w:firstLineChars="200"/>
        <w:rPr>
          <w:rFonts w:ascii="宋体" w:hAnsi="宋体" w:eastAsia="宋体"/>
          <w:color w:val="000000" w:themeColor="text1"/>
          <w:sz w:val="24"/>
          <w:szCs w:val="24"/>
          <w:highlight w:val="none"/>
          <w14:textFill>
            <w14:solidFill>
              <w14:schemeClr w14:val="tx1"/>
            </w14:solidFill>
          </w14:textFill>
        </w:rPr>
      </w:pPr>
      <w:bookmarkStart w:id="977" w:name="_Toc2326"/>
      <w:bookmarkStart w:id="978" w:name="_Toc385427830"/>
      <w:bookmarkStart w:id="979" w:name="_Toc24580"/>
      <w:bookmarkStart w:id="980" w:name="_Toc383891205"/>
      <w:bookmarkStart w:id="981" w:name="_Toc27839"/>
      <w:bookmarkStart w:id="982" w:name="_Toc390098456"/>
      <w:bookmarkStart w:id="983" w:name="_Toc114134642"/>
      <w:bookmarkStart w:id="984" w:name="_Toc22416"/>
      <w:bookmarkStart w:id="985" w:name="_Toc26653"/>
      <w:bookmarkStart w:id="986" w:name="_Toc6000"/>
      <w:bookmarkStart w:id="987" w:name="_Toc375039097"/>
      <w:bookmarkStart w:id="988" w:name="_Toc8834"/>
      <w:bookmarkStart w:id="989" w:name="_Toc9113"/>
      <w:bookmarkStart w:id="990" w:name="_Toc4743"/>
      <w:bookmarkStart w:id="991" w:name="_Toc18800"/>
      <w:bookmarkStart w:id="992" w:name="_Toc12983540"/>
      <w:bookmarkStart w:id="993" w:name="_Toc30278"/>
      <w:bookmarkStart w:id="994" w:name="_Toc19952"/>
      <w:bookmarkStart w:id="995" w:name="_Toc492478755"/>
      <w:bookmarkStart w:id="996" w:name="_Toc21516"/>
      <w:bookmarkStart w:id="997" w:name="_Toc31958"/>
      <w:bookmarkStart w:id="998" w:name="_Toc12421"/>
      <w:bookmarkStart w:id="999" w:name="_Toc25431"/>
      <w:bookmarkStart w:id="1000" w:name="_Toc8888"/>
      <w:bookmarkStart w:id="1001" w:name="_Toc24681"/>
      <w:bookmarkStart w:id="1002" w:name="_Toc22975"/>
      <w:r>
        <w:rPr>
          <w:rFonts w:hint="eastAsia" w:ascii="宋体" w:hAnsi="宋体" w:eastAsia="宋体"/>
          <w:color w:val="000000" w:themeColor="text1"/>
          <w:sz w:val="24"/>
          <w:szCs w:val="24"/>
          <w:highlight w:val="none"/>
          <w14:textFill>
            <w14:solidFill>
              <w14:schemeClr w14:val="tx1"/>
            </w14:solidFill>
          </w14:textFill>
        </w:rPr>
        <w:t>六、</w:t>
      </w:r>
      <w:r>
        <w:rPr>
          <w:rFonts w:ascii="宋体" w:hAnsi="宋体" w:eastAsia="宋体"/>
          <w:color w:val="000000" w:themeColor="text1"/>
          <w:sz w:val="24"/>
          <w:szCs w:val="24"/>
          <w:highlight w:val="none"/>
          <w14:textFill>
            <w14:solidFill>
              <w14:schemeClr w14:val="tx1"/>
            </w14:solidFill>
          </w14:textFill>
        </w:rPr>
        <w:t>授予合同</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1003" w:name="_Toc20642"/>
      <w:bookmarkStart w:id="1004" w:name="_Toc26143"/>
      <w:bookmarkStart w:id="1005" w:name="_Toc385427831"/>
      <w:bookmarkStart w:id="1006" w:name="_Toc11795"/>
      <w:bookmarkStart w:id="1007" w:name="_Toc13914"/>
      <w:bookmarkStart w:id="1008" w:name="_Toc22323"/>
      <w:bookmarkStart w:id="1009" w:name="_Toc31011"/>
      <w:bookmarkStart w:id="1010" w:name="_Toc10522"/>
      <w:bookmarkStart w:id="1011" w:name="_Toc114134643"/>
      <w:bookmarkStart w:id="1012" w:name="_Toc18878"/>
      <w:bookmarkStart w:id="1013" w:name="_Toc383891206"/>
      <w:bookmarkStart w:id="1014" w:name="_Toc26525"/>
      <w:bookmarkStart w:id="1015" w:name="_Toc22688"/>
      <w:bookmarkStart w:id="1016" w:name="_Toc30743"/>
      <w:bookmarkStart w:id="1017" w:name="_Toc21975"/>
      <w:bookmarkStart w:id="1018" w:name="_Toc21728"/>
      <w:bookmarkStart w:id="1019" w:name="_Toc25750626"/>
      <w:bookmarkStart w:id="1020" w:name="_Toc8938"/>
      <w:bookmarkStart w:id="1021" w:name="_Toc17064"/>
      <w:bookmarkStart w:id="1022" w:name="_Toc492478756"/>
      <w:bookmarkStart w:id="1023" w:name="_Toc30026"/>
      <w:bookmarkStart w:id="1024" w:name="_Toc12983541"/>
      <w:bookmarkStart w:id="1025" w:name="_Toc9879"/>
      <w:bookmarkStart w:id="1026" w:name="_Toc28661"/>
      <w:bookmarkStart w:id="1027" w:name="_Toc390098457"/>
      <w:bookmarkStart w:id="1028" w:name="_Toc1269"/>
      <w:bookmarkStart w:id="1029" w:name="_Toc375039098"/>
      <w:r>
        <w:rPr>
          <w:rFonts w:hint="eastAsia" w:ascii="宋体" w:hAnsi="宋体"/>
          <w:color w:val="000000" w:themeColor="text1"/>
          <w:sz w:val="21"/>
          <w:szCs w:val="21"/>
          <w:highlight w:val="none"/>
          <w14:textFill>
            <w14:solidFill>
              <w14:schemeClr w14:val="tx1"/>
            </w14:solidFill>
          </w14:textFill>
        </w:rPr>
        <w:t>32. 合同授予标准</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32.1 </w:t>
      </w:r>
      <w:r>
        <w:rPr>
          <w:rFonts w:ascii="宋体" w:hAnsi="宋体"/>
          <w:color w:val="000000" w:themeColor="text1"/>
          <w:highlight w:val="none"/>
          <w14:textFill>
            <w14:solidFill>
              <w14:schemeClr w14:val="tx1"/>
            </w14:solidFill>
          </w14:textFill>
        </w:rPr>
        <w:t>根据本须知规定，比选人将把合同授予收到中选通知书，并提供了履约担保的比选申请人，该比选申请人必须具有有效实施本合同的能力和资源。</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32.2 </w:t>
      </w:r>
      <w:r>
        <w:rPr>
          <w:rFonts w:ascii="宋体" w:hAnsi="宋体"/>
          <w:color w:val="000000" w:themeColor="text1"/>
          <w:highlight w:val="none"/>
          <w14:textFill>
            <w14:solidFill>
              <w14:schemeClr w14:val="tx1"/>
            </w14:solidFill>
          </w14:textFill>
        </w:rPr>
        <w:t>如果</w:t>
      </w:r>
      <w:r>
        <w:rPr>
          <w:rFonts w:hint="eastAsia" w:ascii="宋体" w:hAnsi="宋体"/>
          <w:color w:val="000000" w:themeColor="text1"/>
          <w:highlight w:val="none"/>
          <w14:textFill>
            <w14:solidFill>
              <w14:schemeClr w14:val="tx1"/>
            </w14:solidFill>
          </w14:textFill>
        </w:rPr>
        <w:t>中选候选人放弃中选候选人资格或</w:t>
      </w:r>
      <w:r>
        <w:rPr>
          <w:rFonts w:ascii="宋体" w:hAnsi="宋体"/>
          <w:color w:val="000000" w:themeColor="text1"/>
          <w:highlight w:val="none"/>
          <w14:textFill>
            <w14:solidFill>
              <w14:schemeClr w14:val="tx1"/>
            </w14:solidFill>
          </w14:textFill>
        </w:rPr>
        <w:t>已中选的比选申请人不能按比选申请文件中承诺的条件履行签约行为，比选人有权按有关法律法规规定，在评审委员会推荐的、合格的比选申请人名单中按照排名先后顺序选择新的合同授予人。</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1030" w:name="_Toc1873"/>
      <w:bookmarkStart w:id="1031" w:name="_Toc26509"/>
      <w:bookmarkStart w:id="1032" w:name="_Toc18977"/>
      <w:bookmarkStart w:id="1033" w:name="_Toc383891207"/>
      <w:bookmarkStart w:id="1034" w:name="_Toc11913"/>
      <w:bookmarkStart w:id="1035" w:name="_Toc375039099"/>
      <w:bookmarkStart w:id="1036" w:name="_Toc12983542"/>
      <w:bookmarkStart w:id="1037" w:name="_Toc24183"/>
      <w:bookmarkStart w:id="1038" w:name="_Toc385427832"/>
      <w:bookmarkStart w:id="1039" w:name="_Toc19774"/>
      <w:bookmarkStart w:id="1040" w:name="_Toc19128"/>
      <w:bookmarkStart w:id="1041" w:name="_Toc13417"/>
      <w:bookmarkStart w:id="1042" w:name="_Toc17153"/>
      <w:bookmarkStart w:id="1043" w:name="_Toc14325"/>
      <w:bookmarkStart w:id="1044" w:name="_Toc23649"/>
      <w:bookmarkStart w:id="1045" w:name="_Toc16111"/>
      <w:bookmarkStart w:id="1046" w:name="_Toc390098458"/>
      <w:bookmarkStart w:id="1047" w:name="_Toc25797"/>
      <w:bookmarkStart w:id="1048" w:name="_Toc7723"/>
      <w:bookmarkStart w:id="1049" w:name="_Toc31336"/>
      <w:bookmarkStart w:id="1050" w:name="_Toc114134644"/>
      <w:bookmarkStart w:id="1051" w:name="_Toc14301"/>
      <w:bookmarkStart w:id="1052" w:name="_Toc377"/>
      <w:bookmarkStart w:id="1053" w:name="_Toc14832"/>
      <w:bookmarkStart w:id="1054" w:name="_Toc17818"/>
      <w:bookmarkStart w:id="1055" w:name="_Toc25750627"/>
      <w:bookmarkStart w:id="1056" w:name="_Toc492478757"/>
      <w:r>
        <w:rPr>
          <w:rFonts w:hint="eastAsia" w:ascii="宋体" w:hAnsi="宋体"/>
          <w:color w:val="000000" w:themeColor="text1"/>
          <w:sz w:val="21"/>
          <w:szCs w:val="21"/>
          <w:highlight w:val="none"/>
          <w14:textFill>
            <w14:solidFill>
              <w14:schemeClr w14:val="tx1"/>
            </w14:solidFill>
          </w14:textFill>
        </w:rPr>
        <w:t>33. 接受和否决任何或所有比选申请的权力</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pPr>
        <w:pStyle w:val="4"/>
        <w:numPr>
          <w:ilvl w:val="0"/>
          <w:numId w:val="6"/>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1057" w:name="_Toc27683"/>
      <w:bookmarkStart w:id="1058" w:name="_Toc25750628"/>
      <w:bookmarkStart w:id="1059" w:name="_Toc13596"/>
      <w:bookmarkStart w:id="1060" w:name="_Toc673"/>
      <w:bookmarkStart w:id="1061" w:name="_Toc19943"/>
      <w:bookmarkStart w:id="1062" w:name="_Toc19556"/>
      <w:bookmarkStart w:id="1063" w:name="_Toc17953"/>
      <w:bookmarkStart w:id="1064" w:name="_Toc13605"/>
      <w:bookmarkStart w:id="1065" w:name="_Toc5061"/>
      <w:bookmarkStart w:id="1066" w:name="_Toc22657"/>
      <w:bookmarkStart w:id="1067" w:name="_Toc385427833"/>
      <w:bookmarkStart w:id="1068" w:name="_Toc26012"/>
      <w:bookmarkStart w:id="1069" w:name="_Toc9636"/>
      <w:bookmarkStart w:id="1070" w:name="_Toc12065"/>
      <w:bookmarkStart w:id="1071" w:name="_Toc492478758"/>
      <w:bookmarkStart w:id="1072" w:name="_Toc29754"/>
      <w:bookmarkStart w:id="1073" w:name="_Toc383891208"/>
      <w:bookmarkStart w:id="1074" w:name="_Toc375039100"/>
      <w:bookmarkStart w:id="1075" w:name="_Toc114134645"/>
      <w:bookmarkStart w:id="1076" w:name="_Toc12983543"/>
      <w:bookmarkStart w:id="1077" w:name="_Toc2061"/>
      <w:bookmarkStart w:id="1078" w:name="_Toc32424"/>
      <w:bookmarkStart w:id="1079" w:name="_Toc921"/>
      <w:bookmarkStart w:id="1080" w:name="_Toc20680"/>
      <w:bookmarkStart w:id="1081" w:name="_Toc390098459"/>
      <w:bookmarkStart w:id="1082" w:name="_Toc10348"/>
      <w:bookmarkStart w:id="1083" w:name="_Toc21798"/>
      <w:r>
        <w:rPr>
          <w:rFonts w:hint="eastAsia" w:ascii="宋体" w:hAnsi="宋体"/>
          <w:color w:val="000000" w:themeColor="text1"/>
          <w:sz w:val="21"/>
          <w:szCs w:val="21"/>
          <w:highlight w:val="none"/>
          <w14:textFill>
            <w14:solidFill>
              <w14:schemeClr w14:val="tx1"/>
            </w14:solidFill>
          </w14:textFill>
        </w:rPr>
        <w:t>中选通知书</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pPr>
        <w:tabs>
          <w:tab w:val="left" w:pos="450"/>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34.1 </w:t>
      </w:r>
      <w:r>
        <w:rPr>
          <w:rFonts w:ascii="宋体" w:hAnsi="宋体"/>
          <w:color w:val="000000" w:themeColor="text1"/>
          <w:highlight w:val="none"/>
          <w14:textFill>
            <w14:solidFill>
              <w14:schemeClr w14:val="tx1"/>
            </w14:solidFill>
          </w14:textFill>
        </w:rPr>
        <w:t>在比选申请有效期截止前，</w:t>
      </w:r>
      <w:r>
        <w:rPr>
          <w:rFonts w:hint="eastAsia" w:ascii="宋体" w:hAnsi="宋体"/>
          <w:color w:val="000000" w:themeColor="text1"/>
          <w:highlight w:val="none"/>
          <w14:textFill>
            <w14:solidFill>
              <w14:schemeClr w14:val="tx1"/>
            </w14:solidFill>
          </w14:textFill>
        </w:rPr>
        <w:t>在本须知第</w:t>
      </w:r>
      <w:r>
        <w:rPr>
          <w:rFonts w:ascii="宋体" w:hAnsi="宋体"/>
          <w:color w:val="000000" w:themeColor="text1"/>
          <w:highlight w:val="none"/>
          <w14:textFill>
            <w14:solidFill>
              <w14:schemeClr w14:val="tx1"/>
            </w14:solidFill>
          </w14:textFill>
        </w:rPr>
        <w:t>15条</w:t>
      </w:r>
      <w:r>
        <w:rPr>
          <w:rFonts w:hint="eastAsia" w:ascii="宋体" w:hAnsi="宋体"/>
          <w:color w:val="000000" w:themeColor="text1"/>
          <w:highlight w:val="none"/>
          <w14:textFill>
            <w14:solidFill>
              <w14:schemeClr w14:val="tx1"/>
            </w14:solidFill>
          </w14:textFill>
        </w:rPr>
        <w:t>规定的比选申请有效期内，比选人以书面形式向中选人发出中选通知书。</w:t>
      </w:r>
    </w:p>
    <w:p>
      <w:pPr>
        <w:tabs>
          <w:tab w:val="left" w:pos="450"/>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34.2 </w:t>
      </w:r>
      <w:r>
        <w:rPr>
          <w:rFonts w:ascii="宋体" w:hAnsi="宋体"/>
          <w:color w:val="000000" w:themeColor="text1"/>
          <w:highlight w:val="none"/>
          <w14:textFill>
            <w14:solidFill>
              <w14:schemeClr w14:val="tx1"/>
            </w14:solidFill>
          </w14:textFill>
        </w:rPr>
        <w:t>中选通知书将作为签订合同的依据，并是合同的一个组成部分。</w:t>
      </w:r>
    </w:p>
    <w:p>
      <w:pPr>
        <w:tabs>
          <w:tab w:val="left" w:pos="450"/>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34.3 </w:t>
      </w:r>
      <w:r>
        <w:rPr>
          <w:rFonts w:ascii="宋体" w:hAnsi="宋体"/>
          <w:color w:val="000000" w:themeColor="text1"/>
          <w:highlight w:val="none"/>
          <w14:textFill>
            <w14:solidFill>
              <w14:schemeClr w14:val="tx1"/>
            </w14:solidFill>
          </w14:textFill>
        </w:rPr>
        <w:t>对未中选者，比选人不对未中选原因做出解释，同时亦不退还比选申请文件。</w:t>
      </w:r>
    </w:p>
    <w:p>
      <w:pPr>
        <w:tabs>
          <w:tab w:val="left" w:pos="450"/>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34.4放弃中选人资格的处罚详见前附表。</w:t>
      </w:r>
    </w:p>
    <w:p>
      <w:pPr>
        <w:pStyle w:val="4"/>
        <w:numPr>
          <w:ilvl w:val="0"/>
          <w:numId w:val="6"/>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1084" w:name="_Toc390098460"/>
      <w:bookmarkStart w:id="1085" w:name="_Toc8628"/>
      <w:bookmarkStart w:id="1086" w:name="_Toc12983544"/>
      <w:bookmarkStart w:id="1087" w:name="_Toc114134646"/>
      <w:bookmarkStart w:id="1088" w:name="_Toc25208"/>
      <w:bookmarkStart w:id="1089" w:name="_Toc4190"/>
      <w:bookmarkStart w:id="1090" w:name="_Toc1780"/>
      <w:bookmarkStart w:id="1091" w:name="_Toc4723"/>
      <w:bookmarkStart w:id="1092" w:name="_Toc383891209"/>
      <w:bookmarkStart w:id="1093" w:name="_Toc28815"/>
      <w:bookmarkStart w:id="1094" w:name="_Toc5767"/>
      <w:bookmarkStart w:id="1095" w:name="_Toc5617"/>
      <w:bookmarkStart w:id="1096" w:name="_Toc25750629"/>
      <w:bookmarkStart w:id="1097" w:name="_Toc24885"/>
      <w:bookmarkStart w:id="1098" w:name="_Toc21570"/>
      <w:bookmarkStart w:id="1099" w:name="_Toc1862"/>
      <w:bookmarkStart w:id="1100" w:name="_Toc22442"/>
      <w:bookmarkStart w:id="1101" w:name="_Toc15048"/>
      <w:bookmarkStart w:id="1102" w:name="_Toc24240"/>
      <w:bookmarkStart w:id="1103" w:name="_Toc29993"/>
      <w:bookmarkStart w:id="1104" w:name="_Toc385427834"/>
      <w:bookmarkStart w:id="1105" w:name="_Toc7565"/>
      <w:bookmarkStart w:id="1106" w:name="_Toc30862"/>
      <w:bookmarkStart w:id="1107" w:name="_Toc18694"/>
      <w:bookmarkStart w:id="1108" w:name="_Toc21217"/>
      <w:bookmarkStart w:id="1109" w:name="_Toc375039101"/>
      <w:bookmarkStart w:id="1110" w:name="_Toc492478759"/>
      <w:r>
        <w:rPr>
          <w:rFonts w:hint="eastAsia" w:ascii="宋体" w:hAnsi="宋体"/>
          <w:color w:val="000000" w:themeColor="text1"/>
          <w:sz w:val="21"/>
          <w:szCs w:val="21"/>
          <w:highlight w:val="none"/>
          <w14:textFill>
            <w14:solidFill>
              <w14:schemeClr w14:val="tx1"/>
            </w14:solidFill>
          </w14:textFill>
        </w:rPr>
        <w:t>签订合同</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35.1 中选人在收到中选通知书后3</w:t>
      </w:r>
      <w:r>
        <w:rPr>
          <w:rFonts w:ascii="宋体" w:hAnsi="宋体"/>
          <w:color w:val="000000" w:themeColor="text1"/>
          <w:highlight w:val="none"/>
          <w14:textFill>
            <w14:solidFill>
              <w14:schemeClr w14:val="tx1"/>
            </w14:solidFill>
          </w14:textFill>
        </w:rPr>
        <w:t>0</w:t>
      </w:r>
      <w:r>
        <w:rPr>
          <w:rFonts w:hint="eastAsia" w:ascii="宋体" w:hAnsi="宋体"/>
          <w:color w:val="000000" w:themeColor="text1"/>
          <w:highlight w:val="none"/>
          <w14:textFill>
            <w14:solidFill>
              <w14:schemeClr w14:val="tx1"/>
            </w14:solidFill>
          </w14:textFill>
        </w:rPr>
        <w:t>日内，按比选文件的要求与比选人签订合同</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如中选人未在上述期限内与比选人签订合同的，比选人将取消其中选。</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35.2 </w:t>
      </w:r>
      <w:r>
        <w:rPr>
          <w:rFonts w:ascii="宋体" w:hAnsi="宋体"/>
          <w:color w:val="000000" w:themeColor="text1"/>
          <w:highlight w:val="none"/>
          <w14:textFill>
            <w14:solidFill>
              <w14:schemeClr w14:val="tx1"/>
            </w14:solidFill>
          </w14:textFill>
        </w:rPr>
        <w:t>比选文件、中选通知书、中选人的比选申请文件及双方确认的澄清文件等，均为有法律约束力的合同的组成部分。</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35.3 </w:t>
      </w:r>
      <w:r>
        <w:rPr>
          <w:rFonts w:ascii="宋体" w:hAnsi="宋体"/>
          <w:color w:val="000000" w:themeColor="text1"/>
          <w:highlight w:val="none"/>
          <w14:textFill>
            <w14:solidFill>
              <w14:schemeClr w14:val="tx1"/>
            </w14:solidFill>
          </w14:textFill>
        </w:rPr>
        <w:t>如果中选人没有按照上述第35.1条规定执行，比选人将有充分理由取消该中选决定。在此情况下，比选人可以按照评审委员会提出的中选候选人名单排序依次确定其他中选候选人为中选人，也可以重新</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35.4 </w:t>
      </w:r>
      <w:r>
        <w:rPr>
          <w:rFonts w:ascii="宋体" w:hAnsi="宋体"/>
          <w:color w:val="000000" w:themeColor="text1"/>
          <w:highlight w:val="none"/>
          <w14:textFill>
            <w14:solidFill>
              <w14:schemeClr w14:val="tx1"/>
            </w14:solidFill>
          </w14:textFill>
        </w:rPr>
        <w:t>中选人若未在比选申请文件“商务响应表”及“技术响应表”中列出负偏离说明，即使其在比选申请文件的其他部分说明与比选文件要求有所不同或回避不答，甚至在评审时对该项目已作了偏离扣分处理，在比选人与中选人签订合同期间，亦均视为完全符合比选文件中所要求的最佳值并写入合同。若中选人在定标后及合同签订前，以上述事项为借口而不履行合同签订手续及执行合同，则视作放弃中选资格。</w:t>
      </w:r>
    </w:p>
    <w:p>
      <w:pPr>
        <w:pStyle w:val="4"/>
        <w:numPr>
          <w:ilvl w:val="0"/>
          <w:numId w:val="6"/>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1111" w:name="_Toc4665"/>
      <w:bookmarkStart w:id="1112" w:name="_Toc16371"/>
      <w:bookmarkStart w:id="1113" w:name="_Toc23817"/>
      <w:bookmarkStart w:id="1114" w:name="_Toc9433"/>
      <w:bookmarkStart w:id="1115" w:name="_Toc12983545"/>
      <w:bookmarkStart w:id="1116" w:name="_Toc6599"/>
      <w:bookmarkStart w:id="1117" w:name="_Toc24750"/>
      <w:bookmarkStart w:id="1118" w:name="_Toc9981"/>
      <w:bookmarkStart w:id="1119" w:name="_Toc25483"/>
      <w:bookmarkStart w:id="1120" w:name="_Toc11412"/>
      <w:bookmarkStart w:id="1121" w:name="_Toc29857"/>
      <w:bookmarkStart w:id="1122" w:name="_Toc385427835"/>
      <w:bookmarkStart w:id="1123" w:name="_Toc16589"/>
      <w:bookmarkStart w:id="1124" w:name="_Toc8104"/>
      <w:bookmarkStart w:id="1125" w:name="_Toc375039102"/>
      <w:bookmarkStart w:id="1126" w:name="_Toc13919"/>
      <w:bookmarkStart w:id="1127" w:name="_Toc5576"/>
      <w:bookmarkStart w:id="1128" w:name="_Toc25750630"/>
      <w:bookmarkStart w:id="1129" w:name="_Toc17281"/>
      <w:bookmarkStart w:id="1130" w:name="_Toc390098461"/>
      <w:bookmarkStart w:id="1131" w:name="_Toc11079"/>
      <w:bookmarkStart w:id="1132" w:name="_Toc25632"/>
      <w:bookmarkStart w:id="1133" w:name="_Toc20178"/>
      <w:bookmarkStart w:id="1134" w:name="_Toc383891210"/>
      <w:bookmarkStart w:id="1135" w:name="_Toc31814"/>
      <w:bookmarkStart w:id="1136" w:name="_Toc492478760"/>
      <w:bookmarkStart w:id="1137" w:name="_Toc114134647"/>
      <w:r>
        <w:rPr>
          <w:rFonts w:hint="eastAsia" w:ascii="宋体" w:hAnsi="宋体"/>
          <w:color w:val="000000" w:themeColor="text1"/>
          <w:sz w:val="21"/>
          <w:szCs w:val="21"/>
          <w:highlight w:val="none"/>
          <w14:textFill>
            <w14:solidFill>
              <w14:schemeClr w14:val="tx1"/>
            </w14:solidFill>
          </w14:textFill>
        </w:rPr>
        <w:t>履约担保</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36.1 </w:t>
      </w:r>
      <w:r>
        <w:rPr>
          <w:rFonts w:ascii="宋体" w:hAnsi="宋体"/>
          <w:color w:val="000000" w:themeColor="text1"/>
          <w:highlight w:val="none"/>
          <w14:textFill>
            <w14:solidFill>
              <w14:schemeClr w14:val="tx1"/>
            </w14:solidFill>
          </w14:textFill>
        </w:rPr>
        <w:t>在签订合同前，</w:t>
      </w:r>
      <w:r>
        <w:rPr>
          <w:rFonts w:hint="eastAsia" w:ascii="宋体" w:hAnsi="宋体"/>
          <w:color w:val="000000" w:themeColor="text1"/>
          <w:highlight w:val="none"/>
          <w14:textFill>
            <w14:solidFill>
              <w14:schemeClr w14:val="tx1"/>
            </w14:solidFill>
          </w14:textFill>
        </w:rPr>
        <w:t>中选人应按</w:t>
      </w:r>
      <w:r>
        <w:rPr>
          <w:rFonts w:ascii="宋体" w:hAnsi="宋体"/>
          <w:color w:val="000000" w:themeColor="text1"/>
          <w:highlight w:val="none"/>
          <w14:textFill>
            <w14:solidFill>
              <w14:schemeClr w14:val="tx1"/>
            </w14:solidFill>
          </w14:textFill>
        </w:rPr>
        <w:t>比选申请须知前附表中所示履约担保形式、金额及提交时间向比选人提交履约担保。（如为银行保函形式应按比选文件中提供的银行保函格式开具</w:t>
      </w:r>
      <w:r>
        <w:rPr>
          <w:rFonts w:hint="eastAsia" w:ascii="宋体" w:hAnsi="宋体"/>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36.2 </w:t>
      </w:r>
      <w:r>
        <w:rPr>
          <w:rFonts w:ascii="宋体" w:hAnsi="宋体"/>
          <w:color w:val="000000" w:themeColor="text1"/>
          <w:highlight w:val="none"/>
          <w14:textFill>
            <w14:solidFill>
              <w14:schemeClr w14:val="tx1"/>
            </w14:solidFill>
          </w14:textFill>
        </w:rPr>
        <w:t>如果中选人没有按照上述第35或</w:t>
      </w:r>
      <w:r>
        <w:rPr>
          <w:rFonts w:hint="eastAsia" w:ascii="宋体" w:hAnsi="宋体"/>
          <w:color w:val="000000" w:themeColor="text1"/>
          <w:highlight w:val="none"/>
          <w14:textFill>
            <w14:solidFill>
              <w14:schemeClr w14:val="tx1"/>
            </w14:solidFill>
          </w14:textFill>
        </w:rPr>
        <w:t>第</w:t>
      </w:r>
      <w:r>
        <w:rPr>
          <w:rFonts w:ascii="宋体" w:hAnsi="宋体"/>
          <w:color w:val="000000" w:themeColor="text1"/>
          <w:highlight w:val="none"/>
          <w14:textFill>
            <w14:solidFill>
              <w14:schemeClr w14:val="tx1"/>
            </w14:solidFill>
          </w14:textFill>
        </w:rPr>
        <w:t>36.1条以及本比选文件中有关章节中规定执行，比选人将有充分理由取消该中选决定。在此情况下，比选人可将合同授予排名第二的比选申请人，或重新</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36.3 履约担保应从生效之日起至</w:t>
      </w:r>
      <w:r>
        <w:rPr>
          <w:rFonts w:hint="eastAsia" w:ascii="宋体" w:hAnsi="宋体"/>
          <w:color w:val="000000" w:themeColor="text1"/>
          <w:highlight w:val="none"/>
          <w14:textFill>
            <w14:solidFill>
              <w14:schemeClr w14:val="tx1"/>
            </w14:solidFill>
          </w14:textFill>
        </w:rPr>
        <w:t>全部项目内容验收合格</w:t>
      </w:r>
      <w:r>
        <w:rPr>
          <w:rFonts w:ascii="宋体" w:hAnsi="宋体"/>
          <w:color w:val="000000" w:themeColor="text1"/>
          <w:highlight w:val="none"/>
          <w14:textFill>
            <w14:solidFill>
              <w14:schemeClr w14:val="tx1"/>
            </w14:solidFill>
          </w14:textFill>
        </w:rPr>
        <w:t>之日有效</w:t>
      </w:r>
      <w:r>
        <w:rPr>
          <w:rFonts w:hint="eastAsia" w:ascii="宋体" w:hAnsi="宋体"/>
          <w:color w:val="000000" w:themeColor="text1"/>
          <w:highlight w:val="none"/>
          <w14:textFill>
            <w14:solidFill>
              <w14:schemeClr w14:val="tx1"/>
            </w14:solidFill>
          </w14:textFill>
        </w:rPr>
        <w:t>（最终验收证书签署之日后四十五（</w:t>
      </w:r>
      <w:r>
        <w:rPr>
          <w:rFonts w:ascii="宋体" w:hAnsi="宋体"/>
          <w:color w:val="000000" w:themeColor="text1"/>
          <w:highlight w:val="none"/>
          <w14:textFill>
            <w14:solidFill>
              <w14:schemeClr w14:val="tx1"/>
            </w14:solidFill>
          </w14:textFill>
        </w:rPr>
        <w:t>45</w:t>
      </w:r>
      <w:r>
        <w:rPr>
          <w:rFonts w:hint="eastAsia" w:ascii="宋体" w:hAnsi="宋体"/>
          <w:color w:val="000000" w:themeColor="text1"/>
          <w:highlight w:val="none"/>
          <w14:textFill>
            <w14:solidFill>
              <w14:schemeClr w14:val="tx1"/>
            </w14:solidFill>
          </w14:textFill>
        </w:rPr>
        <w:t>）天一直有效）</w:t>
      </w:r>
      <w:r>
        <w:rPr>
          <w:rFonts w:ascii="宋体" w:hAnsi="宋体"/>
          <w:color w:val="000000" w:themeColor="text1"/>
          <w:highlight w:val="none"/>
          <w14:textFill>
            <w14:solidFill>
              <w14:schemeClr w14:val="tx1"/>
            </w14:solidFill>
          </w14:textFill>
        </w:rPr>
        <w:t>。如本项目实际</w:t>
      </w:r>
      <w:r>
        <w:rPr>
          <w:rFonts w:hint="eastAsia" w:ascii="宋体" w:hAnsi="宋体"/>
          <w:color w:val="000000" w:themeColor="text1"/>
          <w:highlight w:val="none"/>
          <w14:textFill>
            <w14:solidFill>
              <w14:schemeClr w14:val="tx1"/>
            </w14:solidFill>
          </w14:textFill>
        </w:rPr>
        <w:t>全部项目内容验收合格</w:t>
      </w:r>
      <w:r>
        <w:rPr>
          <w:rFonts w:ascii="宋体" w:hAnsi="宋体"/>
          <w:color w:val="000000" w:themeColor="text1"/>
          <w:highlight w:val="none"/>
          <w14:textFill>
            <w14:solidFill>
              <w14:schemeClr w14:val="tx1"/>
            </w14:solidFill>
          </w14:textFill>
        </w:rPr>
        <w:t>日期超出该履约担保写明的日期，则中选人应相应延长履约担保的日期，当出现逾期验收而未及时办理保函续费手续时（如为保函形式），比选人有权暂停剩余费用的支付。</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36.4 </w:t>
      </w:r>
      <w:r>
        <w:rPr>
          <w:rFonts w:ascii="宋体" w:hAnsi="宋体"/>
          <w:color w:val="000000" w:themeColor="text1"/>
          <w:highlight w:val="none"/>
          <w14:textFill>
            <w14:solidFill>
              <w14:schemeClr w14:val="tx1"/>
            </w14:solidFill>
          </w14:textFill>
        </w:rPr>
        <w:t>履约担保在本合同结束后，根据履约期间比选人的索赔情况，将剩余履约担保款项无息退还中选人。</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36.5 </w:t>
      </w:r>
      <w:r>
        <w:rPr>
          <w:rFonts w:ascii="宋体" w:hAnsi="宋体"/>
          <w:color w:val="000000" w:themeColor="text1"/>
          <w:highlight w:val="none"/>
          <w14:textFill>
            <w14:solidFill>
              <w14:schemeClr w14:val="tx1"/>
            </w14:solidFill>
          </w14:textFill>
        </w:rPr>
        <w:t>在合同执行过程中，履约担保金额应保持足额有效，不足时应当按照比选人的要求及时补足担保金额。</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36.6 </w:t>
      </w:r>
      <w:r>
        <w:rPr>
          <w:rFonts w:ascii="宋体" w:hAnsi="宋体"/>
          <w:color w:val="000000" w:themeColor="text1"/>
          <w:highlight w:val="none"/>
          <w14:textFill>
            <w14:solidFill>
              <w14:schemeClr w14:val="tx1"/>
            </w14:solidFill>
          </w14:textFill>
        </w:rPr>
        <w:t>以履约保证金形式提交履约担保的，中选人应通过银行电汇或转账的形式，从基本账户中递交至比选人</w:t>
      </w:r>
      <w:r>
        <w:rPr>
          <w:rFonts w:hint="eastAsia" w:ascii="宋体" w:hAnsi="宋体"/>
          <w:color w:val="000000" w:themeColor="text1"/>
          <w:highlight w:val="none"/>
          <w14:textFill>
            <w14:solidFill>
              <w14:schemeClr w14:val="tx1"/>
            </w14:solidFill>
          </w14:textFill>
        </w:rPr>
        <w:t>指定账户</w:t>
      </w:r>
      <w:r>
        <w:rPr>
          <w:rFonts w:ascii="宋体" w:hAnsi="宋体"/>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2" w:firstLineChars="200"/>
        <w:rPr>
          <w:rFonts w:ascii="宋体" w:hAnsi="宋体"/>
          <w:b/>
          <w:bCs/>
          <w:color w:val="000000" w:themeColor="text1"/>
          <w:highlight w:val="none"/>
          <w14:textFill>
            <w14:solidFill>
              <w14:schemeClr w14:val="tx1"/>
            </w14:solidFill>
          </w14:textFill>
        </w:rPr>
      </w:pPr>
      <w:r>
        <w:rPr>
          <w:rFonts w:hint="eastAsia" w:ascii="宋体" w:hAnsi="宋体"/>
          <w:b/>
          <w:bCs/>
          <w:color w:val="000000" w:themeColor="text1"/>
          <w:highlight w:val="none"/>
          <w14:textFill>
            <w14:solidFill>
              <w14:schemeClr w14:val="tx1"/>
            </w14:solidFill>
          </w14:textFill>
        </w:rPr>
        <w:t xml:space="preserve">37 </w:t>
      </w:r>
      <w:r>
        <w:rPr>
          <w:rFonts w:ascii="宋体" w:hAnsi="宋体"/>
          <w:b/>
          <w:bCs/>
          <w:color w:val="000000" w:themeColor="text1"/>
          <w:highlight w:val="none"/>
          <w14:textFill>
            <w14:solidFill>
              <w14:schemeClr w14:val="tx1"/>
            </w14:solidFill>
          </w14:textFill>
        </w:rPr>
        <w:t>知识产权和专利权</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37.1 </w:t>
      </w:r>
      <w:r>
        <w:rPr>
          <w:rFonts w:ascii="宋体" w:hAnsi="宋体"/>
          <w:color w:val="000000" w:themeColor="text1"/>
          <w:highlight w:val="none"/>
          <w14:textFill>
            <w14:solidFill>
              <w14:schemeClr w14:val="tx1"/>
            </w14:solidFill>
          </w14:textFill>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37.2 </w:t>
      </w:r>
      <w:r>
        <w:rPr>
          <w:rFonts w:ascii="宋体" w:hAnsi="宋体"/>
          <w:color w:val="000000" w:themeColor="text1"/>
          <w:highlight w:val="none"/>
          <w14:textFill>
            <w14:solidFill>
              <w14:schemeClr w14:val="tx1"/>
            </w14:solidFill>
          </w14:textFill>
        </w:rPr>
        <w:t>比选申请报价已包括所有应支付的，对专利权、著作权、注册商标专有使用权、计算机软件登记或其他知识产权而需要向其他方支付各项等费用。</w:t>
      </w:r>
    </w:p>
    <w:p>
      <w:pPr>
        <w:tabs>
          <w:tab w:val="left" w:pos="425"/>
          <w:tab w:val="left" w:pos="1134"/>
          <w:tab w:val="left" w:pos="8364"/>
        </w:tabs>
        <w:spacing w:before="0" w:after="0" w:afterAutospacing="0"/>
        <w:ind w:left="0" w:right="0" w:firstLine="422" w:firstLineChars="200"/>
        <w:rPr>
          <w:rFonts w:ascii="宋体" w:hAnsi="宋体"/>
          <w:b/>
          <w:bCs/>
          <w:color w:val="000000" w:themeColor="text1"/>
          <w:highlight w:val="none"/>
          <w14:textFill>
            <w14:solidFill>
              <w14:schemeClr w14:val="tx1"/>
            </w14:solidFill>
          </w14:textFill>
        </w:rPr>
      </w:pPr>
      <w:r>
        <w:rPr>
          <w:rFonts w:hint="eastAsia" w:ascii="宋体" w:hAnsi="宋体"/>
          <w:b/>
          <w:bCs/>
          <w:color w:val="000000" w:themeColor="text1"/>
          <w:highlight w:val="none"/>
          <w14:textFill>
            <w14:solidFill>
              <w14:schemeClr w14:val="tx1"/>
            </w14:solidFill>
          </w14:textFill>
        </w:rPr>
        <w:t>38</w:t>
      </w:r>
      <w:r>
        <w:rPr>
          <w:rFonts w:ascii="宋体" w:hAnsi="宋体"/>
          <w:b/>
          <w:bCs/>
          <w:color w:val="000000" w:themeColor="text1"/>
          <w:highlight w:val="none"/>
          <w14:textFill>
            <w14:solidFill>
              <w14:schemeClr w14:val="tx1"/>
            </w14:solidFill>
          </w14:textFill>
        </w:rPr>
        <w:t>保密</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38.1 </w:t>
      </w:r>
      <w:r>
        <w:rPr>
          <w:rFonts w:ascii="宋体" w:hAnsi="宋体"/>
          <w:color w:val="000000" w:themeColor="text1"/>
          <w:highlight w:val="none"/>
          <w14:textFill>
            <w14:solidFill>
              <w14:schemeClr w14:val="tx1"/>
            </w14:solidFill>
          </w14:textFill>
        </w:rPr>
        <w:t>由比选人向比选申请人提供的比选文件、图纸、详细资料、模型、模件和所有其他资料，被视为保密资料，仅被用于它所规定的用途，除非得到比选人的书面同意，不能向任何第三方透露。</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38.2 </w:t>
      </w:r>
      <w:r>
        <w:rPr>
          <w:rFonts w:ascii="宋体" w:hAnsi="宋体"/>
          <w:color w:val="000000" w:themeColor="text1"/>
          <w:highlight w:val="none"/>
          <w14:textFill>
            <w14:solidFill>
              <w14:schemeClr w14:val="tx1"/>
            </w14:solidFill>
          </w14:textFill>
        </w:rPr>
        <w:t>在比选申请文件完成后，应比选人要求，比选申请人应归还所有从比选人获得的保密资料，以及所有的无论从任何媒介获得的复印件和摘录。</w:t>
      </w:r>
    </w:p>
    <w:p>
      <w:pPr>
        <w:tabs>
          <w:tab w:val="left" w:pos="425"/>
          <w:tab w:val="left" w:pos="1134"/>
          <w:tab w:val="left" w:pos="8364"/>
        </w:tabs>
        <w:spacing w:before="0" w:after="0" w:afterAutospacing="0"/>
        <w:ind w:left="0" w:right="0" w:firstLine="422" w:firstLineChars="200"/>
        <w:rPr>
          <w:rFonts w:ascii="宋体" w:hAnsi="宋体"/>
          <w:b/>
          <w:bCs/>
          <w:color w:val="000000" w:themeColor="text1"/>
          <w:highlight w:val="none"/>
          <w14:textFill>
            <w14:solidFill>
              <w14:schemeClr w14:val="tx1"/>
            </w14:solidFill>
          </w14:textFill>
        </w:rPr>
      </w:pPr>
      <w:r>
        <w:rPr>
          <w:rFonts w:hint="eastAsia" w:ascii="宋体" w:hAnsi="宋体"/>
          <w:b/>
          <w:bCs/>
          <w:color w:val="000000" w:themeColor="text1"/>
          <w:highlight w:val="none"/>
          <w14:textFill>
            <w14:solidFill>
              <w14:schemeClr w14:val="tx1"/>
            </w14:solidFill>
          </w14:textFill>
        </w:rPr>
        <w:t>39</w:t>
      </w:r>
      <w:r>
        <w:rPr>
          <w:rFonts w:ascii="宋体" w:hAnsi="宋体"/>
          <w:b/>
          <w:bCs/>
          <w:color w:val="000000" w:themeColor="text1"/>
          <w:highlight w:val="none"/>
          <w14:textFill>
            <w14:solidFill>
              <w14:schemeClr w14:val="tx1"/>
            </w14:solidFill>
          </w14:textFill>
        </w:rPr>
        <w:t>比选申请人知悉</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39.1 </w:t>
      </w:r>
      <w:r>
        <w:rPr>
          <w:rFonts w:ascii="宋体" w:hAnsi="宋体"/>
          <w:color w:val="000000" w:themeColor="text1"/>
          <w:highlight w:val="none"/>
          <w14:textFill>
            <w14:solidFill>
              <w14:schemeClr w14:val="tx1"/>
            </w14:solidFill>
          </w14:textFill>
        </w:rPr>
        <w:t>比选申请人将被视为已合理地充分了解了对所有影响本项目的事项，包括任何与</w:t>
      </w:r>
      <w:r>
        <w:rPr>
          <w:rFonts w:hint="eastAsia" w:ascii="宋体" w:hAnsi="宋体"/>
          <w:color w:val="000000" w:themeColor="text1"/>
          <w:highlight w:val="none"/>
          <w14:textFill>
            <w14:solidFill>
              <w14:schemeClr w14:val="tx1"/>
            </w14:solidFill>
          </w14:textFill>
        </w:rPr>
        <w:t>项目</w:t>
      </w:r>
      <w:r>
        <w:rPr>
          <w:rFonts w:ascii="宋体" w:hAnsi="宋体"/>
          <w:color w:val="000000" w:themeColor="text1"/>
          <w:highlight w:val="none"/>
          <w14:textFill>
            <w14:solidFill>
              <w14:schemeClr w14:val="tx1"/>
            </w14:solidFill>
          </w14:textFill>
        </w:rPr>
        <w:t>和项目时间表有关的特殊困难。</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39.2 </w:t>
      </w:r>
      <w:r>
        <w:rPr>
          <w:rFonts w:ascii="宋体" w:hAnsi="宋体"/>
          <w:color w:val="000000" w:themeColor="text1"/>
          <w:highlight w:val="none"/>
          <w14:textFill>
            <w14:solidFill>
              <w14:schemeClr w14:val="tx1"/>
            </w14:solidFill>
          </w14:textFill>
        </w:rPr>
        <w:t>如果比选申请人在比选申请过程中有欺诈行为，则比选人有权否决比选申请人的比选申请。</w:t>
      </w:r>
    </w:p>
    <w:p>
      <w:pPr>
        <w:tabs>
          <w:tab w:val="left" w:pos="425"/>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39.3 分包：本项目不允许分包、禁止转包。</w:t>
      </w:r>
    </w:p>
    <w:p>
      <w:pPr>
        <w:tabs>
          <w:tab w:val="left" w:pos="425"/>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39.4需要补充的其他内容：详见比选申请须知前附表</w:t>
      </w:r>
    </w:p>
    <w:p>
      <w:pPr>
        <w:tabs>
          <w:tab w:val="left" w:pos="425"/>
          <w:tab w:val="left" w:pos="1134"/>
          <w:tab w:val="left" w:pos="8364"/>
        </w:tabs>
        <w:spacing w:before="0" w:after="0" w:afterAutospacing="0" w:line="240" w:lineRule="auto"/>
        <w:ind w:left="0" w:right="0" w:firstLine="422" w:firstLineChars="200"/>
        <w:rPr>
          <w:rFonts w:ascii="宋体" w:hAnsi="宋体"/>
          <w:b/>
          <w:bCs/>
          <w:color w:val="000000" w:themeColor="text1"/>
          <w:highlight w:val="none"/>
          <w14:textFill>
            <w14:solidFill>
              <w14:schemeClr w14:val="tx1"/>
            </w14:solidFill>
          </w14:textFill>
        </w:rPr>
      </w:pPr>
      <w:r>
        <w:rPr>
          <w:rFonts w:hint="eastAsia" w:ascii="宋体" w:hAnsi="宋体"/>
          <w:b/>
          <w:bCs/>
          <w:color w:val="000000" w:themeColor="text1"/>
          <w:highlight w:val="none"/>
          <w14:textFill>
            <w14:solidFill>
              <w14:schemeClr w14:val="tx1"/>
            </w14:solidFill>
          </w14:textFill>
        </w:rPr>
        <w:t>40其他</w:t>
      </w:r>
    </w:p>
    <w:p>
      <w:pPr>
        <w:tabs>
          <w:tab w:val="left" w:pos="1134"/>
          <w:tab w:val="left" w:pos="8364"/>
        </w:tabs>
        <w:spacing w:before="0" w:after="0" w:afterAutospacing="0"/>
        <w:ind w:left="0" w:right="0" w:firstLine="420" w:firstLineChars="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项目采购及合同执行的任何阶段，如果比选人发现比选申请人/中选人存在下述行为之一的，比选人有权取消其比选申请/中选资格，比选申请/中选无效。情节严重的，报同级或上级监管部门依法进行处理，同时按比选人的不良信用名单实施办法或细则，将其列入比选人的不良信用名单，比选人有权禁止其参加比选人的任何采购项目，禁止时限为6个月至五年，具体时限视情节严重情况而定：</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40.1比选申请人在投标截止期后撤回其比选申请的。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40.2提供虚假材料谋取中选的。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40.3采取不正当手段诋毁、排挤其他供应商的。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40.4恶意串通等不正当竞争行为的。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40.5中</w:t>
      </w:r>
      <w:r>
        <w:rPr>
          <w:rFonts w:hint="eastAsia" w:ascii="宋体" w:hAnsi="宋体"/>
          <w:color w:val="000000" w:themeColor="text1"/>
          <w:highlight w:val="none"/>
          <w14:textFill>
            <w14:solidFill>
              <w14:schemeClr w14:val="tx1"/>
            </w14:solidFill>
          </w14:textFill>
        </w:rPr>
        <w:t>选</w:t>
      </w:r>
      <w:r>
        <w:rPr>
          <w:rFonts w:ascii="宋体" w:hAnsi="宋体"/>
          <w:color w:val="000000" w:themeColor="text1"/>
          <w:highlight w:val="none"/>
          <w14:textFill>
            <w14:solidFill>
              <w14:schemeClr w14:val="tx1"/>
            </w14:solidFill>
          </w14:textFill>
        </w:rPr>
        <w:t>后无正当理由拒不与采购人签订合同的。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40.6未照比选、比选申请文件确定的事项签订合同的。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40.7将合同转包的。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40.8提供假冒伪劣产品的。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40.9擅自变更、中止或者终止合同的。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40.10中选人签订合同后，不能履约或无故拖延履约期的。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40.11 中选人未按比选申请须知要求在比选申请阶段提出异议或疑问，在成交后无法满足</w:t>
      </w:r>
      <w:r>
        <w:rPr>
          <w:rFonts w:hint="eastAsia" w:ascii="宋体" w:hAnsi="宋体"/>
          <w:color w:val="000000" w:themeColor="text1"/>
          <w:highlight w:val="none"/>
          <w14:textFill>
            <w14:solidFill>
              <w14:schemeClr w14:val="tx1"/>
            </w14:solidFill>
          </w14:textFill>
        </w:rPr>
        <w:t>比选需求</w:t>
      </w:r>
      <w:r>
        <w:rPr>
          <w:rFonts w:ascii="宋体" w:hAnsi="宋体"/>
          <w:color w:val="000000" w:themeColor="text1"/>
          <w:highlight w:val="none"/>
          <w14:textFill>
            <w14:solidFill>
              <w14:schemeClr w14:val="tx1"/>
            </w14:solidFill>
          </w14:textFill>
        </w:rPr>
        <w:t>被认定为无效报价或主动放弃成交资格的。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40.12 中选人在成交后无正当理由放弃成交资格的。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40.13比选文件、法律、法规规定的其他情形。</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p>
    <w:p>
      <w:pPr>
        <w:pStyle w:val="15"/>
        <w:pageBreakBefore/>
        <w:ind w:right="-57" w:firstLine="0"/>
        <w:jc w:val="center"/>
        <w:outlineLvl w:val="0"/>
        <w:rPr>
          <w:b/>
          <w:bCs/>
          <w:color w:val="000000" w:themeColor="text1"/>
          <w:spacing w:val="20"/>
          <w:sz w:val="48"/>
          <w:highlight w:val="none"/>
          <w14:textFill>
            <w14:solidFill>
              <w14:schemeClr w14:val="tx1"/>
            </w14:solidFill>
          </w14:textFill>
        </w:rPr>
      </w:pPr>
      <w:bookmarkStart w:id="1138" w:name="_Toc17022"/>
      <w:bookmarkStart w:id="1139" w:name="_Toc9458"/>
      <w:bookmarkStart w:id="1140" w:name="_Toc21919"/>
      <w:bookmarkStart w:id="1141" w:name="_Toc16340"/>
      <w:bookmarkStart w:id="1142" w:name="_Toc13323"/>
      <w:bookmarkStart w:id="1143" w:name="_Toc4003"/>
      <w:bookmarkStart w:id="1144" w:name="_Toc1179"/>
      <w:bookmarkStart w:id="1145" w:name="_Toc11424"/>
      <w:bookmarkStart w:id="1146" w:name="_Toc14991"/>
      <w:bookmarkStart w:id="1147" w:name="_Toc28464"/>
      <w:bookmarkStart w:id="1148" w:name="_Toc15740"/>
      <w:bookmarkStart w:id="1149" w:name="_Toc25920"/>
      <w:bookmarkStart w:id="1150" w:name="_Toc10158"/>
      <w:bookmarkStart w:id="1151" w:name="_Toc23292"/>
      <w:bookmarkStart w:id="1152" w:name="_Toc9725"/>
      <w:bookmarkStart w:id="1153" w:name="_Toc12281"/>
      <w:bookmarkStart w:id="1154" w:name="_Toc7547"/>
      <w:bookmarkStart w:id="1155" w:name="_Toc9991"/>
      <w:r>
        <w:rPr>
          <w:rStyle w:val="53"/>
          <w:rFonts w:hint="eastAsia" w:ascii="宋体" w:hAnsi="宋体" w:eastAsia="宋体"/>
          <w:color w:val="000000" w:themeColor="text1"/>
          <w:highlight w:val="none"/>
          <w14:textFill>
            <w14:solidFill>
              <w14:schemeClr w14:val="tx1"/>
            </w14:solidFill>
          </w14:textFill>
        </w:rPr>
        <w:t>第三章合同条款及格式</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r>
        <w:rPr>
          <w:rFonts w:hint="eastAsia"/>
          <w:b/>
          <w:bCs/>
          <w:color w:val="000000" w:themeColor="text1"/>
          <w:spacing w:val="20"/>
          <w:szCs w:val="21"/>
          <w:highlight w:val="none"/>
          <w14:textFill>
            <w14:solidFill>
              <w14:schemeClr w14:val="tx1"/>
            </w14:solidFill>
          </w14:textFill>
        </w:rPr>
        <w:t xml:space="preserve"> </w:t>
      </w:r>
    </w:p>
    <w:p>
      <w:pPr>
        <w:spacing w:line="500" w:lineRule="exact"/>
        <w:jc w:val="left"/>
        <w:rPr>
          <w:rFonts w:hint="default"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合同编号：</w:t>
      </w:r>
    </w:p>
    <w:p>
      <w:pPr>
        <w:pStyle w:val="30"/>
        <w:spacing w:line="500" w:lineRule="exact"/>
        <w:jc w:val="center"/>
        <w:rPr>
          <w:rFonts w:hint="eastAsia" w:ascii="仿宋_GB2312" w:hAnsi="华文中宋" w:eastAsia="仿宋_GB2312"/>
          <w:b/>
          <w:bCs/>
          <w:sz w:val="36"/>
          <w:szCs w:val="36"/>
          <w:highlight w:val="none"/>
        </w:rPr>
      </w:pPr>
    </w:p>
    <w:p>
      <w:pPr>
        <w:pStyle w:val="30"/>
        <w:spacing w:line="500" w:lineRule="exact"/>
        <w:jc w:val="center"/>
        <w:rPr>
          <w:rFonts w:hint="eastAsia" w:ascii="仿宋_GB2312" w:hAnsi="华文中宋" w:eastAsia="仿宋_GB2312"/>
          <w:b/>
          <w:bCs/>
          <w:sz w:val="36"/>
          <w:szCs w:val="36"/>
          <w:highlight w:val="none"/>
        </w:rPr>
      </w:pPr>
    </w:p>
    <w:p>
      <w:pPr>
        <w:pStyle w:val="30"/>
        <w:spacing w:line="500" w:lineRule="exact"/>
        <w:jc w:val="center"/>
        <w:rPr>
          <w:rFonts w:hint="eastAsia" w:ascii="仿宋_GB2312" w:hAnsi="华文中宋" w:eastAsia="仿宋_GB2312"/>
          <w:b/>
          <w:bCs/>
          <w:sz w:val="36"/>
          <w:szCs w:val="36"/>
          <w:highlight w:val="none"/>
        </w:rPr>
      </w:pPr>
    </w:p>
    <w:p>
      <w:pPr>
        <w:pStyle w:val="30"/>
        <w:spacing w:line="500" w:lineRule="exact"/>
        <w:jc w:val="center"/>
        <w:rPr>
          <w:rFonts w:ascii="仿宋_GB2312" w:hAnsi="华文中宋" w:eastAsia="仿宋_GB2312"/>
          <w:b/>
          <w:bCs/>
          <w:sz w:val="36"/>
          <w:szCs w:val="36"/>
          <w:highlight w:val="none"/>
        </w:rPr>
      </w:pPr>
      <w:r>
        <w:rPr>
          <w:rFonts w:hint="eastAsia" w:ascii="仿宋_GB2312" w:hAnsi="华文中宋" w:eastAsia="仿宋_GB2312"/>
          <w:b/>
          <w:bCs/>
          <w:sz w:val="36"/>
          <w:szCs w:val="36"/>
          <w:highlight w:val="none"/>
          <w:lang w:eastAsia="zh-CN"/>
        </w:rPr>
        <w:t>南宁市白沙半岛片区城中村改造项目安置住房小区4号地块配套基础设施-纵一路设计</w:t>
      </w:r>
      <w:r>
        <w:rPr>
          <w:rFonts w:hint="eastAsia" w:ascii="仿宋_GB2312" w:hAnsi="华文中宋" w:eastAsia="仿宋_GB2312"/>
          <w:b/>
          <w:bCs/>
          <w:sz w:val="36"/>
          <w:szCs w:val="36"/>
          <w:highlight w:val="none"/>
        </w:rPr>
        <w:t>合同</w:t>
      </w:r>
    </w:p>
    <w:p>
      <w:pPr>
        <w:pStyle w:val="30"/>
        <w:spacing w:line="500" w:lineRule="exact"/>
        <w:jc w:val="center"/>
        <w:rPr>
          <w:rFonts w:ascii="仿宋_GB2312" w:eastAsia="仿宋_GB2312"/>
          <w:b/>
          <w:bCs/>
          <w:sz w:val="52"/>
          <w:szCs w:val="52"/>
          <w:highlight w:val="none"/>
        </w:rPr>
      </w:pPr>
    </w:p>
    <w:p>
      <w:pPr>
        <w:spacing w:after="312" w:afterLines="100" w:line="500" w:lineRule="exact"/>
        <w:jc w:val="left"/>
        <w:rPr>
          <w:rFonts w:ascii="仿宋_GB2312" w:hAnsi="宋体" w:eastAsia="仿宋_GB2312"/>
          <w:sz w:val="52"/>
          <w:szCs w:val="52"/>
          <w:highlight w:val="none"/>
        </w:rPr>
      </w:pPr>
    </w:p>
    <w:p>
      <w:pPr>
        <w:spacing w:after="312" w:afterLines="100" w:line="500" w:lineRule="exact"/>
        <w:jc w:val="left"/>
        <w:rPr>
          <w:rFonts w:ascii="仿宋_GB2312" w:hAnsi="宋体" w:eastAsia="仿宋_GB2312"/>
          <w:highlight w:val="none"/>
        </w:rPr>
      </w:pPr>
    </w:p>
    <w:p>
      <w:pPr>
        <w:pStyle w:val="32"/>
        <w:rPr>
          <w:rFonts w:ascii="仿宋_GB2312" w:hAnsi="宋体" w:eastAsia="仿宋_GB2312"/>
          <w:highlight w:val="none"/>
        </w:rPr>
      </w:pPr>
    </w:p>
    <w:p>
      <w:pPr>
        <w:pStyle w:val="32"/>
        <w:rPr>
          <w:rFonts w:ascii="仿宋_GB2312" w:hAnsi="宋体" w:eastAsia="仿宋_GB2312"/>
          <w:highlight w:val="none"/>
        </w:rPr>
      </w:pPr>
    </w:p>
    <w:p>
      <w:pPr>
        <w:pStyle w:val="32"/>
        <w:rPr>
          <w:rFonts w:ascii="仿宋_GB2312" w:hAnsi="宋体" w:eastAsia="仿宋_GB2312"/>
          <w:highlight w:val="none"/>
        </w:rPr>
      </w:pPr>
    </w:p>
    <w:p>
      <w:pPr>
        <w:pStyle w:val="32"/>
        <w:ind w:left="0" w:leftChars="0" w:firstLine="0" w:firstLineChars="0"/>
        <w:rPr>
          <w:rFonts w:ascii="仿宋_GB2312" w:hAnsi="宋体" w:eastAsia="仿宋_GB2312"/>
          <w:highlight w:val="none"/>
        </w:rPr>
      </w:pPr>
    </w:p>
    <w:p>
      <w:pPr>
        <w:spacing w:line="800" w:lineRule="exact"/>
        <w:ind w:firstLine="900" w:firstLineChars="300"/>
        <w:jc w:val="left"/>
        <w:rPr>
          <w:rFonts w:hint="default" w:eastAsia="宋体"/>
          <w:sz w:val="30"/>
          <w:szCs w:val="30"/>
          <w:u w:val="single"/>
          <w:lang w:val="en-US" w:eastAsia="zh-CN"/>
        </w:rPr>
      </w:pPr>
      <w:r>
        <w:rPr>
          <w:rFonts w:hint="eastAsia"/>
          <w:sz w:val="30"/>
          <w:szCs w:val="30"/>
        </w:rPr>
        <w:t>发包人：</w:t>
      </w:r>
      <w:r>
        <w:rPr>
          <w:rFonts w:hint="eastAsia"/>
          <w:sz w:val="30"/>
          <w:szCs w:val="30"/>
          <w:u w:val="single"/>
          <w:lang w:val="en-US" w:eastAsia="zh-CN"/>
        </w:rPr>
        <w:t>南宁兴邕城市更新有限责任公司</w:t>
      </w:r>
    </w:p>
    <w:p>
      <w:pPr>
        <w:spacing w:line="800" w:lineRule="exact"/>
        <w:ind w:firstLine="900" w:firstLineChars="300"/>
        <w:jc w:val="left"/>
        <w:rPr>
          <w:rFonts w:hint="default" w:eastAsia="宋体"/>
          <w:sz w:val="30"/>
          <w:szCs w:val="30"/>
          <w:u w:val="single"/>
          <w:lang w:val="en-US" w:eastAsia="zh-CN"/>
        </w:rPr>
      </w:pPr>
      <w:r>
        <w:rPr>
          <w:rFonts w:hint="eastAsia"/>
          <w:sz w:val="30"/>
          <w:szCs w:val="30"/>
        </w:rPr>
        <w:t>设计人：</w:t>
      </w:r>
      <w:r>
        <w:rPr>
          <w:rFonts w:hint="eastAsia"/>
          <w:sz w:val="30"/>
          <w:szCs w:val="30"/>
          <w:u w:val="single"/>
          <w:lang w:val="en-US" w:eastAsia="zh-CN"/>
        </w:rPr>
        <w:t xml:space="preserve">                    </w:t>
      </w:r>
    </w:p>
    <w:p>
      <w:pPr>
        <w:pStyle w:val="12"/>
        <w:tabs>
          <w:tab w:val="left" w:pos="0"/>
        </w:tabs>
        <w:spacing w:line="400" w:lineRule="exact"/>
        <w:ind w:left="0" w:leftChars="0" w:firstLine="900" w:firstLineChars="300"/>
        <w:rPr>
          <w:sz w:val="30"/>
          <w:szCs w:val="30"/>
        </w:rPr>
      </w:pPr>
    </w:p>
    <w:p>
      <w:pPr>
        <w:pStyle w:val="12"/>
        <w:tabs>
          <w:tab w:val="left" w:pos="0"/>
        </w:tabs>
        <w:spacing w:line="400" w:lineRule="exact"/>
        <w:ind w:left="0" w:leftChars="0" w:firstLine="1800" w:firstLineChars="600"/>
        <w:rPr>
          <w:sz w:val="30"/>
          <w:szCs w:val="30"/>
          <w:u w:val="single"/>
        </w:rPr>
      </w:pPr>
      <w:r>
        <w:rPr>
          <w:rFonts w:hint="eastAsia"/>
          <w:sz w:val="30"/>
          <w:szCs w:val="30"/>
        </w:rPr>
        <w:t>签约时间：202</w:t>
      </w:r>
      <w:r>
        <w:rPr>
          <w:rFonts w:hint="eastAsia"/>
          <w:sz w:val="30"/>
          <w:szCs w:val="30"/>
          <w:lang w:val="en-US" w:eastAsia="zh-CN"/>
        </w:rPr>
        <w:t>4</w:t>
      </w:r>
      <w:r>
        <w:rPr>
          <w:rFonts w:hint="eastAsia"/>
          <w:sz w:val="30"/>
          <w:szCs w:val="30"/>
        </w:rPr>
        <w:t xml:space="preserve">年 </w:t>
      </w:r>
      <w:r>
        <w:rPr>
          <w:rFonts w:hint="eastAsia"/>
          <w:sz w:val="30"/>
          <w:szCs w:val="30"/>
          <w:lang w:val="en-US" w:eastAsia="zh-CN"/>
        </w:rPr>
        <w:t xml:space="preserve"> </w:t>
      </w:r>
      <w:r>
        <w:rPr>
          <w:rFonts w:hint="eastAsia"/>
          <w:sz w:val="30"/>
          <w:szCs w:val="30"/>
        </w:rPr>
        <w:t>月</w:t>
      </w:r>
    </w:p>
    <w:p>
      <w:pPr>
        <w:widowControl/>
        <w:jc w:val="left"/>
        <w:rPr>
          <w:rFonts w:ascii="宋体" w:hAnsi="宋体"/>
          <w:szCs w:val="21"/>
        </w:rPr>
      </w:pPr>
    </w:p>
    <w:p>
      <w:pPr>
        <w:pStyle w:val="32"/>
      </w:pPr>
    </w:p>
    <w:p>
      <w:pPr>
        <w:spacing w:line="246" w:lineRule="auto"/>
        <w:ind w:left="0" w:leftChars="0" w:firstLine="0" w:firstLineChars="0"/>
        <w:rPr>
          <w:rFonts w:ascii="Arial"/>
          <w:sz w:val="21"/>
        </w:rPr>
      </w:pPr>
    </w:p>
    <w:p>
      <w:pPr>
        <w:spacing w:before="101" w:line="224" w:lineRule="auto"/>
        <w:ind w:left="2833"/>
        <w:outlineLvl w:val="0"/>
        <w:rPr>
          <w:rFonts w:ascii="Arial"/>
          <w:sz w:val="21"/>
        </w:rPr>
      </w:pPr>
      <w:bookmarkStart w:id="1156" w:name="bookmark208"/>
      <w:bookmarkEnd w:id="1156"/>
      <w:bookmarkStart w:id="1157" w:name="bookmark207"/>
      <w:bookmarkEnd w:id="1157"/>
      <w:r>
        <w:rPr>
          <w:rFonts w:ascii="黑体" w:hAnsi="黑体" w:eastAsia="黑体" w:cs="黑体"/>
          <w:b/>
          <w:bCs/>
          <w:spacing w:val="6"/>
          <w:sz w:val="31"/>
          <w:szCs w:val="31"/>
        </w:rPr>
        <w:t>第一部分</w:t>
      </w:r>
      <w:r>
        <w:rPr>
          <w:rFonts w:ascii="黑体" w:hAnsi="黑体" w:eastAsia="黑体" w:cs="黑体"/>
          <w:spacing w:val="6"/>
          <w:sz w:val="31"/>
          <w:szCs w:val="31"/>
        </w:rPr>
        <w:t xml:space="preserve"> </w:t>
      </w:r>
      <w:r>
        <w:rPr>
          <w:rFonts w:ascii="黑体" w:hAnsi="黑体" w:eastAsia="黑体" w:cs="黑体"/>
          <w:b/>
          <w:bCs/>
          <w:spacing w:val="6"/>
          <w:sz w:val="31"/>
          <w:szCs w:val="31"/>
        </w:rPr>
        <w:t>合同协议书</w:t>
      </w:r>
    </w:p>
    <w:p>
      <w:pPr>
        <w:pStyle w:val="11"/>
        <w:spacing w:before="68" w:line="221" w:lineRule="auto"/>
        <w:ind w:left="443"/>
        <w:rPr>
          <w:sz w:val="21"/>
          <w:szCs w:val="21"/>
        </w:rPr>
      </w:pPr>
      <w:r>
        <w:rPr>
          <w:spacing w:val="-13"/>
          <w:sz w:val="21"/>
          <w:szCs w:val="21"/>
        </w:rPr>
        <w:t>发包人（全称</w:t>
      </w:r>
      <w:r>
        <w:rPr>
          <w:spacing w:val="-19"/>
          <w:sz w:val="21"/>
          <w:szCs w:val="21"/>
        </w:rPr>
        <w:t>）：</w:t>
      </w:r>
      <w:r>
        <w:rPr>
          <w:sz w:val="21"/>
          <w:szCs w:val="21"/>
          <w:u w:val="single" w:color="auto"/>
        </w:rPr>
        <w:t xml:space="preserve">               </w:t>
      </w:r>
    </w:p>
    <w:p>
      <w:pPr>
        <w:pStyle w:val="11"/>
        <w:spacing w:before="67" w:line="222" w:lineRule="auto"/>
        <w:ind w:left="443"/>
        <w:rPr>
          <w:sz w:val="21"/>
          <w:szCs w:val="21"/>
        </w:rPr>
      </w:pPr>
      <w:r>
        <w:rPr>
          <w:spacing w:val="-13"/>
          <w:sz w:val="21"/>
          <w:szCs w:val="21"/>
        </w:rPr>
        <w:t>设计人（全称</w:t>
      </w:r>
      <w:r>
        <w:rPr>
          <w:spacing w:val="-19"/>
          <w:sz w:val="21"/>
          <w:szCs w:val="21"/>
        </w:rPr>
        <w:t>）：</w:t>
      </w:r>
      <w:r>
        <w:rPr>
          <w:sz w:val="21"/>
          <w:szCs w:val="21"/>
          <w:u w:val="single" w:color="auto"/>
        </w:rPr>
        <w:t xml:space="preserve">                                        </w:t>
      </w:r>
    </w:p>
    <w:p>
      <w:pPr>
        <w:pStyle w:val="11"/>
        <w:spacing w:before="65" w:line="273" w:lineRule="auto"/>
        <w:ind w:left="20" w:firstLine="419"/>
        <w:rPr>
          <w:sz w:val="21"/>
          <w:szCs w:val="21"/>
        </w:rPr>
      </w:pPr>
      <w:r>
        <w:rPr>
          <w:spacing w:val="-4"/>
          <w:sz w:val="21"/>
          <w:szCs w:val="21"/>
        </w:rPr>
        <w:t>根据《中华人民共和国民法典》、《中华人民共和国建筑法》及国家、地方、行业等有关法</w:t>
      </w:r>
      <w:r>
        <w:rPr>
          <w:spacing w:val="-2"/>
          <w:sz w:val="21"/>
          <w:szCs w:val="21"/>
        </w:rPr>
        <w:t>律法规，遵循平等、自愿、公平和诚实信用的原则，双方就</w:t>
      </w:r>
      <w:r>
        <w:rPr>
          <w:spacing w:val="-105"/>
          <w:sz w:val="21"/>
          <w:szCs w:val="21"/>
        </w:rPr>
        <w:t xml:space="preserve"> </w:t>
      </w:r>
      <w:r>
        <w:rPr>
          <w:sz w:val="21"/>
          <w:szCs w:val="21"/>
          <w:u w:val="single" w:color="auto"/>
        </w:rPr>
        <w:t xml:space="preserve">                     </w:t>
      </w:r>
      <w:r>
        <w:rPr>
          <w:spacing w:val="-92"/>
          <w:sz w:val="21"/>
          <w:szCs w:val="21"/>
        </w:rPr>
        <w:t xml:space="preserve"> </w:t>
      </w:r>
      <w:r>
        <w:rPr>
          <w:spacing w:val="-2"/>
          <w:sz w:val="21"/>
          <w:szCs w:val="21"/>
        </w:rPr>
        <w:t>设计及有关事项协商一致，共同达成如下协议：</w:t>
      </w:r>
    </w:p>
    <w:p>
      <w:pPr>
        <w:pStyle w:val="11"/>
        <w:spacing w:before="30" w:line="221" w:lineRule="auto"/>
        <w:ind w:left="443"/>
        <w:rPr>
          <w:sz w:val="21"/>
          <w:szCs w:val="21"/>
        </w:rPr>
      </w:pPr>
      <w:r>
        <w:rPr>
          <w:spacing w:val="-3"/>
          <w:sz w:val="21"/>
          <w:szCs w:val="21"/>
        </w:rPr>
        <w:t>一、</w:t>
      </w:r>
      <w:r>
        <w:rPr>
          <w:b/>
          <w:bCs/>
          <w:spacing w:val="-3"/>
          <w:sz w:val="21"/>
          <w:szCs w:val="21"/>
        </w:rPr>
        <w:t>工程概况</w:t>
      </w:r>
    </w:p>
    <w:p>
      <w:pPr>
        <w:pStyle w:val="11"/>
        <w:keepNext w:val="0"/>
        <w:keepLines w:val="0"/>
        <w:pageBreakBefore w:val="0"/>
        <w:widowControl/>
        <w:kinsoku/>
        <w:wordWrap/>
        <w:overflowPunct/>
        <w:topLinePunct w:val="0"/>
        <w:autoSpaceDE/>
        <w:autoSpaceDN/>
        <w:bidi w:val="0"/>
        <w:adjustRightInd/>
        <w:snapToGrid/>
        <w:spacing w:before="71" w:line="240" w:lineRule="auto"/>
        <w:ind w:left="442" w:right="4294" w:firstLine="0"/>
        <w:textAlignment w:val="auto"/>
        <w:rPr>
          <w:spacing w:val="-2"/>
          <w:sz w:val="21"/>
          <w:szCs w:val="21"/>
        </w:rPr>
      </w:pPr>
      <w:r>
        <w:rPr>
          <w:spacing w:val="-7"/>
          <w:sz w:val="21"/>
          <w:szCs w:val="21"/>
        </w:rPr>
        <w:t>1.工程名称：</w:t>
      </w:r>
      <w:r>
        <w:rPr>
          <w:spacing w:val="4"/>
          <w:sz w:val="21"/>
          <w:szCs w:val="21"/>
          <w:u w:val="single" w:color="auto"/>
        </w:rPr>
        <w:t xml:space="preserve">                       </w:t>
      </w:r>
      <w:r>
        <w:rPr>
          <w:spacing w:val="-7"/>
          <w:sz w:val="21"/>
          <w:szCs w:val="21"/>
        </w:rPr>
        <w:t>。</w:t>
      </w:r>
      <w:r>
        <w:rPr>
          <w:spacing w:val="14"/>
          <w:sz w:val="21"/>
          <w:szCs w:val="21"/>
        </w:rPr>
        <w:t xml:space="preserve"> </w:t>
      </w:r>
      <w:r>
        <w:rPr>
          <w:spacing w:val="-2"/>
          <w:sz w:val="21"/>
          <w:szCs w:val="21"/>
        </w:rPr>
        <w:t>2.工程地点：</w:t>
      </w:r>
      <w:r>
        <w:rPr>
          <w:spacing w:val="-2"/>
          <w:sz w:val="21"/>
          <w:szCs w:val="21"/>
          <w:u w:val="single" w:color="auto"/>
        </w:rPr>
        <w:t xml:space="preserve">  南宁市</w:t>
      </w:r>
      <w:r>
        <w:rPr>
          <w:spacing w:val="4"/>
          <w:sz w:val="21"/>
          <w:szCs w:val="21"/>
          <w:u w:val="single" w:color="auto"/>
        </w:rPr>
        <w:t xml:space="preserve">     </w:t>
      </w:r>
      <w:r>
        <w:rPr>
          <w:spacing w:val="-2"/>
          <w:sz w:val="21"/>
          <w:szCs w:val="21"/>
          <w:u w:val="single" w:color="auto"/>
        </w:rPr>
        <w:t xml:space="preserve">区   </w:t>
      </w:r>
      <w:r>
        <w:rPr>
          <w:spacing w:val="-2"/>
          <w:sz w:val="21"/>
          <w:szCs w:val="21"/>
        </w:rPr>
        <w:t>。</w:t>
      </w:r>
    </w:p>
    <w:p>
      <w:pPr>
        <w:pStyle w:val="11"/>
        <w:keepNext w:val="0"/>
        <w:keepLines w:val="0"/>
        <w:pageBreakBefore w:val="0"/>
        <w:widowControl/>
        <w:kinsoku/>
        <w:wordWrap/>
        <w:overflowPunct/>
        <w:topLinePunct w:val="0"/>
        <w:autoSpaceDE/>
        <w:autoSpaceDN/>
        <w:bidi w:val="0"/>
        <w:adjustRightInd/>
        <w:snapToGrid/>
        <w:spacing w:before="71" w:line="240" w:lineRule="auto"/>
        <w:ind w:left="442" w:right="4294" w:firstLine="0"/>
        <w:textAlignment w:val="auto"/>
        <w:rPr>
          <w:sz w:val="21"/>
          <w:szCs w:val="21"/>
        </w:rPr>
      </w:pPr>
      <w:r>
        <w:rPr>
          <w:spacing w:val="-1"/>
          <w:sz w:val="21"/>
          <w:szCs w:val="21"/>
        </w:rPr>
        <w:t xml:space="preserve">3.工程内容及规模： </w:t>
      </w:r>
      <w:r>
        <w:rPr>
          <w:sz w:val="21"/>
          <w:szCs w:val="21"/>
          <w:u w:val="single" w:color="auto"/>
        </w:rPr>
        <w:t xml:space="preserve">                    </w:t>
      </w:r>
    </w:p>
    <w:p>
      <w:pPr>
        <w:pStyle w:val="11"/>
        <w:keepNext w:val="0"/>
        <w:keepLines w:val="0"/>
        <w:pageBreakBefore w:val="0"/>
        <w:widowControl/>
        <w:kinsoku/>
        <w:wordWrap/>
        <w:overflowPunct/>
        <w:topLinePunct w:val="0"/>
        <w:autoSpaceDE/>
        <w:autoSpaceDN/>
        <w:bidi w:val="0"/>
        <w:adjustRightInd/>
        <w:snapToGrid/>
        <w:spacing w:before="71" w:line="240" w:lineRule="auto"/>
        <w:ind w:left="21" w:leftChars="0" w:right="24" w:firstLine="397" w:firstLineChars="197"/>
        <w:textAlignment w:val="auto"/>
        <w:rPr>
          <w:sz w:val="21"/>
          <w:szCs w:val="21"/>
        </w:rPr>
      </w:pPr>
      <w:r>
        <w:rPr>
          <w:spacing w:val="-4"/>
          <w:sz w:val="21"/>
          <w:szCs w:val="21"/>
        </w:rPr>
        <w:t>4.工程主要技术标准：</w:t>
      </w:r>
      <w:r>
        <w:rPr>
          <w:spacing w:val="-4"/>
          <w:sz w:val="21"/>
          <w:szCs w:val="21"/>
          <w:u w:val="single" w:color="auto"/>
        </w:rPr>
        <w:t>符合国家、广西壮族自治区及南宁市</w:t>
      </w:r>
      <w:r>
        <w:rPr>
          <w:spacing w:val="-5"/>
          <w:sz w:val="21"/>
          <w:szCs w:val="21"/>
          <w:u w:val="single" w:color="auto"/>
        </w:rPr>
        <w:t>现行的设计规范、验收标准及强</w:t>
      </w:r>
      <w:r>
        <w:rPr>
          <w:spacing w:val="-1"/>
          <w:sz w:val="21"/>
          <w:szCs w:val="21"/>
          <w:u w:val="single" w:color="auto"/>
        </w:rPr>
        <w:t>制性标准条文</w:t>
      </w:r>
      <w:r>
        <w:rPr>
          <w:spacing w:val="-1"/>
          <w:sz w:val="21"/>
          <w:szCs w:val="21"/>
        </w:rPr>
        <w:t>。</w:t>
      </w:r>
    </w:p>
    <w:p>
      <w:pPr>
        <w:pStyle w:val="11"/>
        <w:keepNext w:val="0"/>
        <w:keepLines w:val="0"/>
        <w:pageBreakBefore w:val="0"/>
        <w:widowControl/>
        <w:kinsoku/>
        <w:wordWrap/>
        <w:overflowPunct/>
        <w:topLinePunct w:val="0"/>
        <w:autoSpaceDE/>
        <w:autoSpaceDN/>
        <w:bidi w:val="0"/>
        <w:adjustRightInd/>
        <w:snapToGrid/>
        <w:spacing w:before="30" w:line="240" w:lineRule="auto"/>
        <w:ind w:left="441" w:right="4189" w:firstLine="0"/>
        <w:textAlignment w:val="auto"/>
        <w:rPr>
          <w:sz w:val="21"/>
          <w:szCs w:val="21"/>
        </w:rPr>
      </w:pPr>
      <w:r>
        <w:rPr>
          <w:spacing w:val="-4"/>
          <w:sz w:val="21"/>
          <w:szCs w:val="21"/>
        </w:rPr>
        <w:t>5.投资估算：建安费约</w:t>
      </w:r>
      <w:r>
        <w:rPr>
          <w:spacing w:val="-103"/>
          <w:sz w:val="21"/>
          <w:szCs w:val="21"/>
        </w:rPr>
        <w:t xml:space="preserve"> </w:t>
      </w:r>
      <w:r>
        <w:rPr>
          <w:spacing w:val="8"/>
          <w:sz w:val="21"/>
          <w:szCs w:val="21"/>
          <w:u w:val="single" w:color="auto"/>
        </w:rPr>
        <w:t xml:space="preserve">            </w:t>
      </w:r>
      <w:r>
        <w:rPr>
          <w:spacing w:val="-85"/>
          <w:sz w:val="21"/>
          <w:szCs w:val="21"/>
        </w:rPr>
        <w:t xml:space="preserve"> </w:t>
      </w:r>
      <w:r>
        <w:rPr>
          <w:spacing w:val="-4"/>
          <w:sz w:val="21"/>
          <w:szCs w:val="21"/>
        </w:rPr>
        <w:t>万元。</w:t>
      </w:r>
      <w:r>
        <w:rPr>
          <w:spacing w:val="-3"/>
          <w:sz w:val="21"/>
          <w:szCs w:val="21"/>
        </w:rPr>
        <w:t>6.工程批准、核准或备案文号：</w:t>
      </w:r>
    </w:p>
    <w:p>
      <w:pPr>
        <w:pStyle w:val="11"/>
        <w:keepNext w:val="0"/>
        <w:keepLines w:val="0"/>
        <w:pageBreakBefore w:val="0"/>
        <w:widowControl/>
        <w:kinsoku/>
        <w:wordWrap/>
        <w:overflowPunct/>
        <w:topLinePunct w:val="0"/>
        <w:autoSpaceDE/>
        <w:autoSpaceDN/>
        <w:bidi w:val="0"/>
        <w:adjustRightInd/>
        <w:snapToGrid/>
        <w:spacing w:before="27" w:line="240" w:lineRule="auto"/>
        <w:ind w:left="26" w:right="2" w:firstLine="0"/>
        <w:textAlignment w:val="auto"/>
        <w:rPr>
          <w:sz w:val="21"/>
          <w:szCs w:val="21"/>
        </w:rPr>
      </w:pPr>
      <w:r>
        <w:rPr>
          <w:spacing w:val="-1"/>
          <w:sz w:val="21"/>
          <w:szCs w:val="21"/>
        </w:rPr>
        <w:t>7.工程进度安排：中标人应在</w:t>
      </w:r>
      <w:r>
        <w:rPr>
          <w:spacing w:val="-1"/>
          <w:sz w:val="21"/>
          <w:szCs w:val="21"/>
          <w:u w:val="single" w:color="auto"/>
        </w:rPr>
        <w:t xml:space="preserve">   日</w:t>
      </w:r>
      <w:r>
        <w:rPr>
          <w:spacing w:val="-1"/>
          <w:sz w:val="21"/>
          <w:szCs w:val="21"/>
        </w:rPr>
        <w:t>历日内完成方案设计</w:t>
      </w:r>
      <w:r>
        <w:rPr>
          <w:spacing w:val="-2"/>
          <w:sz w:val="21"/>
          <w:szCs w:val="21"/>
        </w:rPr>
        <w:t>、可行性研究报告编制、初步设计</w:t>
      </w:r>
      <w:r>
        <w:rPr>
          <w:sz w:val="21"/>
          <w:szCs w:val="21"/>
        </w:rPr>
        <w:t xml:space="preserve"> </w:t>
      </w:r>
      <w:r>
        <w:rPr>
          <w:spacing w:val="-1"/>
          <w:sz w:val="21"/>
          <w:szCs w:val="21"/>
        </w:rPr>
        <w:t>（含概算）及施工图设计（含预算）工作。</w:t>
      </w:r>
    </w:p>
    <w:p>
      <w:pPr>
        <w:pStyle w:val="11"/>
        <w:spacing w:before="97" w:line="218" w:lineRule="auto"/>
        <w:ind w:left="439"/>
        <w:rPr>
          <w:sz w:val="21"/>
          <w:szCs w:val="21"/>
        </w:rPr>
      </w:pPr>
      <w:r>
        <w:rPr>
          <w:spacing w:val="-3"/>
          <w:sz w:val="21"/>
          <w:szCs w:val="21"/>
        </w:rPr>
        <w:t>①设计合同载明的计划开始设计之日起</w:t>
      </w:r>
      <w:r>
        <w:rPr>
          <w:spacing w:val="-36"/>
          <w:sz w:val="21"/>
          <w:szCs w:val="21"/>
        </w:rPr>
        <w:t xml:space="preserve"> </w:t>
      </w:r>
      <w:r>
        <w:rPr>
          <w:rFonts w:hint="eastAsia" w:eastAsia="宋体" w:cs="Times New Roman"/>
          <w:spacing w:val="-3"/>
          <w:sz w:val="21"/>
          <w:szCs w:val="21"/>
          <w:lang w:val="en-US" w:eastAsia="zh-CN"/>
        </w:rPr>
        <w:t>20</w:t>
      </w:r>
      <w:r>
        <w:rPr>
          <w:spacing w:val="-3"/>
          <w:sz w:val="21"/>
          <w:szCs w:val="21"/>
        </w:rPr>
        <w:t>日历天内完成方案设计；</w:t>
      </w:r>
    </w:p>
    <w:p>
      <w:pPr>
        <w:pStyle w:val="11"/>
        <w:spacing w:before="150" w:line="218" w:lineRule="auto"/>
        <w:ind w:left="438"/>
        <w:rPr>
          <w:sz w:val="21"/>
          <w:szCs w:val="21"/>
        </w:rPr>
      </w:pPr>
      <w:r>
        <w:rPr>
          <w:spacing w:val="-3"/>
          <w:sz w:val="21"/>
          <w:szCs w:val="21"/>
        </w:rPr>
        <w:t>②设计方案经相关部门批准后</w:t>
      </w:r>
      <w:r>
        <w:rPr>
          <w:rFonts w:hint="eastAsia"/>
          <w:spacing w:val="43"/>
          <w:sz w:val="21"/>
          <w:szCs w:val="21"/>
          <w:lang w:val="en-US" w:eastAsia="zh-CN"/>
        </w:rPr>
        <w:t>10</w:t>
      </w:r>
      <w:r>
        <w:rPr>
          <w:spacing w:val="-3"/>
          <w:sz w:val="21"/>
          <w:szCs w:val="21"/>
        </w:rPr>
        <w:t>日历天内完成初步设计；</w:t>
      </w:r>
    </w:p>
    <w:p>
      <w:pPr>
        <w:pStyle w:val="11"/>
        <w:spacing w:before="153" w:line="218" w:lineRule="auto"/>
        <w:ind w:left="438"/>
        <w:rPr>
          <w:sz w:val="21"/>
          <w:szCs w:val="21"/>
        </w:rPr>
      </w:pPr>
      <w:r>
        <w:rPr>
          <w:spacing w:val="-3"/>
          <w:sz w:val="21"/>
          <w:szCs w:val="21"/>
        </w:rPr>
        <w:t>③初步设计审查批准后</w:t>
      </w:r>
      <w:r>
        <w:rPr>
          <w:rFonts w:hint="eastAsia"/>
          <w:spacing w:val="43"/>
          <w:sz w:val="21"/>
          <w:szCs w:val="21"/>
          <w:lang w:val="en-US" w:eastAsia="zh-CN"/>
        </w:rPr>
        <w:t>15</w:t>
      </w:r>
      <w:r>
        <w:rPr>
          <w:spacing w:val="-3"/>
          <w:sz w:val="21"/>
          <w:szCs w:val="21"/>
        </w:rPr>
        <w:t>日历天内完成所有施工图设计；</w:t>
      </w:r>
    </w:p>
    <w:p>
      <w:pPr>
        <w:pStyle w:val="11"/>
        <w:spacing w:before="153" w:line="218" w:lineRule="auto"/>
        <w:ind w:left="438"/>
        <w:rPr>
          <w:sz w:val="21"/>
          <w:szCs w:val="21"/>
        </w:rPr>
      </w:pPr>
      <w:r>
        <w:rPr>
          <w:spacing w:val="-2"/>
          <w:sz w:val="21"/>
          <w:szCs w:val="21"/>
        </w:rPr>
        <w:t>④施工图设计经审查后</w:t>
      </w:r>
      <w:r>
        <w:rPr>
          <w:rFonts w:hint="eastAsia"/>
          <w:spacing w:val="22"/>
          <w:sz w:val="21"/>
          <w:szCs w:val="21"/>
          <w:lang w:val="en-US" w:eastAsia="zh-CN"/>
        </w:rPr>
        <w:t>5</w:t>
      </w:r>
      <w:r>
        <w:rPr>
          <w:spacing w:val="-2"/>
          <w:sz w:val="21"/>
          <w:szCs w:val="21"/>
        </w:rPr>
        <w:t>日历天内完成补充、修</w:t>
      </w:r>
      <w:r>
        <w:rPr>
          <w:spacing w:val="-3"/>
          <w:sz w:val="21"/>
          <w:szCs w:val="21"/>
        </w:rPr>
        <w:t>改；</w:t>
      </w:r>
    </w:p>
    <w:p>
      <w:pPr>
        <w:pStyle w:val="11"/>
        <w:spacing w:before="150" w:line="218" w:lineRule="auto"/>
        <w:ind w:left="438"/>
        <w:rPr>
          <w:sz w:val="21"/>
          <w:szCs w:val="21"/>
        </w:rPr>
      </w:pPr>
      <w:r>
        <w:rPr>
          <w:spacing w:val="-3"/>
          <w:sz w:val="21"/>
          <w:szCs w:val="21"/>
        </w:rPr>
        <w:t>⑤施工配合：从工程项目施工阶段开始至工程竣工验收（如本项目包含施</w:t>
      </w:r>
      <w:r>
        <w:rPr>
          <w:spacing w:val="-4"/>
          <w:sz w:val="21"/>
          <w:szCs w:val="21"/>
        </w:rPr>
        <w:t>工图设计）。</w:t>
      </w:r>
    </w:p>
    <w:p>
      <w:pPr>
        <w:pStyle w:val="11"/>
        <w:spacing w:before="90" w:line="221" w:lineRule="auto"/>
        <w:ind w:left="446"/>
        <w:rPr>
          <w:sz w:val="21"/>
          <w:szCs w:val="21"/>
        </w:rPr>
      </w:pPr>
      <w:r>
        <w:rPr>
          <w:b/>
          <w:bCs/>
          <w:spacing w:val="-3"/>
          <w:sz w:val="21"/>
          <w:szCs w:val="21"/>
        </w:rPr>
        <w:t>二、工程设计范围、阶段与服务内容</w:t>
      </w:r>
    </w:p>
    <w:p>
      <w:pPr>
        <w:pStyle w:val="11"/>
        <w:spacing w:before="68" w:line="221" w:lineRule="auto"/>
        <w:ind w:left="455"/>
        <w:rPr>
          <w:sz w:val="21"/>
          <w:szCs w:val="21"/>
        </w:rPr>
      </w:pPr>
      <w:r>
        <w:rPr>
          <w:spacing w:val="-3"/>
          <w:sz w:val="21"/>
          <w:szCs w:val="21"/>
        </w:rPr>
        <w:t>1.工程设计范围：</w:t>
      </w:r>
      <w:r>
        <w:rPr>
          <w:spacing w:val="1"/>
          <w:sz w:val="21"/>
          <w:szCs w:val="21"/>
          <w:u w:val="single" w:color="auto"/>
        </w:rPr>
        <w:t xml:space="preserve">                       </w:t>
      </w:r>
      <w:r>
        <w:rPr>
          <w:spacing w:val="-3"/>
          <w:sz w:val="21"/>
          <w:szCs w:val="21"/>
          <w:u w:val="single" w:color="auto"/>
        </w:rPr>
        <w:t>。</w:t>
      </w:r>
    </w:p>
    <w:p>
      <w:pPr>
        <w:pStyle w:val="11"/>
        <w:spacing w:before="190" w:line="221" w:lineRule="auto"/>
        <w:ind w:left="442"/>
        <w:rPr>
          <w:spacing w:val="-3"/>
          <w:sz w:val="21"/>
          <w:szCs w:val="21"/>
          <w:u w:val="single" w:color="auto"/>
        </w:rPr>
      </w:pPr>
      <w:r>
        <w:rPr>
          <w:spacing w:val="-3"/>
          <w:sz w:val="21"/>
          <w:szCs w:val="21"/>
        </w:rPr>
        <w:t>2.工程设计服务阶段：</w:t>
      </w:r>
      <w:r>
        <w:rPr>
          <w:spacing w:val="-3"/>
          <w:sz w:val="21"/>
          <w:szCs w:val="21"/>
          <w:u w:val="single" w:color="auto"/>
        </w:rPr>
        <w:t xml:space="preserve"> 方案设计、初步设计（含概算）、施工图设计（含预算）</w:t>
      </w:r>
      <w:r>
        <w:rPr>
          <w:spacing w:val="30"/>
          <w:sz w:val="21"/>
          <w:szCs w:val="21"/>
          <w:u w:val="single" w:color="auto"/>
        </w:rPr>
        <w:t xml:space="preserve"> </w:t>
      </w:r>
      <w:r>
        <w:rPr>
          <w:spacing w:val="-3"/>
          <w:sz w:val="21"/>
          <w:szCs w:val="21"/>
          <w:u w:val="single" w:color="auto"/>
        </w:rPr>
        <w:t>。</w:t>
      </w:r>
    </w:p>
    <w:p>
      <w:pPr>
        <w:pStyle w:val="11"/>
        <w:keepNext w:val="0"/>
        <w:keepLines w:val="0"/>
        <w:pageBreakBefore w:val="0"/>
        <w:widowControl/>
        <w:kinsoku/>
        <w:wordWrap/>
        <w:overflowPunct/>
        <w:topLinePunct w:val="0"/>
        <w:autoSpaceDE/>
        <w:autoSpaceDN/>
        <w:bidi w:val="0"/>
        <w:adjustRightInd/>
        <w:snapToGrid/>
        <w:spacing w:before="0" w:line="221" w:lineRule="auto"/>
        <w:ind w:left="-266" w:right="-28" w:firstLine="0"/>
        <w:textAlignment w:val="auto"/>
        <w:rPr>
          <w:sz w:val="21"/>
          <w:szCs w:val="21"/>
        </w:rPr>
      </w:pPr>
      <w:r>
        <w:rPr>
          <w:spacing w:val="-3"/>
          <w:sz w:val="21"/>
          <w:szCs w:val="21"/>
        </w:rPr>
        <w:t>3.工程设计服务内容：</w:t>
      </w:r>
      <w:r>
        <w:rPr>
          <w:spacing w:val="-3"/>
          <w:sz w:val="21"/>
          <w:szCs w:val="21"/>
          <w:u w:val="single" w:color="auto"/>
        </w:rPr>
        <w:t>方案设计、初步设计（含概算）、施工图设计（含预算）以及施工</w:t>
      </w:r>
      <w:r>
        <w:rPr>
          <w:sz w:val="21"/>
          <w:szCs w:val="21"/>
          <w:u w:val="single" w:color="auto"/>
        </w:rPr>
        <w:t>全过程直至工程竣工验收合格的相关设计服务，以及各项报批配合、施工配合、验收配合</w:t>
      </w:r>
      <w:r>
        <w:rPr>
          <w:spacing w:val="-1"/>
          <w:sz w:val="21"/>
          <w:szCs w:val="21"/>
          <w:u w:val="single" w:color="auto"/>
        </w:rPr>
        <w:t>和工</w:t>
      </w:r>
      <w:r>
        <w:rPr>
          <w:sz w:val="21"/>
          <w:szCs w:val="21"/>
          <w:u w:val="single" w:color="auto"/>
        </w:rPr>
        <w:t>程期间的其他相关服务等一切与本工程有关的设计和服务等</w:t>
      </w:r>
      <w:r>
        <w:rPr>
          <w:spacing w:val="-1"/>
          <w:sz w:val="21"/>
          <w:szCs w:val="21"/>
          <w:u w:val="single" w:color="auto"/>
        </w:rPr>
        <w:t>工作。</w:t>
      </w:r>
    </w:p>
    <w:p>
      <w:pPr>
        <w:pStyle w:val="11"/>
        <w:spacing w:before="150" w:line="220" w:lineRule="auto"/>
        <w:ind w:left="442"/>
        <w:rPr>
          <w:sz w:val="21"/>
          <w:szCs w:val="21"/>
        </w:rPr>
      </w:pPr>
      <w:r>
        <w:rPr>
          <w:spacing w:val="-1"/>
          <w:sz w:val="21"/>
          <w:szCs w:val="21"/>
        </w:rPr>
        <w:t>工程设计范围、阶段与服务内容详见专用合同条款</w:t>
      </w:r>
      <w:r>
        <w:rPr>
          <w:spacing w:val="-2"/>
          <w:sz w:val="21"/>
          <w:szCs w:val="21"/>
        </w:rPr>
        <w:t>附件</w:t>
      </w:r>
      <w:r>
        <w:rPr>
          <w:spacing w:val="-28"/>
          <w:sz w:val="21"/>
          <w:szCs w:val="21"/>
        </w:rPr>
        <w:t xml:space="preserve"> </w:t>
      </w:r>
      <w:r>
        <w:rPr>
          <w:spacing w:val="-2"/>
          <w:sz w:val="21"/>
          <w:szCs w:val="21"/>
        </w:rPr>
        <w:t>1。</w:t>
      </w:r>
    </w:p>
    <w:p>
      <w:pPr>
        <w:pStyle w:val="11"/>
        <w:spacing w:before="69" w:line="221" w:lineRule="auto"/>
        <w:ind w:left="442"/>
        <w:rPr>
          <w:sz w:val="21"/>
          <w:szCs w:val="21"/>
        </w:rPr>
      </w:pPr>
      <w:r>
        <w:rPr>
          <w:b/>
          <w:bCs/>
          <w:spacing w:val="-3"/>
          <w:sz w:val="21"/>
          <w:szCs w:val="21"/>
        </w:rPr>
        <w:t>三、工程设计周期</w:t>
      </w:r>
    </w:p>
    <w:p>
      <w:pPr>
        <w:pStyle w:val="11"/>
        <w:spacing w:before="70" w:line="267" w:lineRule="auto"/>
        <w:ind w:left="-200" w:leftChars="0" w:right="3029" w:firstLine="13" w:firstLineChars="0"/>
        <w:rPr>
          <w:sz w:val="21"/>
          <w:szCs w:val="21"/>
        </w:rPr>
      </w:pPr>
      <w:r>
        <w:rPr>
          <w:spacing w:val="-6"/>
          <w:sz w:val="21"/>
          <w:szCs w:val="21"/>
        </w:rPr>
        <w:t>1.计划开始设计日期：</w:t>
      </w:r>
      <w:r>
        <w:rPr>
          <w:spacing w:val="1"/>
          <w:sz w:val="21"/>
          <w:szCs w:val="21"/>
          <w:u w:val="single" w:color="auto"/>
        </w:rPr>
        <w:t xml:space="preserve">          </w:t>
      </w:r>
      <w:r>
        <w:rPr>
          <w:spacing w:val="-96"/>
          <w:sz w:val="21"/>
          <w:szCs w:val="21"/>
        </w:rPr>
        <w:t xml:space="preserve"> </w:t>
      </w:r>
      <w:r>
        <w:rPr>
          <w:spacing w:val="-6"/>
          <w:sz w:val="21"/>
          <w:szCs w:val="21"/>
        </w:rPr>
        <w:t>年</w:t>
      </w:r>
      <w:r>
        <w:rPr>
          <w:spacing w:val="-6"/>
          <w:sz w:val="21"/>
          <w:szCs w:val="21"/>
          <w:u w:val="single" w:color="auto"/>
        </w:rPr>
        <w:t xml:space="preserve">      </w:t>
      </w:r>
      <w:r>
        <w:rPr>
          <w:spacing w:val="-91"/>
          <w:sz w:val="21"/>
          <w:szCs w:val="21"/>
        </w:rPr>
        <w:t xml:space="preserve"> </w:t>
      </w:r>
      <w:r>
        <w:rPr>
          <w:spacing w:val="-6"/>
          <w:sz w:val="21"/>
          <w:szCs w:val="21"/>
        </w:rPr>
        <w:t>月</w:t>
      </w:r>
      <w:r>
        <w:rPr>
          <w:spacing w:val="20"/>
          <w:sz w:val="21"/>
          <w:szCs w:val="21"/>
          <w:u w:val="single" w:color="auto"/>
        </w:rPr>
        <w:t xml:space="preserve">     </w:t>
      </w:r>
      <w:r>
        <w:rPr>
          <w:spacing w:val="-57"/>
          <w:sz w:val="21"/>
          <w:szCs w:val="21"/>
        </w:rPr>
        <w:t xml:space="preserve"> </w:t>
      </w:r>
      <w:r>
        <w:rPr>
          <w:spacing w:val="-6"/>
          <w:sz w:val="21"/>
          <w:szCs w:val="21"/>
        </w:rPr>
        <w:t>日。</w:t>
      </w:r>
      <w:r>
        <w:rPr>
          <w:sz w:val="21"/>
          <w:szCs w:val="21"/>
        </w:rPr>
        <w:t xml:space="preserve"> </w:t>
      </w:r>
    </w:p>
    <w:p>
      <w:pPr>
        <w:pStyle w:val="11"/>
        <w:spacing w:before="70" w:line="267" w:lineRule="auto"/>
        <w:ind w:left="-200" w:leftChars="0" w:right="3029" w:firstLine="13" w:firstLineChars="0"/>
        <w:rPr>
          <w:sz w:val="21"/>
          <w:szCs w:val="21"/>
        </w:rPr>
      </w:pPr>
      <w:r>
        <w:rPr>
          <w:spacing w:val="-5"/>
          <w:sz w:val="21"/>
          <w:szCs w:val="21"/>
        </w:rPr>
        <w:t>2.计划完成设计日期：</w:t>
      </w:r>
      <w:r>
        <w:rPr>
          <w:sz w:val="21"/>
          <w:szCs w:val="21"/>
          <w:u w:val="single" w:color="auto"/>
        </w:rPr>
        <w:t xml:space="preserve">          </w:t>
      </w:r>
      <w:r>
        <w:rPr>
          <w:spacing w:val="-94"/>
          <w:sz w:val="21"/>
          <w:szCs w:val="21"/>
        </w:rPr>
        <w:t xml:space="preserve"> </w:t>
      </w:r>
      <w:r>
        <w:rPr>
          <w:spacing w:val="-5"/>
          <w:sz w:val="21"/>
          <w:szCs w:val="21"/>
        </w:rPr>
        <w:t>年</w:t>
      </w:r>
      <w:r>
        <w:rPr>
          <w:spacing w:val="-5"/>
          <w:sz w:val="21"/>
          <w:szCs w:val="21"/>
          <w:u w:val="single" w:color="auto"/>
        </w:rPr>
        <w:t xml:space="preserve">      </w:t>
      </w:r>
      <w:r>
        <w:rPr>
          <w:spacing w:val="-91"/>
          <w:sz w:val="21"/>
          <w:szCs w:val="21"/>
        </w:rPr>
        <w:t xml:space="preserve"> </w:t>
      </w:r>
      <w:r>
        <w:rPr>
          <w:spacing w:val="-5"/>
          <w:sz w:val="21"/>
          <w:szCs w:val="21"/>
        </w:rPr>
        <w:t>月</w:t>
      </w:r>
      <w:r>
        <w:rPr>
          <w:spacing w:val="20"/>
          <w:sz w:val="21"/>
          <w:szCs w:val="21"/>
          <w:u w:val="single" w:color="auto"/>
        </w:rPr>
        <w:t xml:space="preserve">     </w:t>
      </w:r>
      <w:r>
        <w:rPr>
          <w:spacing w:val="-56"/>
          <w:sz w:val="21"/>
          <w:szCs w:val="21"/>
        </w:rPr>
        <w:t xml:space="preserve"> </w:t>
      </w:r>
      <w:r>
        <w:rPr>
          <w:spacing w:val="-5"/>
          <w:sz w:val="21"/>
          <w:szCs w:val="21"/>
        </w:rPr>
        <w:t>日。</w:t>
      </w:r>
    </w:p>
    <w:p>
      <w:pPr>
        <w:pStyle w:val="11"/>
        <w:spacing w:before="31" w:line="269" w:lineRule="auto"/>
        <w:ind w:left="0" w:leftChars="0" w:right="1560" w:firstLine="0" w:firstLineChars="0"/>
        <w:rPr>
          <w:sz w:val="21"/>
          <w:szCs w:val="21"/>
        </w:rPr>
      </w:pPr>
      <w:r>
        <w:rPr>
          <w:spacing w:val="-1"/>
          <w:sz w:val="21"/>
          <w:szCs w:val="21"/>
        </w:rPr>
        <w:t>3.实际日期按照发包人在《开始设计通知》中载明的开始设</w:t>
      </w:r>
      <w:r>
        <w:rPr>
          <w:spacing w:val="-2"/>
          <w:sz w:val="21"/>
          <w:szCs w:val="21"/>
        </w:rPr>
        <w:t>计日期为准。</w:t>
      </w:r>
      <w:r>
        <w:rPr>
          <w:sz w:val="21"/>
          <w:szCs w:val="21"/>
        </w:rPr>
        <w:t xml:space="preserve"> </w:t>
      </w:r>
      <w:r>
        <w:rPr>
          <w:spacing w:val="-1"/>
          <w:sz w:val="21"/>
          <w:szCs w:val="21"/>
        </w:rPr>
        <w:t>4.具体设计周期以专用合同条款及其附件的约定为准。</w:t>
      </w:r>
    </w:p>
    <w:p>
      <w:pPr>
        <w:pStyle w:val="11"/>
        <w:spacing w:before="29" w:line="219" w:lineRule="auto"/>
        <w:ind w:left="462"/>
        <w:rPr>
          <w:sz w:val="21"/>
          <w:szCs w:val="21"/>
        </w:rPr>
      </w:pPr>
      <w:r>
        <w:rPr>
          <w:b/>
          <w:bCs/>
          <w:spacing w:val="-4"/>
          <w:sz w:val="21"/>
          <w:szCs w:val="21"/>
        </w:rPr>
        <w:t>四、合同价格形式与签约合同价</w:t>
      </w:r>
    </w:p>
    <w:p>
      <w:pPr>
        <w:pStyle w:val="11"/>
        <w:spacing w:before="70" w:line="219" w:lineRule="auto"/>
        <w:ind w:left="455" w:leftChars="0" w:hanging="455" w:firstLineChars="0"/>
        <w:rPr>
          <w:sz w:val="21"/>
          <w:szCs w:val="21"/>
        </w:rPr>
      </w:pPr>
      <w:r>
        <w:rPr>
          <w:sz w:val="21"/>
          <w:szCs w:val="21"/>
        </w:rPr>
        <w:t>1.合同价格形式：</w:t>
      </w:r>
      <w:r>
        <w:rPr>
          <w:sz w:val="21"/>
          <w:szCs w:val="21"/>
          <w:u w:val="single" w:color="auto"/>
        </w:rPr>
        <w:t>下浮系数价格合同，下浮系数        %。</w:t>
      </w:r>
    </w:p>
    <w:p>
      <w:pPr>
        <w:pStyle w:val="11"/>
        <w:keepNext w:val="0"/>
        <w:keepLines w:val="0"/>
        <w:pageBreakBefore w:val="0"/>
        <w:widowControl/>
        <w:kinsoku/>
        <w:wordWrap/>
        <w:overflowPunct/>
        <w:topLinePunct w:val="0"/>
        <w:autoSpaceDE/>
        <w:autoSpaceDN/>
        <w:bidi w:val="0"/>
        <w:adjustRightInd/>
        <w:snapToGrid/>
        <w:spacing w:before="0" w:line="219" w:lineRule="auto"/>
        <w:ind w:left="0" w:right="0" w:firstLine="0"/>
        <w:textAlignment w:val="auto"/>
        <w:rPr>
          <w:spacing w:val="-2"/>
          <w:sz w:val="21"/>
          <w:szCs w:val="21"/>
        </w:rPr>
      </w:pPr>
      <w:r>
        <w:rPr>
          <w:spacing w:val="-2"/>
          <w:sz w:val="21"/>
          <w:szCs w:val="21"/>
        </w:rPr>
        <w:t>设计费=工程设计收费基准价×（1</w:t>
      </w:r>
      <w:r>
        <w:rPr>
          <w:rFonts w:hint="eastAsia"/>
          <w:spacing w:val="-2"/>
          <w:sz w:val="21"/>
          <w:szCs w:val="21"/>
          <w:lang w:val="en-US" w:eastAsia="zh-CN"/>
        </w:rPr>
        <w:t>-</w:t>
      </w:r>
      <w:r>
        <w:rPr>
          <w:spacing w:val="-2"/>
          <w:sz w:val="21"/>
          <w:szCs w:val="21"/>
        </w:rPr>
        <w:t>中标的下浮系数报价）【备注：本工程按《广西壮族自治区工程建设其他费用定额（桂建标[2018]37号)》、《工程勘察设计收费标准》（2002年修订版）标准，计算本工程设计收费基准价。其中工程专业调整系数取</w:t>
      </w:r>
      <w:r>
        <w:rPr>
          <w:rFonts w:hint="eastAsia"/>
          <w:spacing w:val="-2"/>
          <w:sz w:val="21"/>
          <w:szCs w:val="21"/>
          <w:lang w:val="en-US" w:eastAsia="zh-CN"/>
        </w:rPr>
        <w:t>1.0</w:t>
      </w:r>
      <w:r>
        <w:rPr>
          <w:spacing w:val="-2"/>
          <w:sz w:val="21"/>
          <w:szCs w:val="21"/>
        </w:rPr>
        <w:t>，工程复杂程度调整系数取</w:t>
      </w:r>
      <w:r>
        <w:rPr>
          <w:rFonts w:hint="eastAsia"/>
          <w:spacing w:val="-2"/>
          <w:sz w:val="21"/>
          <w:szCs w:val="21"/>
          <w:lang w:val="en-US" w:eastAsia="zh-CN"/>
        </w:rPr>
        <w:t>1.0</w:t>
      </w:r>
      <w:r>
        <w:rPr>
          <w:spacing w:val="-2"/>
          <w:sz w:val="21"/>
          <w:szCs w:val="21"/>
        </w:rPr>
        <w:t>，附加调整系数</w:t>
      </w:r>
      <w:r>
        <w:rPr>
          <w:rFonts w:hint="eastAsia"/>
          <w:spacing w:val="-2"/>
          <w:sz w:val="21"/>
          <w:szCs w:val="21"/>
          <w:lang w:val="en-US" w:eastAsia="zh-CN"/>
        </w:rPr>
        <w:t>1.0</w:t>
      </w:r>
      <w:r>
        <w:rPr>
          <w:spacing w:val="-2"/>
          <w:sz w:val="21"/>
          <w:szCs w:val="21"/>
        </w:rPr>
        <w:t>，施工图预算编制费按</w:t>
      </w:r>
      <w:r>
        <w:rPr>
          <w:rFonts w:hint="eastAsia"/>
          <w:spacing w:val="-2"/>
          <w:sz w:val="21"/>
          <w:szCs w:val="21"/>
          <w:lang w:val="en-US" w:eastAsia="zh-CN"/>
        </w:rPr>
        <w:t>5%</w:t>
      </w:r>
      <w:r>
        <w:rPr>
          <w:spacing w:val="-2"/>
          <w:sz w:val="21"/>
          <w:szCs w:val="21"/>
        </w:rPr>
        <w:t>收取，该费用已经包含方案设计、初步设计（投资概算）、施工图（含预算）、工程概算编制、规划技术审查费用的相关设计服务及按上述合同条件、技术规范以中标下浮系数承包本项目招标范围内的设计工作的所有 内容费用及相关服务。</w:t>
      </w:r>
    </w:p>
    <w:p>
      <w:pPr>
        <w:pStyle w:val="11"/>
        <w:keepNext w:val="0"/>
        <w:keepLines w:val="0"/>
        <w:pageBreakBefore w:val="0"/>
        <w:widowControl/>
        <w:kinsoku/>
        <w:wordWrap/>
        <w:overflowPunct/>
        <w:topLinePunct w:val="0"/>
        <w:autoSpaceDE/>
        <w:autoSpaceDN/>
        <w:bidi w:val="0"/>
        <w:adjustRightInd/>
        <w:snapToGrid/>
        <w:spacing w:before="0" w:line="219" w:lineRule="auto"/>
        <w:ind w:left="0" w:right="0" w:firstLine="0"/>
        <w:textAlignment w:val="auto"/>
        <w:rPr>
          <w:spacing w:val="-2"/>
          <w:sz w:val="21"/>
          <w:szCs w:val="21"/>
        </w:rPr>
      </w:pPr>
      <w:r>
        <w:rPr>
          <w:spacing w:val="-2"/>
          <w:sz w:val="21"/>
          <w:szCs w:val="21"/>
        </w:rPr>
        <w:t>2.本合同价暂定含增值税价为：</w:t>
      </w:r>
      <w:r>
        <w:rPr>
          <w:spacing w:val="-2"/>
          <w:sz w:val="21"/>
          <w:szCs w:val="21"/>
          <w:u w:val="single"/>
        </w:rPr>
        <w:t xml:space="preserve">人民币（大写）              (¥:         ), 其中增值税 为人民币（大写）                   (¥      )  </w:t>
      </w:r>
      <w:r>
        <w:rPr>
          <w:rFonts w:hint="eastAsia"/>
          <w:spacing w:val="-2"/>
          <w:sz w:val="21"/>
          <w:szCs w:val="21"/>
          <w:u w:val="single"/>
          <w:lang w:eastAsia="zh-CN"/>
        </w:rPr>
        <w:t>，</w:t>
      </w:r>
      <w:r>
        <w:rPr>
          <w:spacing w:val="-2"/>
          <w:sz w:val="21"/>
          <w:szCs w:val="21"/>
          <w:u w:val="single"/>
        </w:rPr>
        <w:t>税率       % 。</w:t>
      </w:r>
    </w:p>
    <w:p>
      <w:pPr>
        <w:pStyle w:val="11"/>
        <w:spacing w:before="33" w:line="221" w:lineRule="auto"/>
        <w:ind w:left="446"/>
        <w:rPr>
          <w:sz w:val="21"/>
          <w:szCs w:val="21"/>
        </w:rPr>
      </w:pPr>
      <w:r>
        <w:rPr>
          <w:b/>
          <w:bCs/>
          <w:spacing w:val="-3"/>
          <w:sz w:val="21"/>
          <w:szCs w:val="21"/>
        </w:rPr>
        <w:t>五、发包人代表与设计人项目负责人</w:t>
      </w:r>
    </w:p>
    <w:p>
      <w:pPr>
        <w:pStyle w:val="11"/>
        <w:spacing w:before="70" w:line="221" w:lineRule="auto"/>
        <w:ind w:left="455"/>
        <w:rPr>
          <w:sz w:val="21"/>
          <w:szCs w:val="21"/>
        </w:rPr>
      </w:pPr>
      <w:r>
        <w:rPr>
          <w:spacing w:val="-3"/>
          <w:sz w:val="21"/>
          <w:szCs w:val="21"/>
        </w:rPr>
        <w:t>1. 发包人代表：</w:t>
      </w:r>
      <w:r>
        <w:rPr>
          <w:spacing w:val="4"/>
          <w:sz w:val="21"/>
          <w:szCs w:val="21"/>
          <w:u w:val="single" w:color="auto"/>
        </w:rPr>
        <w:t xml:space="preserve">                         </w:t>
      </w:r>
      <w:r>
        <w:rPr>
          <w:spacing w:val="3"/>
          <w:sz w:val="21"/>
          <w:szCs w:val="21"/>
          <w:u w:val="single" w:color="auto"/>
        </w:rPr>
        <w:t xml:space="preserve">    </w:t>
      </w:r>
      <w:r>
        <w:rPr>
          <w:spacing w:val="-3"/>
          <w:sz w:val="21"/>
          <w:szCs w:val="21"/>
        </w:rPr>
        <w:t xml:space="preserve"> 。</w:t>
      </w:r>
    </w:p>
    <w:p>
      <w:pPr>
        <w:pStyle w:val="11"/>
        <w:spacing w:before="67" w:line="221" w:lineRule="auto"/>
        <w:ind w:left="442"/>
        <w:rPr>
          <w:sz w:val="21"/>
          <w:szCs w:val="21"/>
        </w:rPr>
      </w:pPr>
      <w:r>
        <w:rPr>
          <w:sz w:val="21"/>
          <w:szCs w:val="21"/>
        </w:rPr>
        <w:t>2. 设计项目负责人：</w:t>
      </w:r>
      <w:r>
        <w:rPr>
          <w:sz w:val="21"/>
          <w:szCs w:val="21"/>
          <w:u w:val="single" w:color="auto"/>
        </w:rPr>
        <w:t xml:space="preserve">                      </w:t>
      </w:r>
      <w:r>
        <w:rPr>
          <w:spacing w:val="-1"/>
          <w:sz w:val="21"/>
          <w:szCs w:val="21"/>
          <w:u w:val="single" w:color="auto"/>
        </w:rPr>
        <w:t xml:space="preserve">         </w:t>
      </w:r>
      <w:r>
        <w:rPr>
          <w:spacing w:val="-1"/>
          <w:sz w:val="21"/>
          <w:szCs w:val="21"/>
        </w:rPr>
        <w:t>。</w:t>
      </w:r>
    </w:p>
    <w:p>
      <w:pPr>
        <w:pStyle w:val="11"/>
        <w:spacing w:before="68" w:line="221" w:lineRule="auto"/>
        <w:ind w:left="444"/>
        <w:rPr>
          <w:sz w:val="21"/>
          <w:szCs w:val="21"/>
        </w:rPr>
      </w:pPr>
      <w:r>
        <w:rPr>
          <w:b/>
          <w:bCs/>
          <w:spacing w:val="-3"/>
          <w:sz w:val="21"/>
          <w:szCs w:val="21"/>
        </w:rPr>
        <w:t>六、合同文件构成</w:t>
      </w:r>
    </w:p>
    <w:p>
      <w:pPr>
        <w:pStyle w:val="11"/>
        <w:spacing w:before="71" w:line="220" w:lineRule="auto"/>
        <w:ind w:left="455"/>
        <w:rPr>
          <w:sz w:val="21"/>
          <w:szCs w:val="21"/>
        </w:rPr>
      </w:pPr>
      <w:r>
        <w:rPr>
          <w:spacing w:val="-1"/>
          <w:sz w:val="21"/>
          <w:szCs w:val="21"/>
        </w:rPr>
        <w:t>1. 本协议书与下列文件一起构成合同文件：</w:t>
      </w:r>
    </w:p>
    <w:p>
      <w:pPr>
        <w:pStyle w:val="11"/>
        <w:spacing w:before="68" w:line="221" w:lineRule="auto"/>
        <w:ind w:left="446"/>
        <w:rPr>
          <w:sz w:val="21"/>
          <w:szCs w:val="21"/>
        </w:rPr>
      </w:pPr>
      <w:r>
        <w:rPr>
          <w:spacing w:val="-2"/>
          <w:sz w:val="21"/>
          <w:szCs w:val="21"/>
        </w:rPr>
        <w:t>（1）专用合同条款；</w:t>
      </w:r>
    </w:p>
    <w:p>
      <w:pPr>
        <w:pStyle w:val="11"/>
        <w:spacing w:before="68" w:line="221" w:lineRule="auto"/>
        <w:ind w:left="446"/>
        <w:rPr>
          <w:sz w:val="21"/>
          <w:szCs w:val="21"/>
        </w:rPr>
      </w:pPr>
      <w:r>
        <w:rPr>
          <w:spacing w:val="-4"/>
          <w:sz w:val="21"/>
          <w:szCs w:val="21"/>
        </w:rPr>
        <w:t>（2）通用合同条款；</w:t>
      </w:r>
    </w:p>
    <w:p>
      <w:pPr>
        <w:pStyle w:val="11"/>
        <w:spacing w:before="70" w:line="221" w:lineRule="auto"/>
        <w:ind w:left="446"/>
        <w:rPr>
          <w:sz w:val="21"/>
          <w:szCs w:val="21"/>
        </w:rPr>
      </w:pPr>
      <w:r>
        <w:rPr>
          <w:spacing w:val="-1"/>
          <w:sz w:val="21"/>
          <w:szCs w:val="21"/>
        </w:rPr>
        <w:t>（3）工程设计范围、阶段与服务内容；</w:t>
      </w:r>
    </w:p>
    <w:p>
      <w:pPr>
        <w:pStyle w:val="11"/>
        <w:spacing w:before="68" w:line="221" w:lineRule="auto"/>
        <w:ind w:left="446"/>
        <w:rPr>
          <w:sz w:val="21"/>
          <w:szCs w:val="21"/>
        </w:rPr>
      </w:pPr>
      <w:r>
        <w:rPr>
          <w:spacing w:val="-1"/>
          <w:sz w:val="21"/>
          <w:szCs w:val="21"/>
        </w:rPr>
        <w:t>（4）发包人向设计人提交的有关资料及文件一览表</w:t>
      </w:r>
    </w:p>
    <w:p>
      <w:pPr>
        <w:pStyle w:val="11"/>
        <w:spacing w:before="68" w:line="221" w:lineRule="auto"/>
        <w:ind w:left="446"/>
        <w:rPr>
          <w:sz w:val="21"/>
          <w:szCs w:val="21"/>
        </w:rPr>
      </w:pPr>
      <w:r>
        <w:rPr>
          <w:spacing w:val="-1"/>
          <w:sz w:val="21"/>
          <w:szCs w:val="21"/>
        </w:rPr>
        <w:t>（5）设计人向发包人交付的工程设计文件目录</w:t>
      </w:r>
    </w:p>
    <w:p>
      <w:pPr>
        <w:pStyle w:val="11"/>
        <w:spacing w:before="71" w:line="222" w:lineRule="auto"/>
        <w:ind w:left="446"/>
        <w:rPr>
          <w:sz w:val="21"/>
          <w:szCs w:val="21"/>
        </w:rPr>
      </w:pPr>
      <w:r>
        <w:rPr>
          <w:spacing w:val="-1"/>
          <w:sz w:val="21"/>
          <w:szCs w:val="21"/>
        </w:rPr>
        <w:t>（6）设计人主要设计人员表</w:t>
      </w:r>
    </w:p>
    <w:p>
      <w:pPr>
        <w:pStyle w:val="11"/>
        <w:spacing w:before="67" w:line="221" w:lineRule="auto"/>
        <w:ind w:left="446"/>
        <w:rPr>
          <w:sz w:val="21"/>
          <w:szCs w:val="21"/>
        </w:rPr>
      </w:pPr>
      <w:r>
        <w:rPr>
          <w:spacing w:val="-1"/>
          <w:sz w:val="21"/>
          <w:szCs w:val="21"/>
        </w:rPr>
        <w:t>（</w:t>
      </w:r>
      <w:r>
        <w:rPr>
          <w:rFonts w:hint="eastAsia"/>
          <w:spacing w:val="-1"/>
          <w:sz w:val="21"/>
          <w:szCs w:val="21"/>
          <w:lang w:val="en-US" w:eastAsia="zh-CN"/>
        </w:rPr>
        <w:t>7</w:t>
      </w:r>
      <w:r>
        <w:rPr>
          <w:spacing w:val="-1"/>
          <w:sz w:val="21"/>
          <w:szCs w:val="21"/>
        </w:rPr>
        <w:t>）设计费明细及支付方式</w:t>
      </w:r>
    </w:p>
    <w:p>
      <w:pPr>
        <w:pStyle w:val="11"/>
        <w:spacing w:before="70" w:line="220" w:lineRule="auto"/>
        <w:ind w:left="446"/>
        <w:rPr>
          <w:sz w:val="21"/>
          <w:szCs w:val="21"/>
        </w:rPr>
      </w:pPr>
      <w:r>
        <w:rPr>
          <w:spacing w:val="-2"/>
          <w:sz w:val="21"/>
          <w:szCs w:val="21"/>
        </w:rPr>
        <w:t>（</w:t>
      </w:r>
      <w:r>
        <w:rPr>
          <w:rFonts w:hint="eastAsia"/>
          <w:spacing w:val="-2"/>
          <w:sz w:val="21"/>
          <w:szCs w:val="21"/>
          <w:lang w:val="en-US" w:eastAsia="zh-CN"/>
        </w:rPr>
        <w:t>8</w:t>
      </w:r>
      <w:r>
        <w:rPr>
          <w:spacing w:val="-2"/>
          <w:sz w:val="21"/>
          <w:szCs w:val="21"/>
        </w:rPr>
        <w:t>）设计变更计费依据和方法</w:t>
      </w:r>
    </w:p>
    <w:p>
      <w:pPr>
        <w:pStyle w:val="11"/>
        <w:spacing w:before="70" w:line="220" w:lineRule="auto"/>
        <w:ind w:left="446"/>
        <w:rPr>
          <w:sz w:val="21"/>
          <w:szCs w:val="21"/>
        </w:rPr>
      </w:pPr>
      <w:r>
        <w:rPr>
          <w:spacing w:val="-2"/>
          <w:sz w:val="21"/>
          <w:szCs w:val="21"/>
        </w:rPr>
        <w:t>（</w:t>
      </w:r>
      <w:r>
        <w:rPr>
          <w:rFonts w:hint="eastAsia"/>
          <w:spacing w:val="-2"/>
          <w:sz w:val="21"/>
          <w:szCs w:val="21"/>
          <w:lang w:val="en-US" w:eastAsia="zh-CN"/>
        </w:rPr>
        <w:t>9</w:t>
      </w:r>
      <w:r>
        <w:rPr>
          <w:spacing w:val="-2"/>
          <w:sz w:val="21"/>
          <w:szCs w:val="21"/>
        </w:rPr>
        <w:t>）中</w:t>
      </w:r>
      <w:r>
        <w:rPr>
          <w:rFonts w:hint="eastAsia"/>
          <w:spacing w:val="-2"/>
          <w:sz w:val="21"/>
          <w:szCs w:val="21"/>
          <w:lang w:val="en-US" w:eastAsia="zh-CN"/>
        </w:rPr>
        <w:t>选</w:t>
      </w:r>
      <w:r>
        <w:rPr>
          <w:spacing w:val="-2"/>
          <w:sz w:val="21"/>
          <w:szCs w:val="21"/>
        </w:rPr>
        <w:t>通知书</w:t>
      </w:r>
    </w:p>
    <w:p>
      <w:pPr>
        <w:pStyle w:val="11"/>
        <w:spacing w:before="68" w:line="220" w:lineRule="auto"/>
        <w:ind w:left="446"/>
        <w:rPr>
          <w:sz w:val="21"/>
          <w:szCs w:val="21"/>
        </w:rPr>
      </w:pPr>
      <w:r>
        <w:rPr>
          <w:spacing w:val="-2"/>
          <w:sz w:val="21"/>
          <w:szCs w:val="21"/>
        </w:rPr>
        <w:t>（1</w:t>
      </w:r>
      <w:r>
        <w:rPr>
          <w:rFonts w:hint="eastAsia"/>
          <w:spacing w:val="-2"/>
          <w:sz w:val="21"/>
          <w:szCs w:val="21"/>
          <w:lang w:val="en-US" w:eastAsia="zh-CN"/>
        </w:rPr>
        <w:t>0</w:t>
      </w:r>
      <w:r>
        <w:rPr>
          <w:spacing w:val="-2"/>
          <w:sz w:val="21"/>
          <w:szCs w:val="21"/>
        </w:rPr>
        <w:t>）投标函及附录</w:t>
      </w:r>
    </w:p>
    <w:p>
      <w:pPr>
        <w:pStyle w:val="11"/>
        <w:spacing w:before="68" w:line="220" w:lineRule="auto"/>
        <w:ind w:left="446"/>
        <w:rPr>
          <w:sz w:val="21"/>
          <w:szCs w:val="21"/>
        </w:rPr>
      </w:pPr>
      <w:r>
        <w:rPr>
          <w:spacing w:val="-1"/>
          <w:sz w:val="21"/>
          <w:szCs w:val="21"/>
        </w:rPr>
        <w:t>（</w:t>
      </w:r>
      <w:r>
        <w:rPr>
          <w:rFonts w:hint="eastAsia"/>
          <w:spacing w:val="-1"/>
          <w:sz w:val="21"/>
          <w:szCs w:val="21"/>
          <w:lang w:val="en-US" w:eastAsia="zh-CN"/>
        </w:rPr>
        <w:t>11</w:t>
      </w:r>
      <w:r>
        <w:rPr>
          <w:spacing w:val="-1"/>
          <w:sz w:val="21"/>
          <w:szCs w:val="21"/>
        </w:rPr>
        <w:t>）相关资质证明（营业执照、资质证书）</w:t>
      </w:r>
    </w:p>
    <w:p>
      <w:pPr>
        <w:pStyle w:val="11"/>
        <w:spacing w:before="68" w:line="221" w:lineRule="auto"/>
        <w:ind w:left="446"/>
        <w:rPr>
          <w:sz w:val="21"/>
          <w:szCs w:val="21"/>
        </w:rPr>
      </w:pPr>
      <w:r>
        <w:rPr>
          <w:spacing w:val="-1"/>
          <w:sz w:val="21"/>
          <w:szCs w:val="21"/>
        </w:rPr>
        <w:t>（</w:t>
      </w:r>
      <w:r>
        <w:rPr>
          <w:rFonts w:hint="eastAsia"/>
          <w:spacing w:val="-1"/>
          <w:sz w:val="21"/>
          <w:szCs w:val="21"/>
          <w:lang w:val="en-US" w:eastAsia="zh-CN"/>
        </w:rPr>
        <w:t>12</w:t>
      </w:r>
      <w:r>
        <w:rPr>
          <w:spacing w:val="-1"/>
          <w:sz w:val="21"/>
          <w:szCs w:val="21"/>
        </w:rPr>
        <w:t>）其他合同文件。</w:t>
      </w:r>
    </w:p>
    <w:p>
      <w:pPr>
        <w:pStyle w:val="11"/>
        <w:spacing w:before="71" w:line="267" w:lineRule="auto"/>
        <w:ind w:left="37" w:right="67" w:firstLine="405"/>
        <w:rPr>
          <w:sz w:val="21"/>
          <w:szCs w:val="21"/>
        </w:rPr>
      </w:pPr>
      <w:r>
        <w:rPr>
          <w:sz w:val="21"/>
          <w:szCs w:val="21"/>
        </w:rPr>
        <w:t>2.上述合同文件互相补充和解释。如果合同文件之间存在矛盾或不一致之处，</w:t>
      </w:r>
      <w:r>
        <w:rPr>
          <w:spacing w:val="-1"/>
          <w:sz w:val="21"/>
          <w:szCs w:val="21"/>
        </w:rPr>
        <w:t>以上述文件</w:t>
      </w:r>
      <w:r>
        <w:rPr>
          <w:sz w:val="21"/>
          <w:szCs w:val="21"/>
        </w:rPr>
        <w:t xml:space="preserve"> </w:t>
      </w:r>
      <w:r>
        <w:rPr>
          <w:spacing w:val="-4"/>
          <w:sz w:val="21"/>
          <w:szCs w:val="21"/>
        </w:rPr>
        <w:t>的排列顺序在先者为准。</w:t>
      </w:r>
    </w:p>
    <w:p>
      <w:pPr>
        <w:pStyle w:val="11"/>
        <w:spacing w:before="31" w:line="269" w:lineRule="auto"/>
        <w:ind w:left="22" w:right="67" w:firstLine="421"/>
        <w:rPr>
          <w:sz w:val="21"/>
          <w:szCs w:val="21"/>
        </w:rPr>
      </w:pPr>
      <w:r>
        <w:rPr>
          <w:sz w:val="21"/>
          <w:szCs w:val="21"/>
        </w:rPr>
        <w:t>3.上述各项合同文件包括合同当事人就该项合同文件所作出的补充和修改</w:t>
      </w:r>
      <w:r>
        <w:rPr>
          <w:spacing w:val="-1"/>
          <w:sz w:val="21"/>
          <w:szCs w:val="21"/>
        </w:rPr>
        <w:t>，属于同一类内</w:t>
      </w:r>
      <w:r>
        <w:rPr>
          <w:sz w:val="21"/>
          <w:szCs w:val="21"/>
        </w:rPr>
        <w:t xml:space="preserve"> </w:t>
      </w:r>
      <w:r>
        <w:rPr>
          <w:spacing w:val="-1"/>
          <w:sz w:val="21"/>
          <w:szCs w:val="21"/>
        </w:rPr>
        <w:t>容的文件，应以最新签署的为准。</w:t>
      </w:r>
    </w:p>
    <w:p>
      <w:pPr>
        <w:pStyle w:val="11"/>
        <w:spacing w:before="29" w:line="221" w:lineRule="auto"/>
        <w:ind w:left="441"/>
        <w:rPr>
          <w:sz w:val="21"/>
          <w:szCs w:val="21"/>
        </w:rPr>
      </w:pPr>
      <w:r>
        <w:rPr>
          <w:b/>
          <w:bCs/>
          <w:spacing w:val="-2"/>
          <w:sz w:val="21"/>
          <w:szCs w:val="21"/>
        </w:rPr>
        <w:t>七、质量标准和要求</w:t>
      </w:r>
    </w:p>
    <w:p>
      <w:pPr>
        <w:pStyle w:val="11"/>
        <w:spacing w:before="69" w:line="269" w:lineRule="auto"/>
        <w:ind w:left="22" w:right="67" w:firstLine="421"/>
        <w:rPr>
          <w:sz w:val="21"/>
          <w:szCs w:val="21"/>
        </w:rPr>
      </w:pPr>
      <w:r>
        <w:rPr>
          <w:sz w:val="21"/>
          <w:szCs w:val="21"/>
        </w:rPr>
        <w:t>设计工作质量符合的标准和要求：</w:t>
      </w:r>
      <w:r>
        <w:rPr>
          <w:sz w:val="21"/>
          <w:szCs w:val="21"/>
          <w:u w:val="single" w:color="auto"/>
        </w:rPr>
        <w:t>符合国家规定的工程技术质量标准、设计</w:t>
      </w:r>
      <w:r>
        <w:rPr>
          <w:spacing w:val="-1"/>
          <w:sz w:val="21"/>
          <w:szCs w:val="21"/>
          <w:u w:val="single" w:color="auto"/>
        </w:rPr>
        <w:t>深度标准、技</w:t>
      </w:r>
      <w:r>
        <w:rPr>
          <w:sz w:val="21"/>
          <w:szCs w:val="21"/>
        </w:rPr>
        <w:t xml:space="preserve"> </w:t>
      </w:r>
      <w:r>
        <w:rPr>
          <w:sz w:val="21"/>
          <w:szCs w:val="21"/>
          <w:u w:val="single" w:color="auto"/>
        </w:rPr>
        <w:t>术规范及规程要求，并通过有关行政主管部门审</w:t>
      </w:r>
      <w:r>
        <w:rPr>
          <w:spacing w:val="-1"/>
          <w:sz w:val="21"/>
          <w:szCs w:val="21"/>
          <w:u w:val="single" w:color="auto"/>
        </w:rPr>
        <w:t>批或备案</w:t>
      </w:r>
      <w:r>
        <w:rPr>
          <w:spacing w:val="-1"/>
          <w:sz w:val="21"/>
          <w:szCs w:val="21"/>
        </w:rPr>
        <w:t>。</w:t>
      </w:r>
    </w:p>
    <w:p>
      <w:pPr>
        <w:pStyle w:val="11"/>
        <w:spacing w:before="28" w:line="221" w:lineRule="auto"/>
        <w:ind w:left="446"/>
        <w:rPr>
          <w:sz w:val="21"/>
          <w:szCs w:val="21"/>
        </w:rPr>
      </w:pPr>
      <w:r>
        <w:rPr>
          <w:b/>
          <w:bCs/>
          <w:spacing w:val="-4"/>
          <w:sz w:val="21"/>
          <w:szCs w:val="21"/>
        </w:rPr>
        <w:t>八、承诺</w:t>
      </w:r>
    </w:p>
    <w:p>
      <w:pPr>
        <w:pStyle w:val="11"/>
        <w:spacing w:before="67" w:line="269" w:lineRule="auto"/>
        <w:ind w:left="25" w:right="67" w:firstLine="430"/>
        <w:rPr>
          <w:spacing w:val="-1"/>
          <w:sz w:val="21"/>
          <w:szCs w:val="21"/>
        </w:rPr>
      </w:pPr>
      <w:r>
        <w:rPr>
          <w:sz w:val="21"/>
          <w:szCs w:val="21"/>
        </w:rPr>
        <w:t>1.发包人承诺按照法律规定履行项目审批手续，</w:t>
      </w:r>
      <w:r>
        <w:rPr>
          <w:spacing w:val="-1"/>
          <w:sz w:val="21"/>
          <w:szCs w:val="21"/>
        </w:rPr>
        <w:t>按照合同约定提供设计依据，并按合同约</w:t>
      </w:r>
      <w:r>
        <w:rPr>
          <w:sz w:val="21"/>
          <w:szCs w:val="21"/>
        </w:rPr>
        <w:t xml:space="preserve"> </w:t>
      </w:r>
      <w:r>
        <w:rPr>
          <w:spacing w:val="-1"/>
          <w:sz w:val="21"/>
          <w:szCs w:val="21"/>
        </w:rPr>
        <w:t>定的条件、期限和方式支付合同价款。</w:t>
      </w:r>
    </w:p>
    <w:p>
      <w:pPr>
        <w:pStyle w:val="11"/>
        <w:spacing w:before="67" w:line="269" w:lineRule="auto"/>
        <w:ind w:left="25" w:right="67" w:firstLine="430"/>
        <w:rPr>
          <w:sz w:val="21"/>
          <w:szCs w:val="21"/>
        </w:rPr>
      </w:pPr>
      <w:r>
        <w:rPr>
          <w:spacing w:val="-1"/>
          <w:sz w:val="21"/>
          <w:szCs w:val="21"/>
        </w:rPr>
        <w:t>2.设计人承诺按照法律和技术标准规定及合同约定提供工程设计服务。</w:t>
      </w:r>
    </w:p>
    <w:p>
      <w:pPr>
        <w:pStyle w:val="11"/>
        <w:spacing w:before="69" w:line="221" w:lineRule="auto"/>
        <w:ind w:left="447"/>
        <w:rPr>
          <w:sz w:val="21"/>
          <w:szCs w:val="21"/>
        </w:rPr>
      </w:pPr>
      <w:r>
        <w:rPr>
          <w:b/>
          <w:bCs/>
          <w:spacing w:val="-4"/>
          <w:sz w:val="21"/>
          <w:szCs w:val="21"/>
        </w:rPr>
        <w:t>九、词语含义</w:t>
      </w:r>
    </w:p>
    <w:p>
      <w:pPr>
        <w:pStyle w:val="11"/>
        <w:spacing w:before="71" w:line="220" w:lineRule="auto"/>
        <w:ind w:left="441"/>
        <w:rPr>
          <w:sz w:val="21"/>
          <w:szCs w:val="21"/>
        </w:rPr>
      </w:pPr>
      <w:r>
        <w:rPr>
          <w:spacing w:val="-1"/>
          <w:sz w:val="21"/>
          <w:szCs w:val="21"/>
        </w:rPr>
        <w:t>本协议书中词语含义与第二部分通用合同条款中赋予的含义相同。</w:t>
      </w:r>
    </w:p>
    <w:p>
      <w:pPr>
        <w:pStyle w:val="11"/>
        <w:spacing w:before="69" w:line="222" w:lineRule="auto"/>
        <w:ind w:left="443"/>
        <w:rPr>
          <w:sz w:val="21"/>
          <w:szCs w:val="21"/>
        </w:rPr>
      </w:pPr>
      <w:r>
        <w:rPr>
          <w:b/>
          <w:bCs/>
          <w:spacing w:val="-3"/>
          <w:sz w:val="21"/>
          <w:szCs w:val="21"/>
        </w:rPr>
        <w:t>十、签订地点</w:t>
      </w:r>
    </w:p>
    <w:p>
      <w:pPr>
        <w:pStyle w:val="11"/>
        <w:spacing w:before="66" w:line="220" w:lineRule="auto"/>
        <w:ind w:left="441"/>
        <w:rPr>
          <w:sz w:val="21"/>
          <w:szCs w:val="21"/>
        </w:rPr>
      </w:pPr>
      <w:r>
        <w:rPr>
          <w:spacing w:val="-2"/>
          <w:sz w:val="21"/>
          <w:szCs w:val="21"/>
        </w:rPr>
        <w:t>本合同在</w:t>
      </w:r>
      <w:r>
        <w:rPr>
          <w:spacing w:val="-2"/>
          <w:sz w:val="21"/>
          <w:szCs w:val="21"/>
          <w:u w:val="single" w:color="auto"/>
        </w:rPr>
        <w:t xml:space="preserve">   广西南宁市</w:t>
      </w:r>
      <w:r>
        <w:rPr>
          <w:spacing w:val="6"/>
          <w:sz w:val="21"/>
          <w:szCs w:val="21"/>
          <w:u w:val="single" w:color="auto"/>
        </w:rPr>
        <w:t xml:space="preserve">    </w:t>
      </w:r>
      <w:r>
        <w:rPr>
          <w:spacing w:val="-2"/>
          <w:sz w:val="21"/>
          <w:szCs w:val="21"/>
          <w:u w:val="single" w:color="auto"/>
        </w:rPr>
        <w:t xml:space="preserve">区 </w:t>
      </w:r>
      <w:r>
        <w:rPr>
          <w:spacing w:val="-2"/>
          <w:sz w:val="21"/>
          <w:szCs w:val="21"/>
        </w:rPr>
        <w:t>签订。</w:t>
      </w:r>
    </w:p>
    <w:p>
      <w:pPr>
        <w:pStyle w:val="11"/>
        <w:spacing w:before="72" w:line="221" w:lineRule="auto"/>
        <w:ind w:left="443"/>
        <w:rPr>
          <w:sz w:val="21"/>
          <w:szCs w:val="21"/>
        </w:rPr>
      </w:pPr>
      <w:r>
        <w:rPr>
          <w:b/>
          <w:bCs/>
          <w:spacing w:val="-4"/>
          <w:sz w:val="21"/>
          <w:szCs w:val="21"/>
        </w:rPr>
        <w:t>十一、补充协议</w:t>
      </w:r>
    </w:p>
    <w:p>
      <w:pPr>
        <w:pStyle w:val="11"/>
        <w:spacing w:before="68" w:line="221" w:lineRule="auto"/>
        <w:ind w:left="441"/>
        <w:rPr>
          <w:rFonts w:ascii="Arial"/>
          <w:sz w:val="21"/>
        </w:rPr>
      </w:pPr>
      <w:r>
        <w:rPr>
          <w:sz w:val="21"/>
          <w:szCs w:val="21"/>
        </w:rPr>
        <w:t>合同未尽事宜，合同当事人另行签订补充协议，补充协议是合同的组</w:t>
      </w:r>
      <w:r>
        <w:rPr>
          <w:spacing w:val="-1"/>
          <w:sz w:val="21"/>
          <w:szCs w:val="21"/>
        </w:rPr>
        <w:t>成部分。</w:t>
      </w:r>
    </w:p>
    <w:p>
      <w:pPr>
        <w:pStyle w:val="11"/>
        <w:spacing w:before="68" w:line="221" w:lineRule="auto"/>
        <w:ind w:left="441"/>
        <w:rPr>
          <w:sz w:val="21"/>
          <w:szCs w:val="21"/>
        </w:rPr>
      </w:pPr>
      <w:r>
        <w:rPr>
          <w:b/>
          <w:bCs/>
          <w:spacing w:val="-3"/>
          <w:sz w:val="21"/>
          <w:szCs w:val="21"/>
        </w:rPr>
        <w:t>十二、合同生效</w:t>
      </w:r>
    </w:p>
    <w:p>
      <w:pPr>
        <w:pStyle w:val="11"/>
        <w:spacing w:before="108" w:line="269" w:lineRule="auto"/>
        <w:ind w:left="94" w:firstLine="409"/>
        <w:rPr>
          <w:sz w:val="21"/>
          <w:szCs w:val="21"/>
        </w:rPr>
      </w:pPr>
      <w:r>
        <w:rPr>
          <w:spacing w:val="-6"/>
          <w:sz w:val="21"/>
          <w:szCs w:val="21"/>
        </w:rPr>
        <w:t>本合同自</w:t>
      </w:r>
      <w:r>
        <w:rPr>
          <w:rFonts w:hint="eastAsia"/>
          <w:spacing w:val="-6"/>
          <w:sz w:val="21"/>
          <w:szCs w:val="21"/>
          <w:u w:val="single" w:color="auto"/>
        </w:rPr>
        <w:t>经双方法定代表人或委托代理人签字（或盖章）并加盖双方公章（或合同专用章）之日起</w:t>
      </w:r>
      <w:r>
        <w:rPr>
          <w:spacing w:val="-6"/>
          <w:sz w:val="21"/>
          <w:szCs w:val="21"/>
        </w:rPr>
        <w:t>生效，如任何一方违约，守约方为维护权益向违约方追偿的一切</w:t>
      </w:r>
      <w:r>
        <w:rPr>
          <w:sz w:val="21"/>
          <w:szCs w:val="21"/>
        </w:rPr>
        <w:t xml:space="preserve"> </w:t>
      </w:r>
      <w:r>
        <w:rPr>
          <w:spacing w:val="-1"/>
          <w:sz w:val="21"/>
          <w:szCs w:val="21"/>
        </w:rPr>
        <w:t>费用，包括但不限于律师费、诉讼费、保全费、鉴定费、差旅费等由违约方负责。</w:t>
      </w:r>
    </w:p>
    <w:p>
      <w:pPr>
        <w:pStyle w:val="11"/>
        <w:spacing w:before="87" w:line="221" w:lineRule="auto"/>
        <w:ind w:left="443"/>
        <w:rPr>
          <w:sz w:val="21"/>
          <w:szCs w:val="21"/>
        </w:rPr>
      </w:pPr>
      <w:r>
        <w:rPr>
          <w:b/>
          <w:bCs/>
          <w:spacing w:val="-3"/>
          <w:sz w:val="21"/>
          <w:szCs w:val="21"/>
        </w:rPr>
        <w:t>十三、合同份数</w:t>
      </w:r>
    </w:p>
    <w:p>
      <w:pPr>
        <w:pStyle w:val="11"/>
        <w:spacing w:before="128" w:line="220" w:lineRule="auto"/>
        <w:ind w:left="503"/>
        <w:rPr>
          <w:sz w:val="21"/>
          <w:szCs w:val="21"/>
        </w:rPr>
      </w:pPr>
      <w:r>
        <w:rPr>
          <w:spacing w:val="-2"/>
          <w:sz w:val="21"/>
          <w:szCs w:val="21"/>
        </w:rPr>
        <w:t>本合同一式</w:t>
      </w:r>
      <w:r>
        <w:rPr>
          <w:spacing w:val="-2"/>
          <w:sz w:val="21"/>
          <w:szCs w:val="21"/>
          <w:u w:val="single" w:color="auto"/>
        </w:rPr>
        <w:t>拾</w:t>
      </w:r>
      <w:r>
        <w:rPr>
          <w:spacing w:val="-2"/>
          <w:sz w:val="21"/>
          <w:szCs w:val="21"/>
        </w:rPr>
        <w:t>份，双方各执</w:t>
      </w:r>
      <w:r>
        <w:rPr>
          <w:spacing w:val="-2"/>
          <w:sz w:val="21"/>
          <w:szCs w:val="21"/>
          <w:u w:val="single" w:color="auto"/>
        </w:rPr>
        <w:t>伍</w:t>
      </w:r>
      <w:r>
        <w:rPr>
          <w:spacing w:val="-2"/>
          <w:sz w:val="21"/>
          <w:szCs w:val="21"/>
        </w:rPr>
        <w:t>份。</w:t>
      </w:r>
    </w:p>
    <w:p>
      <w:pPr>
        <w:spacing w:line="382" w:lineRule="auto"/>
        <w:rPr>
          <w:rFonts w:ascii="Arial"/>
          <w:sz w:val="21"/>
        </w:rPr>
      </w:pPr>
    </w:p>
    <w:p>
      <w:pPr>
        <w:pStyle w:val="11"/>
        <w:spacing w:before="69" w:line="220" w:lineRule="auto"/>
        <w:ind w:left="23"/>
        <w:rPr>
          <w:sz w:val="21"/>
          <w:szCs w:val="21"/>
        </w:rPr>
      </w:pPr>
      <w:r>
        <w:rPr>
          <w:spacing w:val="-3"/>
          <w:sz w:val="21"/>
          <w:szCs w:val="21"/>
        </w:rPr>
        <w:t>发包人</w:t>
      </w:r>
      <w:r>
        <w:rPr>
          <w:spacing w:val="-2"/>
          <w:sz w:val="21"/>
          <w:szCs w:val="21"/>
        </w:rPr>
        <w:t>：</w:t>
      </w:r>
      <w:r>
        <w:rPr>
          <w:sz w:val="21"/>
          <w:szCs w:val="21"/>
        </w:rPr>
        <w:t xml:space="preserve">  </w:t>
      </w:r>
      <w:r>
        <w:rPr>
          <w:spacing w:val="-2"/>
          <w:sz w:val="21"/>
          <w:szCs w:val="21"/>
        </w:rPr>
        <w:t>（</w:t>
      </w:r>
      <w:r>
        <w:rPr>
          <w:spacing w:val="-3"/>
          <w:sz w:val="21"/>
          <w:szCs w:val="21"/>
        </w:rPr>
        <w:t>公章）</w:t>
      </w:r>
      <w:r>
        <w:rPr>
          <w:spacing w:val="1"/>
          <w:sz w:val="21"/>
          <w:szCs w:val="21"/>
        </w:rPr>
        <w:t xml:space="preserve">                     </w:t>
      </w:r>
      <w:r>
        <w:rPr>
          <w:sz w:val="21"/>
          <w:szCs w:val="21"/>
        </w:rPr>
        <w:t xml:space="preserve">      </w:t>
      </w:r>
      <w:r>
        <w:rPr>
          <w:spacing w:val="-3"/>
          <w:sz w:val="21"/>
          <w:szCs w:val="21"/>
        </w:rPr>
        <w:t>设计人</w:t>
      </w:r>
      <w:r>
        <w:rPr>
          <w:spacing w:val="-2"/>
          <w:sz w:val="21"/>
          <w:szCs w:val="21"/>
        </w:rPr>
        <w:t>：</w:t>
      </w:r>
      <w:r>
        <w:rPr>
          <w:spacing w:val="1"/>
          <w:sz w:val="21"/>
          <w:szCs w:val="21"/>
        </w:rPr>
        <w:t xml:space="preserve">  </w:t>
      </w:r>
      <w:r>
        <w:rPr>
          <w:spacing w:val="-2"/>
          <w:sz w:val="21"/>
          <w:szCs w:val="21"/>
        </w:rPr>
        <w:t>（</w:t>
      </w:r>
      <w:r>
        <w:rPr>
          <w:spacing w:val="-3"/>
          <w:sz w:val="21"/>
          <w:szCs w:val="21"/>
        </w:rPr>
        <w:t>公章）</w:t>
      </w:r>
    </w:p>
    <w:p>
      <w:pPr>
        <w:spacing w:line="317" w:lineRule="auto"/>
        <w:rPr>
          <w:rFonts w:ascii="Arial"/>
          <w:sz w:val="21"/>
        </w:rPr>
      </w:pPr>
    </w:p>
    <w:p>
      <w:pPr>
        <w:pStyle w:val="11"/>
        <w:spacing w:before="68" w:line="221" w:lineRule="auto"/>
        <w:ind w:left="21"/>
        <w:rPr>
          <w:sz w:val="21"/>
          <w:szCs w:val="21"/>
        </w:rPr>
      </w:pPr>
      <w:r>
        <w:rPr>
          <w:spacing w:val="-1"/>
          <w:sz w:val="21"/>
          <w:szCs w:val="21"/>
        </w:rPr>
        <w:t>法定代表人或其委托代理人：                   法定代表人或其委托代理人：</w:t>
      </w:r>
    </w:p>
    <w:p>
      <w:pPr>
        <w:pStyle w:val="11"/>
        <w:spacing w:before="71" w:line="221" w:lineRule="auto"/>
        <w:ind w:left="26"/>
        <w:rPr>
          <w:sz w:val="21"/>
          <w:szCs w:val="21"/>
        </w:rPr>
      </w:pPr>
      <w:r>
        <w:rPr>
          <w:spacing w:val="-5"/>
          <w:sz w:val="21"/>
          <w:szCs w:val="21"/>
        </w:rPr>
        <w:t>（签字</w:t>
      </w:r>
      <w:r>
        <w:rPr>
          <w:sz w:val="21"/>
          <w:szCs w:val="21"/>
        </w:rPr>
        <w:t>）                                     （</w:t>
      </w:r>
      <w:r>
        <w:rPr>
          <w:spacing w:val="-5"/>
          <w:sz w:val="21"/>
          <w:szCs w:val="21"/>
        </w:rPr>
        <w:t>签字）</w:t>
      </w:r>
    </w:p>
    <w:p>
      <w:pPr>
        <w:pStyle w:val="11"/>
        <w:spacing w:before="68" w:line="220" w:lineRule="auto"/>
        <w:ind w:left="22"/>
        <w:rPr>
          <w:sz w:val="21"/>
          <w:szCs w:val="21"/>
        </w:rPr>
      </w:pPr>
      <w:r>
        <w:rPr>
          <w:spacing w:val="-2"/>
          <w:sz w:val="21"/>
          <w:szCs w:val="21"/>
        </w:rPr>
        <w:t>社会信用代码</w:t>
      </w:r>
      <w:r>
        <w:rPr>
          <w:spacing w:val="-2"/>
          <w:sz w:val="21"/>
          <w:szCs w:val="21"/>
          <w:u w:val="single" w:color="auto"/>
        </w:rPr>
        <w:t xml:space="preserve">               </w:t>
      </w:r>
      <w:r>
        <w:rPr>
          <w:spacing w:val="-2"/>
          <w:sz w:val="21"/>
          <w:szCs w:val="21"/>
        </w:rPr>
        <w:t xml:space="preserve">                  社会信用代码：</w:t>
      </w:r>
      <w:r>
        <w:rPr>
          <w:spacing w:val="-2"/>
          <w:sz w:val="21"/>
          <w:szCs w:val="21"/>
          <w:u w:val="single" w:color="auto"/>
        </w:rPr>
        <w:t xml:space="preserve">                 </w:t>
      </w:r>
    </w:p>
    <w:p>
      <w:pPr>
        <w:pStyle w:val="11"/>
        <w:spacing w:before="69" w:line="230" w:lineRule="auto"/>
        <w:ind w:left="20"/>
        <w:rPr>
          <w:sz w:val="21"/>
          <w:szCs w:val="21"/>
        </w:rPr>
      </w:pPr>
      <w:r>
        <w:rPr>
          <w:spacing w:val="-6"/>
          <w:sz w:val="21"/>
          <w:szCs w:val="21"/>
        </w:rPr>
        <w:t>地</w:t>
      </w:r>
      <w:r>
        <w:rPr>
          <w:spacing w:val="6"/>
          <w:sz w:val="21"/>
          <w:szCs w:val="21"/>
        </w:rPr>
        <w:t xml:space="preserve">  </w:t>
      </w:r>
      <w:r>
        <w:rPr>
          <w:spacing w:val="-6"/>
          <w:sz w:val="21"/>
          <w:szCs w:val="21"/>
        </w:rPr>
        <w:t>址：</w:t>
      </w:r>
      <w:r>
        <w:rPr>
          <w:spacing w:val="5"/>
          <w:sz w:val="21"/>
          <w:szCs w:val="21"/>
          <w:u w:val="single" w:color="auto"/>
        </w:rPr>
        <w:t xml:space="preserve">                  </w:t>
      </w:r>
      <w:r>
        <w:rPr>
          <w:spacing w:val="1"/>
          <w:sz w:val="21"/>
          <w:szCs w:val="21"/>
        </w:rPr>
        <w:t xml:space="preserve">                  </w:t>
      </w:r>
      <w:r>
        <w:rPr>
          <w:spacing w:val="-6"/>
          <w:sz w:val="21"/>
          <w:szCs w:val="21"/>
        </w:rPr>
        <w:t>地</w:t>
      </w:r>
      <w:r>
        <w:rPr>
          <w:spacing w:val="7"/>
          <w:sz w:val="21"/>
          <w:szCs w:val="21"/>
        </w:rPr>
        <w:t xml:space="preserve">  </w:t>
      </w:r>
      <w:r>
        <w:rPr>
          <w:spacing w:val="-6"/>
          <w:sz w:val="21"/>
          <w:szCs w:val="21"/>
        </w:rPr>
        <w:t>址：</w:t>
      </w:r>
      <w:r>
        <w:rPr>
          <w:sz w:val="21"/>
          <w:szCs w:val="21"/>
          <w:u w:val="single" w:color="auto"/>
        </w:rPr>
        <w:t xml:space="preserve">                      </w:t>
      </w:r>
    </w:p>
    <w:p>
      <w:pPr>
        <w:pStyle w:val="11"/>
        <w:spacing w:before="60" w:line="221" w:lineRule="auto"/>
        <w:ind w:left="35"/>
        <w:rPr>
          <w:sz w:val="21"/>
          <w:szCs w:val="21"/>
        </w:rPr>
      </w:pPr>
      <w:r>
        <w:rPr>
          <w:spacing w:val="-5"/>
          <w:sz w:val="21"/>
          <w:szCs w:val="21"/>
        </w:rPr>
        <w:t>邮政编码：</w:t>
      </w:r>
      <w:r>
        <w:rPr>
          <w:sz w:val="21"/>
          <w:szCs w:val="21"/>
          <w:u w:val="single" w:color="auto"/>
        </w:rPr>
        <w:t xml:space="preserve">                  </w:t>
      </w:r>
      <w:r>
        <w:rPr>
          <w:spacing w:val="1"/>
          <w:sz w:val="21"/>
          <w:szCs w:val="21"/>
        </w:rPr>
        <w:t xml:space="preserve">                 </w:t>
      </w:r>
      <w:r>
        <w:rPr>
          <w:spacing w:val="-5"/>
          <w:sz w:val="21"/>
          <w:szCs w:val="21"/>
        </w:rPr>
        <w:t>邮政编码：</w:t>
      </w:r>
      <w:r>
        <w:rPr>
          <w:sz w:val="21"/>
          <w:szCs w:val="21"/>
          <w:u w:val="single" w:color="auto"/>
        </w:rPr>
        <w:t xml:space="preserve">                   </w:t>
      </w:r>
    </w:p>
    <w:p>
      <w:pPr>
        <w:pStyle w:val="11"/>
        <w:spacing w:before="68" w:line="221" w:lineRule="auto"/>
        <w:ind w:left="21"/>
        <w:rPr>
          <w:sz w:val="21"/>
          <w:szCs w:val="21"/>
        </w:rPr>
      </w:pPr>
      <w:r>
        <w:rPr>
          <w:sz w:val="21"/>
          <w:szCs w:val="21"/>
        </w:rPr>
        <w:t>法定代表人：</w:t>
      </w:r>
      <w:r>
        <w:rPr>
          <w:sz w:val="21"/>
          <w:szCs w:val="21"/>
          <w:u w:val="single" w:color="auto"/>
        </w:rPr>
        <w:t xml:space="preserve">               </w:t>
      </w:r>
      <w:r>
        <w:rPr>
          <w:sz w:val="21"/>
          <w:szCs w:val="21"/>
        </w:rPr>
        <w:t xml:space="preserve">                 </w:t>
      </w:r>
      <w:r>
        <w:rPr>
          <w:spacing w:val="-1"/>
          <w:sz w:val="21"/>
          <w:szCs w:val="21"/>
        </w:rPr>
        <w:t xml:space="preserve"> 法定代表人：</w:t>
      </w:r>
      <w:r>
        <w:rPr>
          <w:sz w:val="21"/>
          <w:szCs w:val="21"/>
          <w:u w:val="single" w:color="auto"/>
        </w:rPr>
        <w:t xml:space="preserve">                 </w:t>
      </w:r>
    </w:p>
    <w:p>
      <w:pPr>
        <w:pStyle w:val="11"/>
        <w:spacing w:before="68" w:line="221" w:lineRule="auto"/>
        <w:ind w:left="19"/>
        <w:rPr>
          <w:sz w:val="21"/>
          <w:szCs w:val="21"/>
        </w:rPr>
      </w:pPr>
      <w:r>
        <w:rPr>
          <w:sz w:val="21"/>
          <w:szCs w:val="21"/>
        </w:rPr>
        <w:t>委托代理人：</w:t>
      </w:r>
      <w:r>
        <w:rPr>
          <w:sz w:val="21"/>
          <w:szCs w:val="21"/>
          <w:u w:val="single" w:color="auto"/>
        </w:rPr>
        <w:t xml:space="preserve">               </w:t>
      </w:r>
      <w:r>
        <w:rPr>
          <w:sz w:val="21"/>
          <w:szCs w:val="21"/>
        </w:rPr>
        <w:t xml:space="preserve">                  委</w:t>
      </w:r>
      <w:r>
        <w:rPr>
          <w:spacing w:val="-1"/>
          <w:sz w:val="21"/>
          <w:szCs w:val="21"/>
        </w:rPr>
        <w:t>托代理人：</w:t>
      </w:r>
      <w:r>
        <w:rPr>
          <w:sz w:val="21"/>
          <w:szCs w:val="21"/>
          <w:u w:val="single" w:color="auto"/>
        </w:rPr>
        <w:t xml:space="preserve">                 </w:t>
      </w:r>
    </w:p>
    <w:p>
      <w:pPr>
        <w:pStyle w:val="11"/>
        <w:spacing w:before="70" w:line="223" w:lineRule="auto"/>
        <w:ind w:left="45"/>
        <w:rPr>
          <w:sz w:val="21"/>
          <w:szCs w:val="21"/>
        </w:rPr>
      </w:pPr>
      <w:r>
        <w:rPr>
          <w:spacing w:val="-14"/>
          <w:sz w:val="21"/>
          <w:szCs w:val="21"/>
        </w:rPr>
        <w:t>电</w:t>
      </w:r>
      <w:r>
        <w:rPr>
          <w:spacing w:val="6"/>
          <w:sz w:val="21"/>
          <w:szCs w:val="21"/>
        </w:rPr>
        <w:t xml:space="preserve">  </w:t>
      </w:r>
      <w:r>
        <w:rPr>
          <w:spacing w:val="-14"/>
          <w:sz w:val="21"/>
          <w:szCs w:val="21"/>
        </w:rPr>
        <w:t>话：</w:t>
      </w:r>
      <w:r>
        <w:rPr>
          <w:sz w:val="21"/>
          <w:szCs w:val="21"/>
          <w:u w:val="single" w:color="auto"/>
        </w:rPr>
        <w:t xml:space="preserve">                   </w:t>
      </w:r>
      <w:r>
        <w:rPr>
          <w:spacing w:val="1"/>
          <w:sz w:val="21"/>
          <w:szCs w:val="21"/>
        </w:rPr>
        <w:t xml:space="preserve">                  </w:t>
      </w:r>
      <w:r>
        <w:rPr>
          <w:spacing w:val="-14"/>
          <w:sz w:val="21"/>
          <w:szCs w:val="21"/>
        </w:rPr>
        <w:t>电</w:t>
      </w:r>
      <w:r>
        <w:rPr>
          <w:spacing w:val="11"/>
          <w:sz w:val="21"/>
          <w:szCs w:val="21"/>
        </w:rPr>
        <w:t xml:space="preserve">  </w:t>
      </w:r>
      <w:r>
        <w:rPr>
          <w:spacing w:val="-14"/>
          <w:sz w:val="21"/>
          <w:szCs w:val="21"/>
        </w:rPr>
        <w:t>话：</w:t>
      </w:r>
      <w:r>
        <w:rPr>
          <w:sz w:val="21"/>
          <w:szCs w:val="21"/>
          <w:u w:val="single" w:color="auto"/>
        </w:rPr>
        <w:t xml:space="preserve">                     </w:t>
      </w:r>
    </w:p>
    <w:p>
      <w:pPr>
        <w:pStyle w:val="11"/>
        <w:spacing w:before="66" w:line="220" w:lineRule="auto"/>
        <w:ind w:left="18"/>
        <w:rPr>
          <w:sz w:val="21"/>
          <w:szCs w:val="21"/>
        </w:rPr>
      </w:pPr>
      <w:r>
        <w:rPr>
          <w:spacing w:val="-6"/>
          <w:sz w:val="21"/>
          <w:szCs w:val="21"/>
        </w:rPr>
        <w:t>传</w:t>
      </w:r>
      <w:r>
        <w:rPr>
          <w:spacing w:val="7"/>
          <w:sz w:val="21"/>
          <w:szCs w:val="21"/>
        </w:rPr>
        <w:t xml:space="preserve">  </w:t>
      </w:r>
      <w:r>
        <w:rPr>
          <w:spacing w:val="-6"/>
          <w:sz w:val="21"/>
          <w:szCs w:val="21"/>
        </w:rPr>
        <w:t>真：</w:t>
      </w:r>
      <w:r>
        <w:rPr>
          <w:sz w:val="21"/>
          <w:szCs w:val="21"/>
          <w:u w:val="single" w:color="auto"/>
        </w:rPr>
        <w:t xml:space="preserve">                   </w:t>
      </w:r>
      <w:r>
        <w:rPr>
          <w:sz w:val="21"/>
          <w:szCs w:val="21"/>
        </w:rPr>
        <w:t xml:space="preserve">                  </w:t>
      </w:r>
      <w:r>
        <w:rPr>
          <w:spacing w:val="-6"/>
          <w:sz w:val="21"/>
          <w:szCs w:val="21"/>
        </w:rPr>
        <w:t>传</w:t>
      </w:r>
      <w:r>
        <w:rPr>
          <w:spacing w:val="9"/>
          <w:sz w:val="21"/>
          <w:szCs w:val="21"/>
        </w:rPr>
        <w:t xml:space="preserve">  </w:t>
      </w:r>
      <w:r>
        <w:rPr>
          <w:spacing w:val="-6"/>
          <w:sz w:val="21"/>
          <w:szCs w:val="21"/>
        </w:rPr>
        <w:t>真：</w:t>
      </w:r>
      <w:r>
        <w:rPr>
          <w:sz w:val="21"/>
          <w:szCs w:val="21"/>
          <w:u w:val="single" w:color="auto"/>
        </w:rPr>
        <w:t xml:space="preserve">                     </w:t>
      </w:r>
    </w:p>
    <w:p>
      <w:pPr>
        <w:pStyle w:val="11"/>
        <w:spacing w:before="68" w:line="221" w:lineRule="auto"/>
        <w:ind w:left="45"/>
        <w:rPr>
          <w:sz w:val="21"/>
          <w:szCs w:val="21"/>
        </w:rPr>
      </w:pPr>
      <w:r>
        <w:rPr>
          <w:spacing w:val="-7"/>
          <w:sz w:val="21"/>
          <w:szCs w:val="21"/>
        </w:rPr>
        <w:t>电子信箱：</w:t>
      </w:r>
      <w:r>
        <w:rPr>
          <w:sz w:val="21"/>
          <w:szCs w:val="21"/>
          <w:u w:val="single" w:color="auto"/>
        </w:rPr>
        <w:t xml:space="preserve">                 </w:t>
      </w:r>
      <w:r>
        <w:rPr>
          <w:spacing w:val="2"/>
          <w:sz w:val="21"/>
          <w:szCs w:val="21"/>
        </w:rPr>
        <w:t xml:space="preserve">                  </w:t>
      </w:r>
      <w:r>
        <w:rPr>
          <w:spacing w:val="-7"/>
          <w:sz w:val="21"/>
          <w:szCs w:val="21"/>
        </w:rPr>
        <w:t>电子信箱：</w:t>
      </w:r>
      <w:r>
        <w:rPr>
          <w:sz w:val="21"/>
          <w:szCs w:val="21"/>
          <w:u w:val="single" w:color="auto"/>
        </w:rPr>
        <w:t xml:space="preserve">                   </w:t>
      </w:r>
    </w:p>
    <w:p>
      <w:pPr>
        <w:pStyle w:val="11"/>
        <w:spacing w:before="71" w:line="221" w:lineRule="auto"/>
        <w:ind w:left="21"/>
        <w:rPr>
          <w:sz w:val="21"/>
          <w:szCs w:val="21"/>
        </w:rPr>
      </w:pPr>
      <w:r>
        <w:rPr>
          <w:spacing w:val="-2"/>
          <w:sz w:val="21"/>
          <w:szCs w:val="21"/>
        </w:rPr>
        <w:t>开户银行：</w:t>
      </w:r>
      <w:r>
        <w:rPr>
          <w:spacing w:val="-2"/>
          <w:sz w:val="21"/>
          <w:szCs w:val="21"/>
          <w:u w:val="single" w:color="auto"/>
        </w:rPr>
        <w:t xml:space="preserve">                 </w:t>
      </w:r>
      <w:r>
        <w:rPr>
          <w:spacing w:val="-2"/>
          <w:sz w:val="21"/>
          <w:szCs w:val="21"/>
        </w:rPr>
        <w:t xml:space="preserve">                  开户银行：</w:t>
      </w:r>
      <w:r>
        <w:rPr>
          <w:spacing w:val="-2"/>
          <w:sz w:val="21"/>
          <w:szCs w:val="21"/>
          <w:u w:val="single" w:color="auto"/>
        </w:rPr>
        <w:t xml:space="preserve">                    </w:t>
      </w:r>
    </w:p>
    <w:p>
      <w:pPr>
        <w:pStyle w:val="11"/>
        <w:spacing w:before="68" w:line="221" w:lineRule="auto"/>
        <w:ind w:left="21"/>
        <w:rPr>
          <w:sz w:val="21"/>
          <w:szCs w:val="21"/>
        </w:rPr>
      </w:pPr>
      <w:r>
        <w:rPr>
          <w:spacing w:val="-1"/>
          <w:sz w:val="21"/>
          <w:szCs w:val="21"/>
        </w:rPr>
        <w:t>开户账号：</w:t>
      </w:r>
      <w:r>
        <w:rPr>
          <w:spacing w:val="-1"/>
          <w:sz w:val="21"/>
          <w:szCs w:val="21"/>
          <w:u w:val="single" w:color="auto"/>
        </w:rPr>
        <w:t xml:space="preserve">               </w:t>
      </w:r>
      <w:r>
        <w:rPr>
          <w:spacing w:val="-2"/>
          <w:sz w:val="21"/>
          <w:szCs w:val="21"/>
          <w:u w:val="single" w:color="auto"/>
        </w:rPr>
        <w:t xml:space="preserve">   </w:t>
      </w:r>
      <w:r>
        <w:rPr>
          <w:spacing w:val="-2"/>
          <w:sz w:val="21"/>
          <w:szCs w:val="21"/>
        </w:rPr>
        <w:t xml:space="preserve">                 开户账号：</w:t>
      </w:r>
      <w:r>
        <w:rPr>
          <w:spacing w:val="-2"/>
          <w:sz w:val="21"/>
          <w:szCs w:val="21"/>
          <w:u w:val="single" w:color="auto"/>
        </w:rPr>
        <w:t xml:space="preserve">                     </w:t>
      </w:r>
    </w:p>
    <w:p>
      <w:pPr>
        <w:pStyle w:val="11"/>
        <w:spacing w:before="68" w:line="221" w:lineRule="auto"/>
        <w:ind w:left="20"/>
        <w:rPr>
          <w:spacing w:val="-4"/>
          <w:sz w:val="21"/>
          <w:szCs w:val="21"/>
        </w:rPr>
      </w:pPr>
      <w:r>
        <w:rPr>
          <w:spacing w:val="-3"/>
          <w:sz w:val="21"/>
          <w:szCs w:val="21"/>
        </w:rPr>
        <w:t>签订时间：</w:t>
      </w:r>
      <w:r>
        <w:rPr>
          <w:spacing w:val="-3"/>
          <w:sz w:val="21"/>
          <w:szCs w:val="21"/>
          <w:u w:val="single" w:color="auto"/>
        </w:rPr>
        <w:t xml:space="preserve">      </w:t>
      </w:r>
      <w:r>
        <w:rPr>
          <w:spacing w:val="-96"/>
          <w:sz w:val="21"/>
          <w:szCs w:val="21"/>
        </w:rPr>
        <w:t xml:space="preserve"> </w:t>
      </w:r>
      <w:r>
        <w:rPr>
          <w:spacing w:val="-3"/>
          <w:sz w:val="21"/>
          <w:szCs w:val="21"/>
        </w:rPr>
        <w:t>年</w:t>
      </w:r>
      <w:r>
        <w:rPr>
          <w:spacing w:val="-3"/>
          <w:sz w:val="21"/>
          <w:szCs w:val="21"/>
          <w:u w:val="single" w:color="auto"/>
        </w:rPr>
        <w:t xml:space="preserve">    </w:t>
      </w:r>
      <w:r>
        <w:rPr>
          <w:spacing w:val="-91"/>
          <w:sz w:val="21"/>
          <w:szCs w:val="21"/>
        </w:rPr>
        <w:t xml:space="preserve"> </w:t>
      </w:r>
      <w:r>
        <w:rPr>
          <w:spacing w:val="-3"/>
          <w:sz w:val="21"/>
          <w:szCs w:val="21"/>
        </w:rPr>
        <w:t>月</w:t>
      </w:r>
      <w:r>
        <w:rPr>
          <w:spacing w:val="-105"/>
          <w:sz w:val="21"/>
          <w:szCs w:val="21"/>
        </w:rPr>
        <w:t xml:space="preserve"> </w:t>
      </w:r>
      <w:r>
        <w:rPr>
          <w:spacing w:val="52"/>
          <w:sz w:val="21"/>
          <w:szCs w:val="21"/>
          <w:u w:val="single" w:color="auto"/>
        </w:rPr>
        <w:t xml:space="preserve">  </w:t>
      </w:r>
      <w:r>
        <w:rPr>
          <w:spacing w:val="-60"/>
          <w:sz w:val="21"/>
          <w:szCs w:val="21"/>
        </w:rPr>
        <w:t xml:space="preserve"> </w:t>
      </w:r>
      <w:r>
        <w:rPr>
          <w:spacing w:val="-3"/>
          <w:sz w:val="21"/>
          <w:szCs w:val="21"/>
        </w:rPr>
        <w:t>日</w:t>
      </w:r>
      <w:r>
        <w:rPr>
          <w:sz w:val="21"/>
          <w:szCs w:val="21"/>
        </w:rPr>
        <w:t xml:space="preserve">                </w:t>
      </w:r>
      <w:r>
        <w:rPr>
          <w:spacing w:val="-3"/>
          <w:sz w:val="21"/>
          <w:szCs w:val="21"/>
        </w:rPr>
        <w:t>签订时间：</w:t>
      </w:r>
      <w:r>
        <w:rPr>
          <w:sz w:val="21"/>
          <w:szCs w:val="21"/>
          <w:u w:val="single" w:color="auto"/>
        </w:rPr>
        <w:t xml:space="preserve">        </w:t>
      </w:r>
      <w:r>
        <w:rPr>
          <w:spacing w:val="-90"/>
          <w:sz w:val="21"/>
          <w:szCs w:val="21"/>
        </w:rPr>
        <w:t xml:space="preserve"> </w:t>
      </w:r>
      <w:r>
        <w:rPr>
          <w:spacing w:val="-3"/>
          <w:sz w:val="21"/>
          <w:szCs w:val="21"/>
        </w:rPr>
        <w:t>年</w:t>
      </w:r>
      <w:r>
        <w:rPr>
          <w:spacing w:val="-3"/>
          <w:sz w:val="21"/>
          <w:szCs w:val="21"/>
          <w:u w:val="single" w:color="auto"/>
        </w:rPr>
        <w:t xml:space="preserve"> </w:t>
      </w:r>
      <w:r>
        <w:rPr>
          <w:spacing w:val="-4"/>
          <w:sz w:val="21"/>
          <w:szCs w:val="21"/>
          <w:u w:val="single" w:color="auto"/>
        </w:rPr>
        <w:t xml:space="preserve">  </w:t>
      </w:r>
      <w:r>
        <w:rPr>
          <w:spacing w:val="14"/>
          <w:sz w:val="21"/>
          <w:szCs w:val="21"/>
        </w:rPr>
        <w:t xml:space="preserve"> </w:t>
      </w:r>
      <w:r>
        <w:rPr>
          <w:spacing w:val="-4"/>
          <w:sz w:val="21"/>
          <w:szCs w:val="21"/>
        </w:rPr>
        <w:t>月</w:t>
      </w:r>
      <w:r>
        <w:rPr>
          <w:spacing w:val="-4"/>
          <w:sz w:val="21"/>
          <w:szCs w:val="21"/>
          <w:u w:val="single" w:color="auto"/>
        </w:rPr>
        <w:t xml:space="preserve">   </w:t>
      </w:r>
      <w:r>
        <w:rPr>
          <w:spacing w:val="-60"/>
          <w:sz w:val="21"/>
          <w:szCs w:val="21"/>
        </w:rPr>
        <w:t xml:space="preserve"> </w:t>
      </w:r>
      <w:r>
        <w:rPr>
          <w:spacing w:val="-4"/>
          <w:sz w:val="21"/>
          <w:szCs w:val="21"/>
        </w:rPr>
        <w:t>日</w:t>
      </w:r>
    </w:p>
    <w:p>
      <w:pPr>
        <w:pStyle w:val="11"/>
        <w:spacing w:before="68" w:line="221" w:lineRule="auto"/>
        <w:ind w:left="20"/>
        <w:rPr>
          <w:spacing w:val="-4"/>
          <w:sz w:val="21"/>
          <w:szCs w:val="21"/>
        </w:rPr>
      </w:pPr>
    </w:p>
    <w:p>
      <w:pPr>
        <w:pStyle w:val="11"/>
        <w:spacing w:before="68" w:line="221" w:lineRule="auto"/>
        <w:ind w:left="20"/>
        <w:rPr>
          <w:spacing w:val="-4"/>
          <w:sz w:val="21"/>
          <w:szCs w:val="21"/>
        </w:rPr>
        <w:sectPr>
          <w:footerReference r:id="rId8" w:type="default"/>
          <w:pgSz w:w="11907" w:h="16841"/>
          <w:pgMar w:top="400" w:right="1493" w:bottom="1015" w:left="1785" w:header="0" w:footer="851" w:gutter="0"/>
          <w:cols w:space="720" w:num="1"/>
        </w:sectPr>
      </w:pPr>
    </w:p>
    <w:p>
      <w:pPr>
        <w:spacing w:line="247" w:lineRule="auto"/>
        <w:ind w:left="0" w:leftChars="0" w:firstLine="0" w:firstLineChars="0"/>
        <w:rPr>
          <w:rFonts w:ascii="Arial"/>
          <w:sz w:val="21"/>
        </w:rPr>
      </w:pPr>
    </w:p>
    <w:p>
      <w:pPr>
        <w:spacing w:before="101" w:line="224" w:lineRule="auto"/>
        <w:ind w:left="2672"/>
        <w:outlineLvl w:val="0"/>
        <w:rPr>
          <w:rFonts w:ascii="黑体" w:hAnsi="黑体" w:eastAsia="黑体" w:cs="黑体"/>
          <w:sz w:val="31"/>
          <w:szCs w:val="31"/>
        </w:rPr>
      </w:pPr>
      <w:bookmarkStart w:id="1158" w:name="bookmark209"/>
      <w:bookmarkEnd w:id="1158"/>
      <w:bookmarkStart w:id="1159" w:name="bookmark210"/>
      <w:bookmarkEnd w:id="1159"/>
      <w:r>
        <w:rPr>
          <w:rFonts w:ascii="黑体" w:hAnsi="黑体" w:eastAsia="黑体" w:cs="黑体"/>
          <w:b/>
          <w:bCs/>
          <w:spacing w:val="6"/>
          <w:sz w:val="31"/>
          <w:szCs w:val="31"/>
        </w:rPr>
        <w:t>第二部分</w:t>
      </w:r>
      <w:r>
        <w:rPr>
          <w:rFonts w:ascii="黑体" w:hAnsi="黑体" w:eastAsia="黑体" w:cs="黑体"/>
          <w:spacing w:val="6"/>
          <w:sz w:val="31"/>
          <w:szCs w:val="31"/>
        </w:rPr>
        <w:t xml:space="preserve"> </w:t>
      </w:r>
      <w:r>
        <w:rPr>
          <w:rFonts w:ascii="黑体" w:hAnsi="黑体" w:eastAsia="黑体" w:cs="黑体"/>
          <w:b/>
          <w:bCs/>
          <w:spacing w:val="6"/>
          <w:sz w:val="31"/>
          <w:szCs w:val="31"/>
        </w:rPr>
        <w:t>通用合同条款</w:t>
      </w:r>
    </w:p>
    <w:p>
      <w:pPr>
        <w:pStyle w:val="11"/>
        <w:spacing w:before="298" w:line="221" w:lineRule="auto"/>
        <w:ind w:left="31" w:right="255" w:firstLine="561"/>
        <w:rPr>
          <w:rFonts w:ascii="Arial"/>
          <w:sz w:val="21"/>
        </w:rPr>
      </w:pPr>
      <w:r>
        <w:rPr>
          <w:b/>
          <w:bCs/>
          <w:spacing w:val="-3"/>
          <w:sz w:val="28"/>
          <w:szCs w:val="28"/>
        </w:rPr>
        <w:t>市政工程采用《建设工程设计合同示范文本（专业建设工程）》</w:t>
      </w:r>
      <w:r>
        <w:rPr>
          <w:spacing w:val="2"/>
          <w:sz w:val="28"/>
          <w:szCs w:val="28"/>
        </w:rPr>
        <w:t xml:space="preserve"> </w:t>
      </w:r>
      <w:r>
        <w:rPr>
          <w:b/>
          <w:bCs/>
          <w:spacing w:val="-2"/>
          <w:sz w:val="28"/>
          <w:szCs w:val="28"/>
        </w:rPr>
        <w:t>（</w:t>
      </w:r>
      <w:r>
        <w:rPr>
          <w:rFonts w:ascii="Calibri" w:hAnsi="Calibri" w:eastAsia="Calibri" w:cs="Calibri"/>
          <w:b/>
          <w:bCs/>
          <w:spacing w:val="-2"/>
          <w:sz w:val="28"/>
          <w:szCs w:val="28"/>
        </w:rPr>
        <w:t>GF-2015-0210</w:t>
      </w:r>
      <w:r>
        <w:rPr>
          <w:b/>
          <w:bCs/>
          <w:spacing w:val="-2"/>
          <w:sz w:val="28"/>
          <w:szCs w:val="28"/>
        </w:rPr>
        <w:t>）。</w:t>
      </w:r>
    </w:p>
    <w:p>
      <w:pPr>
        <w:spacing w:before="101" w:line="224" w:lineRule="auto"/>
        <w:ind w:left="2672"/>
        <w:outlineLvl w:val="0"/>
        <w:rPr>
          <w:rFonts w:ascii="黑体" w:hAnsi="黑体" w:eastAsia="黑体" w:cs="黑体"/>
          <w:sz w:val="31"/>
          <w:szCs w:val="31"/>
        </w:rPr>
      </w:pPr>
      <w:bookmarkStart w:id="1160" w:name="bookmark211"/>
      <w:bookmarkEnd w:id="1160"/>
      <w:bookmarkStart w:id="1161" w:name="bookmark212"/>
      <w:bookmarkEnd w:id="1161"/>
      <w:r>
        <w:rPr>
          <w:rFonts w:ascii="黑体" w:hAnsi="黑体" w:eastAsia="黑体" w:cs="黑体"/>
          <w:b/>
          <w:bCs/>
          <w:spacing w:val="6"/>
          <w:sz w:val="31"/>
          <w:szCs w:val="31"/>
        </w:rPr>
        <w:t>第三部分</w:t>
      </w:r>
      <w:r>
        <w:rPr>
          <w:rFonts w:ascii="黑体" w:hAnsi="黑体" w:eastAsia="黑体" w:cs="黑体"/>
          <w:spacing w:val="6"/>
          <w:sz w:val="31"/>
          <w:szCs w:val="31"/>
        </w:rPr>
        <w:t xml:space="preserve"> </w:t>
      </w:r>
      <w:r>
        <w:rPr>
          <w:rFonts w:ascii="黑体" w:hAnsi="黑体" w:eastAsia="黑体" w:cs="黑体"/>
          <w:b/>
          <w:bCs/>
          <w:spacing w:val="6"/>
          <w:sz w:val="31"/>
          <w:szCs w:val="31"/>
        </w:rPr>
        <w:t>专用合同条款</w:t>
      </w:r>
    </w:p>
    <w:p>
      <w:pPr>
        <w:spacing w:line="425" w:lineRule="auto"/>
        <w:rPr>
          <w:rFonts w:ascii="Arial"/>
          <w:sz w:val="21"/>
        </w:rPr>
      </w:pPr>
    </w:p>
    <w:p>
      <w:pPr>
        <w:pStyle w:val="11"/>
        <w:spacing w:before="68" w:line="221" w:lineRule="auto"/>
        <w:ind w:left="458"/>
        <w:outlineLvl w:val="1"/>
        <w:rPr>
          <w:sz w:val="21"/>
          <w:szCs w:val="21"/>
        </w:rPr>
      </w:pPr>
      <w:r>
        <w:rPr>
          <w:b/>
          <w:bCs/>
          <w:spacing w:val="-8"/>
          <w:sz w:val="21"/>
          <w:szCs w:val="21"/>
        </w:rPr>
        <w:t>1.</w:t>
      </w:r>
      <w:r>
        <w:rPr>
          <w:spacing w:val="16"/>
          <w:sz w:val="21"/>
          <w:szCs w:val="21"/>
        </w:rPr>
        <w:t xml:space="preserve"> </w:t>
      </w:r>
      <w:r>
        <w:rPr>
          <w:b/>
          <w:bCs/>
          <w:spacing w:val="-8"/>
          <w:sz w:val="21"/>
          <w:szCs w:val="21"/>
        </w:rPr>
        <w:t>一般约定</w:t>
      </w:r>
    </w:p>
    <w:p>
      <w:pPr>
        <w:pStyle w:val="11"/>
        <w:spacing w:before="77" w:line="221" w:lineRule="auto"/>
        <w:ind w:left="455"/>
        <w:outlineLvl w:val="2"/>
        <w:rPr>
          <w:sz w:val="21"/>
          <w:szCs w:val="21"/>
        </w:rPr>
      </w:pPr>
      <w:r>
        <w:rPr>
          <w:spacing w:val="-2"/>
          <w:sz w:val="21"/>
          <w:szCs w:val="21"/>
        </w:rPr>
        <w:t>1.1 词语定义与解释</w:t>
      </w:r>
    </w:p>
    <w:p>
      <w:pPr>
        <w:pStyle w:val="11"/>
        <w:spacing w:before="79" w:line="223" w:lineRule="auto"/>
        <w:ind w:left="455"/>
        <w:rPr>
          <w:sz w:val="21"/>
          <w:szCs w:val="21"/>
        </w:rPr>
      </w:pPr>
      <w:r>
        <w:rPr>
          <w:spacing w:val="-4"/>
          <w:sz w:val="21"/>
          <w:szCs w:val="21"/>
        </w:rPr>
        <w:t>1.1.1</w:t>
      </w:r>
      <w:r>
        <w:rPr>
          <w:spacing w:val="10"/>
          <w:sz w:val="21"/>
          <w:szCs w:val="21"/>
        </w:rPr>
        <w:t xml:space="preserve"> </w:t>
      </w:r>
      <w:r>
        <w:rPr>
          <w:spacing w:val="-4"/>
          <w:sz w:val="21"/>
          <w:szCs w:val="21"/>
        </w:rPr>
        <w:t>合同</w:t>
      </w:r>
    </w:p>
    <w:p>
      <w:pPr>
        <w:pStyle w:val="11"/>
        <w:spacing w:before="75" w:line="278" w:lineRule="auto"/>
        <w:ind w:left="21" w:right="39" w:firstLine="434"/>
        <w:rPr>
          <w:sz w:val="21"/>
          <w:szCs w:val="21"/>
        </w:rPr>
      </w:pPr>
      <w:r>
        <w:fldChar w:fldCharType="begin"/>
      </w:r>
      <w:r>
        <w:instrText xml:space="preserve"> HYPERLINK "1.1.1.8" </w:instrText>
      </w:r>
      <w:r>
        <w:fldChar w:fldCharType="separate"/>
      </w:r>
      <w:r>
        <w:rPr>
          <w:sz w:val="21"/>
          <w:szCs w:val="21"/>
        </w:rPr>
        <w:t>1.1.1.8</w:t>
      </w:r>
      <w:r>
        <w:rPr>
          <w:sz w:val="21"/>
          <w:szCs w:val="21"/>
        </w:rPr>
        <w:fldChar w:fldCharType="end"/>
      </w:r>
      <w:r>
        <w:rPr>
          <w:sz w:val="21"/>
          <w:szCs w:val="21"/>
        </w:rPr>
        <w:t xml:space="preserve"> 其他合同文件包括：合同协议书、中标通知书、投标函及其附录、发包人要求、</w:t>
      </w:r>
      <w:r>
        <w:rPr>
          <w:spacing w:val="3"/>
          <w:sz w:val="21"/>
          <w:szCs w:val="21"/>
        </w:rPr>
        <w:t xml:space="preserve"> </w:t>
      </w:r>
      <w:r>
        <w:rPr>
          <w:spacing w:val="-2"/>
          <w:sz w:val="21"/>
          <w:szCs w:val="21"/>
        </w:rPr>
        <w:t>技术标准以及其他合同文件。</w:t>
      </w:r>
    </w:p>
    <w:p>
      <w:pPr>
        <w:pStyle w:val="11"/>
        <w:spacing w:before="28" w:line="221" w:lineRule="auto"/>
        <w:ind w:left="455"/>
        <w:outlineLvl w:val="2"/>
        <w:rPr>
          <w:sz w:val="21"/>
          <w:szCs w:val="21"/>
        </w:rPr>
      </w:pPr>
      <w:r>
        <w:rPr>
          <w:spacing w:val="-6"/>
          <w:sz w:val="21"/>
          <w:szCs w:val="21"/>
        </w:rPr>
        <w:t>1.3</w:t>
      </w:r>
      <w:r>
        <w:rPr>
          <w:spacing w:val="12"/>
          <w:sz w:val="21"/>
          <w:szCs w:val="21"/>
        </w:rPr>
        <w:t xml:space="preserve"> </w:t>
      </w:r>
      <w:r>
        <w:rPr>
          <w:spacing w:val="-6"/>
          <w:sz w:val="21"/>
          <w:szCs w:val="21"/>
        </w:rPr>
        <w:t>法律</w:t>
      </w:r>
    </w:p>
    <w:p>
      <w:pPr>
        <w:pStyle w:val="11"/>
        <w:spacing w:before="81" w:line="281" w:lineRule="auto"/>
        <w:ind w:left="19" w:firstLine="420"/>
        <w:jc w:val="both"/>
        <w:rPr>
          <w:sz w:val="21"/>
          <w:szCs w:val="21"/>
        </w:rPr>
      </w:pPr>
      <w:r>
        <w:rPr>
          <w:spacing w:val="-14"/>
          <w:sz w:val="21"/>
          <w:szCs w:val="21"/>
        </w:rPr>
        <w:t>适用于合同的其他规范性文件：</w:t>
      </w:r>
      <w:r>
        <w:rPr>
          <w:spacing w:val="-14"/>
          <w:sz w:val="21"/>
          <w:szCs w:val="21"/>
          <w:u w:val="single" w:color="auto"/>
        </w:rPr>
        <w:t>《中华人民共和国民法典》、《中华人民共和国建筑法》和《建</w:t>
      </w:r>
      <w:r>
        <w:rPr>
          <w:spacing w:val="13"/>
          <w:sz w:val="21"/>
          <w:szCs w:val="21"/>
        </w:rPr>
        <w:t xml:space="preserve"> </w:t>
      </w:r>
      <w:r>
        <w:rPr>
          <w:spacing w:val="-4"/>
          <w:sz w:val="21"/>
          <w:szCs w:val="21"/>
          <w:u w:val="single" w:color="auto"/>
        </w:rPr>
        <w:t>设工程勘察设计市场管理规定》；国家及地方有关建设工程勘察设计管理法规和规章；建设工程</w:t>
      </w:r>
      <w:r>
        <w:rPr>
          <w:spacing w:val="16"/>
          <w:sz w:val="21"/>
          <w:szCs w:val="21"/>
        </w:rPr>
        <w:t xml:space="preserve"> </w:t>
      </w:r>
      <w:r>
        <w:rPr>
          <w:spacing w:val="-5"/>
          <w:sz w:val="21"/>
          <w:szCs w:val="21"/>
          <w:u w:val="single" w:color="auto"/>
        </w:rPr>
        <w:t>批准文件；《广西壮族自治区工程建设其他费用定额</w:t>
      </w:r>
      <w:r>
        <w:rPr>
          <w:spacing w:val="-6"/>
          <w:sz w:val="21"/>
          <w:szCs w:val="21"/>
          <w:u w:val="single" w:color="auto"/>
        </w:rPr>
        <w:t>》（桂建标〔2018〕37号)等。</w:t>
      </w:r>
    </w:p>
    <w:p>
      <w:pPr>
        <w:pStyle w:val="11"/>
        <w:spacing w:before="29" w:line="221" w:lineRule="auto"/>
        <w:ind w:left="455"/>
        <w:outlineLvl w:val="2"/>
        <w:rPr>
          <w:sz w:val="21"/>
          <w:szCs w:val="21"/>
        </w:rPr>
      </w:pPr>
      <w:r>
        <w:rPr>
          <w:spacing w:val="-5"/>
          <w:sz w:val="21"/>
          <w:szCs w:val="21"/>
        </w:rPr>
        <w:t>1.4</w:t>
      </w:r>
      <w:r>
        <w:rPr>
          <w:spacing w:val="13"/>
          <w:sz w:val="21"/>
          <w:szCs w:val="21"/>
        </w:rPr>
        <w:t xml:space="preserve"> </w:t>
      </w:r>
      <w:r>
        <w:rPr>
          <w:spacing w:val="-5"/>
          <w:sz w:val="21"/>
          <w:szCs w:val="21"/>
        </w:rPr>
        <w:t>技术标准</w:t>
      </w:r>
    </w:p>
    <w:p>
      <w:pPr>
        <w:pStyle w:val="11"/>
        <w:spacing w:before="81" w:line="255" w:lineRule="auto"/>
        <w:ind w:left="21" w:right="4" w:firstLine="434"/>
        <w:rPr>
          <w:sz w:val="21"/>
          <w:szCs w:val="21"/>
        </w:rPr>
      </w:pPr>
      <w:r>
        <w:rPr>
          <w:sz w:val="21"/>
          <w:szCs w:val="21"/>
        </w:rPr>
        <w:t>1.4.1 适用于工程的技术标准包括：</w:t>
      </w:r>
      <w:r>
        <w:rPr>
          <w:sz w:val="21"/>
          <w:szCs w:val="21"/>
          <w:u w:val="single" w:color="auto"/>
        </w:rPr>
        <w:t>国家及地方有关建设工程勘察设计现行规范、规则、</w:t>
      </w:r>
      <w:r>
        <w:rPr>
          <w:spacing w:val="-68"/>
          <w:sz w:val="21"/>
          <w:szCs w:val="21"/>
          <w:u w:val="single" w:color="auto"/>
        </w:rPr>
        <w:t xml:space="preserve"> </w:t>
      </w:r>
      <w:r>
        <w:rPr>
          <w:sz w:val="21"/>
          <w:szCs w:val="21"/>
        </w:rPr>
        <w:t xml:space="preserve"> </w:t>
      </w:r>
      <w:r>
        <w:rPr>
          <w:spacing w:val="-3"/>
          <w:sz w:val="21"/>
          <w:szCs w:val="21"/>
          <w:u w:val="single" w:color="auto"/>
        </w:rPr>
        <w:t>规程</w:t>
      </w:r>
      <w:r>
        <w:rPr>
          <w:spacing w:val="-3"/>
          <w:sz w:val="21"/>
          <w:szCs w:val="21"/>
        </w:rPr>
        <w:t>。</w:t>
      </w:r>
    </w:p>
    <w:p>
      <w:pPr>
        <w:pStyle w:val="11"/>
        <w:spacing w:before="80" w:line="254" w:lineRule="auto"/>
        <w:ind w:left="441" w:right="3155" w:firstLine="14"/>
        <w:rPr>
          <w:spacing w:val="-1"/>
          <w:sz w:val="21"/>
          <w:szCs w:val="21"/>
        </w:rPr>
      </w:pPr>
      <w:r>
        <w:rPr>
          <w:spacing w:val="-4"/>
          <w:sz w:val="21"/>
          <w:szCs w:val="21"/>
        </w:rPr>
        <w:t>1.4.2</w:t>
      </w:r>
      <w:r>
        <w:rPr>
          <w:spacing w:val="39"/>
          <w:sz w:val="21"/>
          <w:szCs w:val="21"/>
        </w:rPr>
        <w:t xml:space="preserve"> </w:t>
      </w:r>
      <w:r>
        <w:rPr>
          <w:spacing w:val="-4"/>
          <w:sz w:val="21"/>
          <w:szCs w:val="21"/>
        </w:rPr>
        <w:t>国外技术标准原文版本和中文译本的提供方：</w:t>
      </w:r>
      <w:r>
        <w:rPr>
          <w:spacing w:val="-4"/>
          <w:sz w:val="21"/>
          <w:szCs w:val="21"/>
          <w:u w:val="single" w:color="auto"/>
        </w:rPr>
        <w:t>/</w:t>
      </w:r>
      <w:r>
        <w:rPr>
          <w:spacing w:val="-4"/>
          <w:sz w:val="21"/>
          <w:szCs w:val="21"/>
        </w:rPr>
        <w:t>；</w:t>
      </w:r>
      <w:r>
        <w:rPr>
          <w:sz w:val="21"/>
          <w:szCs w:val="21"/>
        </w:rPr>
        <w:t xml:space="preserve"> </w:t>
      </w:r>
      <w:r>
        <w:rPr>
          <w:spacing w:val="-1"/>
          <w:sz w:val="21"/>
          <w:szCs w:val="21"/>
        </w:rPr>
        <w:t>提供国外技术标准的名称：</w:t>
      </w:r>
      <w:r>
        <w:rPr>
          <w:spacing w:val="-1"/>
          <w:sz w:val="21"/>
          <w:szCs w:val="21"/>
          <w:u w:val="single" w:color="auto"/>
        </w:rPr>
        <w:t>/</w:t>
      </w:r>
      <w:r>
        <w:rPr>
          <w:spacing w:val="-1"/>
          <w:sz w:val="21"/>
          <w:szCs w:val="21"/>
        </w:rPr>
        <w:t>；</w:t>
      </w:r>
    </w:p>
    <w:p>
      <w:pPr>
        <w:pStyle w:val="11"/>
        <w:spacing w:before="80" w:line="254" w:lineRule="auto"/>
        <w:ind w:left="441" w:right="3155" w:firstLine="14"/>
        <w:rPr>
          <w:spacing w:val="-4"/>
          <w:sz w:val="21"/>
          <w:szCs w:val="21"/>
        </w:rPr>
      </w:pPr>
      <w:r>
        <w:rPr>
          <w:spacing w:val="-4"/>
          <w:sz w:val="21"/>
          <w:szCs w:val="21"/>
        </w:rPr>
        <w:t>提供国外技术标准的份数：</w:t>
      </w:r>
      <w:r>
        <w:rPr>
          <w:spacing w:val="-4"/>
          <w:sz w:val="21"/>
          <w:szCs w:val="21"/>
          <w:u w:val="single" w:color="auto"/>
        </w:rPr>
        <w:t>/</w:t>
      </w:r>
      <w:r>
        <w:rPr>
          <w:spacing w:val="-4"/>
          <w:sz w:val="21"/>
          <w:szCs w:val="21"/>
        </w:rPr>
        <w:t>；</w:t>
      </w:r>
    </w:p>
    <w:p>
      <w:pPr>
        <w:pStyle w:val="11"/>
        <w:spacing w:before="80" w:line="254" w:lineRule="auto"/>
        <w:ind w:left="441" w:right="3155" w:firstLine="14"/>
        <w:rPr>
          <w:sz w:val="21"/>
          <w:szCs w:val="21"/>
        </w:rPr>
      </w:pPr>
      <w:r>
        <w:rPr>
          <w:spacing w:val="-4"/>
          <w:sz w:val="21"/>
          <w:szCs w:val="21"/>
        </w:rPr>
        <w:t>提供国外技术标准的时间：</w:t>
      </w:r>
      <w:r>
        <w:rPr>
          <w:spacing w:val="-4"/>
          <w:sz w:val="21"/>
          <w:szCs w:val="21"/>
          <w:u w:val="single" w:color="auto"/>
        </w:rPr>
        <w:t>/</w:t>
      </w:r>
      <w:r>
        <w:rPr>
          <w:spacing w:val="-4"/>
          <w:sz w:val="21"/>
          <w:szCs w:val="21"/>
        </w:rPr>
        <w:t>；</w:t>
      </w:r>
    </w:p>
    <w:p>
      <w:pPr>
        <w:pStyle w:val="11"/>
        <w:spacing w:before="33" w:line="220" w:lineRule="auto"/>
        <w:ind w:left="441"/>
        <w:rPr>
          <w:sz w:val="21"/>
          <w:szCs w:val="21"/>
        </w:rPr>
      </w:pPr>
      <w:r>
        <w:rPr>
          <w:spacing w:val="-1"/>
          <w:sz w:val="21"/>
          <w:szCs w:val="21"/>
        </w:rPr>
        <w:t>提供国外技术标准的费用承担：</w:t>
      </w:r>
      <w:r>
        <w:rPr>
          <w:spacing w:val="-1"/>
          <w:sz w:val="21"/>
          <w:szCs w:val="21"/>
          <w:u w:val="single" w:color="auto"/>
        </w:rPr>
        <w:t>/</w:t>
      </w:r>
      <w:r>
        <w:rPr>
          <w:spacing w:val="-1"/>
          <w:sz w:val="21"/>
          <w:szCs w:val="21"/>
        </w:rPr>
        <w:t>。</w:t>
      </w:r>
    </w:p>
    <w:p>
      <w:pPr>
        <w:pStyle w:val="11"/>
        <w:spacing w:before="78" w:line="278" w:lineRule="auto"/>
        <w:ind w:left="22" w:right="3" w:firstLine="433"/>
        <w:rPr>
          <w:sz w:val="21"/>
          <w:szCs w:val="21"/>
        </w:rPr>
      </w:pPr>
      <w:r>
        <w:rPr>
          <w:spacing w:val="1"/>
          <w:sz w:val="21"/>
          <w:szCs w:val="21"/>
        </w:rPr>
        <w:t>1.4.3 发包人对工程的技术标准和功能要求的特殊要求：</w:t>
      </w:r>
      <w:r>
        <w:rPr>
          <w:spacing w:val="1"/>
          <w:sz w:val="21"/>
          <w:szCs w:val="21"/>
          <w:u w:val="single" w:color="auto"/>
        </w:rPr>
        <w:t>符合国家规定的工程技</w:t>
      </w:r>
      <w:r>
        <w:rPr>
          <w:sz w:val="21"/>
          <w:szCs w:val="21"/>
          <w:u w:val="single" w:color="auto"/>
        </w:rPr>
        <w:t>术质量标</w:t>
      </w:r>
      <w:r>
        <w:rPr>
          <w:sz w:val="21"/>
          <w:szCs w:val="21"/>
        </w:rPr>
        <w:t xml:space="preserve"> </w:t>
      </w:r>
      <w:r>
        <w:rPr>
          <w:sz w:val="21"/>
          <w:szCs w:val="21"/>
          <w:u w:val="single" w:color="auto"/>
        </w:rPr>
        <w:t>准、技术规范及规程要求，并通过有关行政主管部门</w:t>
      </w:r>
      <w:r>
        <w:rPr>
          <w:spacing w:val="-1"/>
          <w:sz w:val="21"/>
          <w:szCs w:val="21"/>
          <w:u w:val="single" w:color="auto"/>
        </w:rPr>
        <w:t>审批或备案</w:t>
      </w:r>
      <w:r>
        <w:rPr>
          <w:spacing w:val="-1"/>
          <w:sz w:val="21"/>
          <w:szCs w:val="21"/>
        </w:rPr>
        <w:t>。</w:t>
      </w:r>
    </w:p>
    <w:p>
      <w:pPr>
        <w:pStyle w:val="11"/>
        <w:spacing w:before="28" w:line="221" w:lineRule="auto"/>
        <w:ind w:left="455"/>
        <w:outlineLvl w:val="2"/>
        <w:rPr>
          <w:sz w:val="21"/>
          <w:szCs w:val="21"/>
        </w:rPr>
      </w:pPr>
      <w:r>
        <w:rPr>
          <w:spacing w:val="-2"/>
          <w:sz w:val="21"/>
          <w:szCs w:val="21"/>
        </w:rPr>
        <w:t>1.5 合同文件的优先顺序</w:t>
      </w:r>
    </w:p>
    <w:p>
      <w:pPr>
        <w:pStyle w:val="11"/>
        <w:spacing w:before="81" w:line="275" w:lineRule="auto"/>
        <w:ind w:left="19" w:right="4" w:firstLine="421"/>
        <w:rPr>
          <w:sz w:val="21"/>
          <w:szCs w:val="21"/>
        </w:rPr>
      </w:pPr>
      <w:r>
        <w:rPr>
          <w:spacing w:val="1"/>
          <w:sz w:val="21"/>
          <w:szCs w:val="21"/>
        </w:rPr>
        <w:t>合同文件组成及优先顺序为：</w:t>
      </w:r>
      <w:r>
        <w:rPr>
          <w:spacing w:val="1"/>
          <w:sz w:val="21"/>
          <w:szCs w:val="21"/>
          <w:u w:val="single" w:color="auto"/>
        </w:rPr>
        <w:t>合同协议书、中标通知书、投标函及其附录、专用合同条款</w:t>
      </w:r>
      <w:r>
        <w:rPr>
          <w:spacing w:val="13"/>
          <w:sz w:val="21"/>
          <w:szCs w:val="21"/>
        </w:rPr>
        <w:t xml:space="preserve"> </w:t>
      </w:r>
      <w:r>
        <w:rPr>
          <w:sz w:val="21"/>
          <w:szCs w:val="21"/>
          <w:u w:val="single" w:color="auto"/>
        </w:rPr>
        <w:t>及其附件、通用合同条款、发包人要求、技术标准以及其他合同</w:t>
      </w:r>
      <w:r>
        <w:rPr>
          <w:spacing w:val="-1"/>
          <w:sz w:val="21"/>
          <w:szCs w:val="21"/>
          <w:u w:val="single" w:color="auto"/>
        </w:rPr>
        <w:t>文件。</w:t>
      </w:r>
      <w:r>
        <w:rPr>
          <w:sz w:val="21"/>
          <w:szCs w:val="21"/>
          <w:u w:val="single" w:color="auto"/>
        </w:rPr>
        <w:t xml:space="preserve">   </w:t>
      </w:r>
    </w:p>
    <w:p>
      <w:pPr>
        <w:pStyle w:val="11"/>
        <w:spacing w:before="34" w:line="223" w:lineRule="auto"/>
        <w:ind w:left="455"/>
        <w:outlineLvl w:val="2"/>
        <w:rPr>
          <w:sz w:val="21"/>
          <w:szCs w:val="21"/>
        </w:rPr>
      </w:pPr>
      <w:r>
        <w:rPr>
          <w:spacing w:val="-6"/>
          <w:sz w:val="21"/>
          <w:szCs w:val="21"/>
        </w:rPr>
        <w:t>1.6</w:t>
      </w:r>
      <w:r>
        <w:rPr>
          <w:spacing w:val="12"/>
          <w:sz w:val="21"/>
          <w:szCs w:val="21"/>
        </w:rPr>
        <w:t xml:space="preserve"> </w:t>
      </w:r>
      <w:r>
        <w:rPr>
          <w:spacing w:val="-6"/>
          <w:sz w:val="21"/>
          <w:szCs w:val="21"/>
        </w:rPr>
        <w:t>联络</w:t>
      </w:r>
    </w:p>
    <w:p>
      <w:pPr>
        <w:pStyle w:val="11"/>
        <w:spacing w:before="75" w:line="256" w:lineRule="auto"/>
        <w:ind w:left="22" w:right="31" w:firstLine="433"/>
        <w:rPr>
          <w:sz w:val="21"/>
          <w:szCs w:val="21"/>
        </w:rPr>
      </w:pPr>
      <w:r>
        <w:rPr>
          <w:spacing w:val="-1"/>
          <w:sz w:val="21"/>
          <w:szCs w:val="21"/>
        </w:rPr>
        <w:t>1.6.1 发包人和设计人应当在</w:t>
      </w:r>
      <w:r>
        <w:rPr>
          <w:spacing w:val="36"/>
          <w:sz w:val="21"/>
          <w:szCs w:val="21"/>
          <w:u w:val="single" w:color="auto"/>
        </w:rPr>
        <w:t xml:space="preserve">  </w:t>
      </w:r>
      <w:r>
        <w:rPr>
          <w:spacing w:val="-1"/>
          <w:sz w:val="21"/>
          <w:szCs w:val="21"/>
          <w:u w:val="single" w:color="auto"/>
        </w:rPr>
        <w:t xml:space="preserve">5 </w:t>
      </w:r>
      <w:r>
        <w:rPr>
          <w:spacing w:val="-1"/>
          <w:sz w:val="21"/>
          <w:szCs w:val="21"/>
        </w:rPr>
        <w:t>天内将与合</w:t>
      </w:r>
      <w:r>
        <w:rPr>
          <w:spacing w:val="-2"/>
          <w:sz w:val="21"/>
          <w:szCs w:val="21"/>
        </w:rPr>
        <w:t>同有关的通知、批准、证明、证书、指示、</w:t>
      </w:r>
      <w:r>
        <w:rPr>
          <w:sz w:val="21"/>
          <w:szCs w:val="21"/>
        </w:rPr>
        <w:t xml:space="preserve"> 指令、要求、请求、同意、确定和决定等书面函件送达对</w:t>
      </w:r>
      <w:r>
        <w:rPr>
          <w:spacing w:val="-1"/>
          <w:sz w:val="21"/>
          <w:szCs w:val="21"/>
        </w:rPr>
        <w:t>方当事人。</w:t>
      </w:r>
    </w:p>
    <w:p>
      <w:pPr>
        <w:pStyle w:val="11"/>
        <w:spacing w:before="78" w:line="221" w:lineRule="auto"/>
        <w:ind w:left="455"/>
        <w:rPr>
          <w:sz w:val="21"/>
          <w:szCs w:val="21"/>
        </w:rPr>
      </w:pPr>
      <w:r>
        <w:rPr>
          <w:spacing w:val="-2"/>
          <w:sz w:val="21"/>
          <w:szCs w:val="21"/>
        </w:rPr>
        <w:t>1.6.2 发包人与设计人联系信息</w:t>
      </w:r>
    </w:p>
    <w:p>
      <w:pPr>
        <w:pStyle w:val="11"/>
        <w:spacing w:before="80" w:line="221" w:lineRule="auto"/>
        <w:ind w:left="443"/>
        <w:rPr>
          <w:sz w:val="21"/>
          <w:szCs w:val="21"/>
        </w:rPr>
      </w:pPr>
      <w:r>
        <w:rPr>
          <w:spacing w:val="-1"/>
          <w:sz w:val="21"/>
          <w:szCs w:val="21"/>
        </w:rPr>
        <w:t>发包人接收文件的地点：</w:t>
      </w:r>
      <w:r>
        <w:rPr>
          <w:spacing w:val="4"/>
          <w:sz w:val="21"/>
          <w:szCs w:val="21"/>
          <w:u w:val="single" w:color="auto"/>
        </w:rPr>
        <w:t xml:space="preserve">                      </w:t>
      </w:r>
      <w:r>
        <w:rPr>
          <w:spacing w:val="-1"/>
          <w:sz w:val="21"/>
          <w:szCs w:val="21"/>
        </w:rPr>
        <w:t>；</w:t>
      </w:r>
    </w:p>
    <w:p>
      <w:pPr>
        <w:pStyle w:val="11"/>
        <w:spacing w:before="78" w:line="277" w:lineRule="auto"/>
        <w:ind w:left="443" w:right="2421"/>
        <w:rPr>
          <w:sz w:val="21"/>
          <w:szCs w:val="21"/>
        </w:rPr>
      </w:pPr>
      <w:r>
        <w:rPr>
          <w:spacing w:val="-1"/>
          <w:sz w:val="21"/>
          <w:szCs w:val="21"/>
        </w:rPr>
        <w:t>发包人指定的接收人为</w:t>
      </w:r>
      <w:r>
        <w:rPr>
          <w:spacing w:val="-24"/>
          <w:sz w:val="21"/>
          <w:szCs w:val="21"/>
        </w:rPr>
        <w:t>：</w:t>
      </w:r>
      <w:r>
        <w:rPr>
          <w:sz w:val="21"/>
          <w:szCs w:val="21"/>
          <w:u w:val="single" w:color="auto"/>
        </w:rPr>
        <w:t xml:space="preserve">                                </w:t>
      </w:r>
      <w:r>
        <w:rPr>
          <w:spacing w:val="-24"/>
          <w:sz w:val="21"/>
          <w:szCs w:val="21"/>
        </w:rPr>
        <w:t>；</w:t>
      </w:r>
      <w:r>
        <w:rPr>
          <w:spacing w:val="1"/>
          <w:sz w:val="21"/>
          <w:szCs w:val="21"/>
        </w:rPr>
        <w:t xml:space="preserve"> </w:t>
      </w:r>
      <w:r>
        <w:rPr>
          <w:spacing w:val="-1"/>
          <w:sz w:val="21"/>
          <w:szCs w:val="21"/>
        </w:rPr>
        <w:t>发包人指定的联系电话及传真号码</w:t>
      </w:r>
      <w:r>
        <w:rPr>
          <w:spacing w:val="-22"/>
          <w:sz w:val="21"/>
          <w:szCs w:val="21"/>
        </w:rPr>
        <w:t>：</w:t>
      </w:r>
      <w:r>
        <w:rPr>
          <w:sz w:val="21"/>
          <w:szCs w:val="21"/>
          <w:u w:val="single" w:color="auto"/>
        </w:rPr>
        <w:t xml:space="preserve">                      </w:t>
      </w:r>
      <w:r>
        <w:rPr>
          <w:spacing w:val="-22"/>
          <w:sz w:val="21"/>
          <w:szCs w:val="21"/>
        </w:rPr>
        <w:t>；</w:t>
      </w:r>
    </w:p>
    <w:p>
      <w:pPr>
        <w:pStyle w:val="11"/>
        <w:spacing w:before="28" w:line="284" w:lineRule="auto"/>
        <w:ind w:left="443" w:right="726"/>
        <w:jc w:val="both"/>
        <w:rPr>
          <w:sz w:val="21"/>
          <w:szCs w:val="21"/>
        </w:rPr>
        <w:sectPr>
          <w:footerReference r:id="rId9" w:type="default"/>
          <w:pgSz w:w="11907" w:h="16841"/>
          <w:pgMar w:top="400" w:right="1431" w:bottom="1015" w:left="1785" w:header="0" w:footer="851" w:gutter="0"/>
          <w:cols w:space="720" w:num="1"/>
        </w:sectPr>
      </w:pPr>
      <w:r>
        <w:rPr>
          <w:spacing w:val="-4"/>
          <w:sz w:val="21"/>
          <w:szCs w:val="21"/>
        </w:rPr>
        <w:t>发包人指定的电子邮箱：</w:t>
      </w:r>
      <w:r>
        <w:rPr>
          <w:spacing w:val="2"/>
          <w:sz w:val="21"/>
          <w:szCs w:val="21"/>
          <w:u w:val="single" w:color="auto"/>
        </w:rPr>
        <w:t xml:space="preserve">                                               </w:t>
      </w:r>
      <w:r>
        <w:rPr>
          <w:spacing w:val="-4"/>
          <w:sz w:val="21"/>
          <w:szCs w:val="21"/>
        </w:rPr>
        <w:t>。</w:t>
      </w:r>
      <w:r>
        <w:rPr>
          <w:spacing w:val="16"/>
          <w:sz w:val="21"/>
          <w:szCs w:val="21"/>
        </w:rPr>
        <w:t xml:space="preserve"> </w:t>
      </w:r>
      <w:r>
        <w:rPr>
          <w:spacing w:val="-1"/>
          <w:sz w:val="21"/>
          <w:szCs w:val="21"/>
        </w:rPr>
        <w:t>设计人接收文件的地点</w:t>
      </w:r>
      <w:r>
        <w:rPr>
          <w:spacing w:val="-17"/>
          <w:sz w:val="21"/>
          <w:szCs w:val="21"/>
        </w:rPr>
        <w:t>：</w:t>
      </w:r>
      <w:r>
        <w:rPr>
          <w:sz w:val="21"/>
          <w:szCs w:val="21"/>
          <w:u w:val="single" w:color="auto"/>
        </w:rPr>
        <w:t xml:space="preserve">                                                </w:t>
      </w:r>
      <w:r>
        <w:rPr>
          <w:spacing w:val="-17"/>
          <w:sz w:val="21"/>
          <w:szCs w:val="21"/>
        </w:rPr>
        <w:t>；</w:t>
      </w:r>
      <w:r>
        <w:rPr>
          <w:spacing w:val="1"/>
          <w:sz w:val="21"/>
          <w:szCs w:val="21"/>
        </w:rPr>
        <w:t xml:space="preserve"> </w:t>
      </w:r>
      <w:r>
        <w:rPr>
          <w:spacing w:val="-1"/>
          <w:sz w:val="21"/>
          <w:szCs w:val="21"/>
        </w:rPr>
        <w:t>设计人指定的接收人为</w:t>
      </w:r>
      <w:r>
        <w:rPr>
          <w:spacing w:val="-17"/>
          <w:sz w:val="21"/>
          <w:szCs w:val="21"/>
        </w:rPr>
        <w:t>：</w:t>
      </w:r>
      <w:r>
        <w:rPr>
          <w:sz w:val="21"/>
          <w:szCs w:val="21"/>
          <w:u w:val="single" w:color="auto"/>
        </w:rPr>
        <w:t xml:space="preserve">                                                </w:t>
      </w:r>
      <w:r>
        <w:rPr>
          <w:spacing w:val="-17"/>
          <w:sz w:val="21"/>
          <w:szCs w:val="21"/>
        </w:rPr>
        <w:t>；</w:t>
      </w:r>
      <w:r>
        <w:rPr>
          <w:spacing w:val="1"/>
          <w:sz w:val="21"/>
          <w:szCs w:val="21"/>
        </w:rPr>
        <w:t xml:space="preserve"> </w:t>
      </w:r>
      <w:r>
        <w:rPr>
          <w:spacing w:val="-1"/>
          <w:sz w:val="21"/>
          <w:szCs w:val="21"/>
        </w:rPr>
        <w:t>设计人指定的联系电话及传真号码</w:t>
      </w:r>
      <w:r>
        <w:rPr>
          <w:spacing w:val="-22"/>
          <w:sz w:val="21"/>
          <w:szCs w:val="21"/>
        </w:rPr>
        <w:t>：</w:t>
      </w:r>
      <w:r>
        <w:rPr>
          <w:sz w:val="21"/>
          <w:szCs w:val="21"/>
          <w:u w:val="single" w:color="auto"/>
        </w:rPr>
        <w:t xml:space="preserve">                                      </w:t>
      </w:r>
      <w:r>
        <w:rPr>
          <w:spacing w:val="-22"/>
          <w:sz w:val="21"/>
          <w:szCs w:val="21"/>
        </w:rPr>
        <w:t>；</w:t>
      </w:r>
    </w:p>
    <w:p>
      <w:pPr>
        <w:spacing w:line="262" w:lineRule="auto"/>
        <w:rPr>
          <w:rFonts w:ascii="Arial"/>
          <w:sz w:val="21"/>
        </w:rPr>
      </w:pPr>
    </w:p>
    <w:p>
      <w:pPr>
        <w:pStyle w:val="11"/>
        <w:spacing w:before="68" w:line="221" w:lineRule="auto"/>
        <w:ind w:left="443"/>
        <w:rPr>
          <w:sz w:val="21"/>
          <w:szCs w:val="21"/>
        </w:rPr>
      </w:pPr>
      <w:r>
        <w:rPr>
          <w:sz w:val="21"/>
          <w:szCs w:val="21"/>
        </w:rPr>
        <w:t>设计人指定的电子邮箱：</w:t>
      </w:r>
      <w:r>
        <w:rPr>
          <w:sz w:val="21"/>
          <w:szCs w:val="21"/>
          <w:u w:val="single" w:color="auto"/>
        </w:rPr>
        <w:t xml:space="preserve">                                    </w:t>
      </w:r>
      <w:r>
        <w:rPr>
          <w:spacing w:val="-1"/>
          <w:sz w:val="21"/>
          <w:szCs w:val="21"/>
          <w:u w:val="single" w:color="auto"/>
        </w:rPr>
        <w:t xml:space="preserve">            </w:t>
      </w:r>
      <w:r>
        <w:rPr>
          <w:spacing w:val="-1"/>
          <w:sz w:val="21"/>
          <w:szCs w:val="21"/>
        </w:rPr>
        <w:t>。</w:t>
      </w:r>
    </w:p>
    <w:p>
      <w:pPr>
        <w:pStyle w:val="11"/>
        <w:spacing w:before="79" w:line="221" w:lineRule="auto"/>
        <w:ind w:left="455"/>
        <w:outlineLvl w:val="2"/>
        <w:rPr>
          <w:sz w:val="21"/>
          <w:szCs w:val="21"/>
        </w:rPr>
      </w:pPr>
      <w:r>
        <w:rPr>
          <w:spacing w:val="-6"/>
          <w:sz w:val="21"/>
          <w:szCs w:val="21"/>
        </w:rPr>
        <w:t>1.8</w:t>
      </w:r>
      <w:r>
        <w:rPr>
          <w:spacing w:val="12"/>
          <w:sz w:val="21"/>
          <w:szCs w:val="21"/>
        </w:rPr>
        <w:t xml:space="preserve"> </w:t>
      </w:r>
      <w:r>
        <w:rPr>
          <w:spacing w:val="-6"/>
          <w:sz w:val="21"/>
          <w:szCs w:val="21"/>
        </w:rPr>
        <w:t>保密</w:t>
      </w:r>
    </w:p>
    <w:p>
      <w:pPr>
        <w:pStyle w:val="11"/>
        <w:spacing w:before="77" w:line="281" w:lineRule="auto"/>
        <w:ind w:left="19" w:right="3" w:firstLine="421"/>
        <w:jc w:val="both"/>
        <w:rPr>
          <w:sz w:val="21"/>
          <w:szCs w:val="21"/>
        </w:rPr>
      </w:pPr>
      <w:r>
        <w:rPr>
          <w:spacing w:val="1"/>
          <w:sz w:val="21"/>
          <w:szCs w:val="21"/>
        </w:rPr>
        <w:t>保密义务：</w:t>
      </w:r>
      <w:r>
        <w:rPr>
          <w:spacing w:val="1"/>
          <w:sz w:val="21"/>
          <w:szCs w:val="21"/>
          <w:u w:val="single" w:color="auto"/>
        </w:rPr>
        <w:t>双方均应保护对方的知识产权，未经对方同意，任何一方均不得对对方的资料</w:t>
      </w:r>
      <w:r>
        <w:rPr>
          <w:spacing w:val="12"/>
          <w:sz w:val="21"/>
          <w:szCs w:val="21"/>
        </w:rPr>
        <w:t xml:space="preserve"> </w:t>
      </w:r>
      <w:r>
        <w:rPr>
          <w:spacing w:val="1"/>
          <w:sz w:val="21"/>
          <w:szCs w:val="21"/>
        </w:rPr>
        <w:t>及文件擅自修改、复制或向第三方转让或用于本合同项目外的项目。如发生以上情况，泄密方</w:t>
      </w:r>
      <w:r>
        <w:rPr>
          <w:spacing w:val="10"/>
          <w:sz w:val="21"/>
          <w:szCs w:val="21"/>
        </w:rPr>
        <w:t xml:space="preserve"> </w:t>
      </w:r>
      <w:r>
        <w:rPr>
          <w:spacing w:val="-1"/>
          <w:sz w:val="21"/>
          <w:szCs w:val="21"/>
          <w:u w:val="single" w:color="auto"/>
        </w:rPr>
        <w:t>承担一切由此引起的后果并承担赔偿责任</w:t>
      </w:r>
      <w:r>
        <w:rPr>
          <w:spacing w:val="-1"/>
          <w:sz w:val="21"/>
          <w:szCs w:val="21"/>
        </w:rPr>
        <w:t>。</w:t>
      </w:r>
    </w:p>
    <w:p>
      <w:pPr>
        <w:pStyle w:val="11"/>
        <w:spacing w:before="32" w:line="221" w:lineRule="auto"/>
        <w:ind w:left="445"/>
        <w:outlineLvl w:val="1"/>
        <w:rPr>
          <w:sz w:val="21"/>
          <w:szCs w:val="21"/>
        </w:rPr>
      </w:pPr>
      <w:r>
        <w:rPr>
          <w:b/>
          <w:bCs/>
          <w:spacing w:val="-6"/>
          <w:sz w:val="21"/>
          <w:szCs w:val="21"/>
        </w:rPr>
        <w:t>2.</w:t>
      </w:r>
      <w:r>
        <w:rPr>
          <w:spacing w:val="15"/>
          <w:sz w:val="21"/>
          <w:szCs w:val="21"/>
        </w:rPr>
        <w:t xml:space="preserve"> </w:t>
      </w:r>
      <w:r>
        <w:rPr>
          <w:b/>
          <w:bCs/>
          <w:spacing w:val="-6"/>
          <w:sz w:val="21"/>
          <w:szCs w:val="21"/>
        </w:rPr>
        <w:t>发包人</w:t>
      </w:r>
    </w:p>
    <w:p>
      <w:pPr>
        <w:pStyle w:val="11"/>
        <w:spacing w:before="76" w:line="221" w:lineRule="auto"/>
        <w:ind w:left="442"/>
        <w:outlineLvl w:val="2"/>
        <w:rPr>
          <w:sz w:val="21"/>
          <w:szCs w:val="21"/>
        </w:rPr>
      </w:pPr>
      <w:r>
        <w:rPr>
          <w:spacing w:val="-1"/>
          <w:sz w:val="21"/>
          <w:szCs w:val="21"/>
        </w:rPr>
        <w:t>2.1 发包人一般义务</w:t>
      </w:r>
    </w:p>
    <w:p>
      <w:pPr>
        <w:pStyle w:val="11"/>
        <w:spacing w:before="80" w:line="221" w:lineRule="auto"/>
        <w:ind w:left="442"/>
        <w:rPr>
          <w:sz w:val="21"/>
          <w:szCs w:val="21"/>
        </w:rPr>
      </w:pPr>
      <w:r>
        <w:rPr>
          <w:spacing w:val="-3"/>
          <w:sz w:val="21"/>
          <w:szCs w:val="21"/>
        </w:rPr>
        <w:t>2.1.1 发包人其他义务：</w:t>
      </w:r>
    </w:p>
    <w:p>
      <w:pPr>
        <w:pStyle w:val="11"/>
        <w:spacing w:before="79" w:line="281" w:lineRule="auto"/>
        <w:ind w:left="21" w:firstLine="421"/>
        <w:rPr>
          <w:sz w:val="21"/>
          <w:szCs w:val="21"/>
        </w:rPr>
      </w:pPr>
      <w:r>
        <w:fldChar w:fldCharType="begin"/>
      </w:r>
      <w:r>
        <w:instrText xml:space="preserve"> HYPERLINK "2.1.1.1" </w:instrText>
      </w:r>
      <w:r>
        <w:fldChar w:fldCharType="separate"/>
      </w:r>
      <w:r>
        <w:rPr>
          <w:spacing w:val="-3"/>
          <w:sz w:val="21"/>
          <w:szCs w:val="21"/>
          <w:u w:val="single" w:color="auto"/>
        </w:rPr>
        <w:t>2.1.1.1</w:t>
      </w:r>
      <w:r>
        <w:rPr>
          <w:spacing w:val="-3"/>
          <w:sz w:val="21"/>
          <w:szCs w:val="21"/>
          <w:u w:val="single" w:color="auto"/>
        </w:rPr>
        <w:fldChar w:fldCharType="end"/>
      </w:r>
      <w:r>
        <w:rPr>
          <w:spacing w:val="-28"/>
          <w:sz w:val="21"/>
          <w:szCs w:val="21"/>
          <w:u w:val="single" w:color="auto"/>
        </w:rPr>
        <w:t xml:space="preserve"> </w:t>
      </w:r>
      <w:r>
        <w:rPr>
          <w:spacing w:val="-3"/>
          <w:sz w:val="21"/>
          <w:szCs w:val="21"/>
          <w:u w:val="single" w:color="auto"/>
        </w:rPr>
        <w:t>发包人应在规定的时间内向设计人提交基础资料及文件，并对其完整性、正确性及</w:t>
      </w:r>
      <w:r>
        <w:rPr>
          <w:sz w:val="21"/>
          <w:szCs w:val="21"/>
        </w:rPr>
        <w:t xml:space="preserve"> </w:t>
      </w:r>
      <w:r>
        <w:rPr>
          <w:spacing w:val="1"/>
          <w:sz w:val="21"/>
          <w:szCs w:val="21"/>
          <w:u w:val="single" w:color="auto"/>
        </w:rPr>
        <w:t>时限负责。发包人不得要求设计人违反国家有关标准进行设计。发包人提交上述资料及文件超</w:t>
      </w:r>
      <w:r>
        <w:rPr>
          <w:spacing w:val="8"/>
          <w:sz w:val="21"/>
          <w:szCs w:val="21"/>
        </w:rPr>
        <w:t xml:space="preserve"> </w:t>
      </w:r>
      <w:r>
        <w:rPr>
          <w:spacing w:val="-1"/>
          <w:sz w:val="21"/>
          <w:szCs w:val="21"/>
          <w:u w:val="single" w:color="auto"/>
        </w:rPr>
        <w:t>过规定期限</w:t>
      </w:r>
      <w:r>
        <w:rPr>
          <w:spacing w:val="-28"/>
          <w:sz w:val="21"/>
          <w:szCs w:val="21"/>
          <w:u w:val="single" w:color="auto"/>
        </w:rPr>
        <w:t xml:space="preserve"> </w:t>
      </w:r>
      <w:r>
        <w:rPr>
          <w:spacing w:val="-1"/>
          <w:sz w:val="21"/>
          <w:szCs w:val="21"/>
          <w:u w:val="single" w:color="auto"/>
        </w:rPr>
        <w:t>15</w:t>
      </w:r>
      <w:r>
        <w:rPr>
          <w:spacing w:val="-43"/>
          <w:sz w:val="21"/>
          <w:szCs w:val="21"/>
          <w:u w:val="single" w:color="auto"/>
        </w:rPr>
        <w:t xml:space="preserve"> </w:t>
      </w:r>
      <w:r>
        <w:rPr>
          <w:spacing w:val="-1"/>
          <w:sz w:val="21"/>
          <w:szCs w:val="21"/>
          <w:u w:val="single" w:color="auto"/>
        </w:rPr>
        <w:t>天以内，设计人按本合同第七条规定的交付设计文件</w:t>
      </w:r>
      <w:r>
        <w:rPr>
          <w:spacing w:val="-2"/>
          <w:sz w:val="21"/>
          <w:szCs w:val="21"/>
          <w:u w:val="single" w:color="auto"/>
        </w:rPr>
        <w:t>时间顺延。</w:t>
      </w:r>
    </w:p>
    <w:p>
      <w:pPr>
        <w:pStyle w:val="11"/>
        <w:spacing w:before="32" w:line="281" w:lineRule="auto"/>
        <w:ind w:left="20" w:firstLine="422"/>
        <w:rPr>
          <w:sz w:val="21"/>
          <w:szCs w:val="21"/>
        </w:rPr>
      </w:pPr>
      <w:r>
        <w:fldChar w:fldCharType="begin"/>
      </w:r>
      <w:r>
        <w:instrText xml:space="preserve"> HYPERLINK "2.1.1.2" </w:instrText>
      </w:r>
      <w:r>
        <w:fldChar w:fldCharType="separate"/>
      </w:r>
      <w:r>
        <w:rPr>
          <w:spacing w:val="-3"/>
          <w:sz w:val="21"/>
          <w:szCs w:val="21"/>
          <w:u w:val="single" w:color="auto"/>
        </w:rPr>
        <w:t>2.1.1.2</w:t>
      </w:r>
      <w:r>
        <w:rPr>
          <w:spacing w:val="-3"/>
          <w:sz w:val="21"/>
          <w:szCs w:val="21"/>
          <w:u w:val="single" w:color="auto"/>
        </w:rPr>
        <w:fldChar w:fldCharType="end"/>
      </w:r>
      <w:r>
        <w:rPr>
          <w:spacing w:val="-28"/>
          <w:sz w:val="21"/>
          <w:szCs w:val="21"/>
          <w:u w:val="single" w:color="auto"/>
        </w:rPr>
        <w:t xml:space="preserve"> </w:t>
      </w:r>
      <w:r>
        <w:rPr>
          <w:spacing w:val="-3"/>
          <w:sz w:val="21"/>
          <w:szCs w:val="21"/>
          <w:u w:val="single" w:color="auto"/>
        </w:rPr>
        <w:t>发包人变更委托设计项目、规模、条件或因提交的资料错误，或所提交资料作较大</w:t>
      </w:r>
      <w:r>
        <w:rPr>
          <w:sz w:val="21"/>
          <w:szCs w:val="21"/>
        </w:rPr>
        <w:t xml:space="preserve"> </w:t>
      </w:r>
      <w:r>
        <w:rPr>
          <w:spacing w:val="-1"/>
          <w:sz w:val="21"/>
          <w:szCs w:val="21"/>
          <w:u w:val="single" w:color="auto"/>
        </w:rPr>
        <w:t>修改,以致造成设计人设计返工时，双方需另行协商签订补充协议（或</w:t>
      </w:r>
      <w:r>
        <w:rPr>
          <w:spacing w:val="-2"/>
          <w:sz w:val="21"/>
          <w:szCs w:val="21"/>
          <w:u w:val="single" w:color="auto"/>
        </w:rPr>
        <w:t>另订合同）重新明确有关</w:t>
      </w:r>
      <w:r>
        <w:rPr>
          <w:sz w:val="21"/>
          <w:szCs w:val="21"/>
        </w:rPr>
        <w:t xml:space="preserve"> </w:t>
      </w:r>
      <w:r>
        <w:rPr>
          <w:spacing w:val="-2"/>
          <w:sz w:val="21"/>
          <w:szCs w:val="21"/>
          <w:u w:val="single" w:color="auto"/>
        </w:rPr>
        <w:t>条款。</w:t>
      </w:r>
    </w:p>
    <w:p>
      <w:pPr>
        <w:pStyle w:val="11"/>
        <w:spacing w:before="29" w:line="278" w:lineRule="auto"/>
        <w:ind w:left="20" w:firstLine="422"/>
        <w:rPr>
          <w:sz w:val="21"/>
          <w:szCs w:val="21"/>
          <w:u w:val="single" w:color="auto"/>
        </w:rPr>
      </w:pPr>
      <w:r>
        <w:fldChar w:fldCharType="begin"/>
      </w:r>
      <w:r>
        <w:instrText xml:space="preserve"> HYPERLINK "2.1.1.3" </w:instrText>
      </w:r>
      <w:r>
        <w:fldChar w:fldCharType="separate"/>
      </w:r>
      <w:r>
        <w:rPr>
          <w:spacing w:val="-3"/>
          <w:sz w:val="21"/>
          <w:szCs w:val="21"/>
          <w:u w:val="single" w:color="auto"/>
        </w:rPr>
        <w:t>2.1.1.3</w:t>
      </w:r>
      <w:r>
        <w:rPr>
          <w:spacing w:val="-3"/>
          <w:sz w:val="21"/>
          <w:szCs w:val="21"/>
          <w:u w:val="single" w:color="auto"/>
        </w:rPr>
        <w:fldChar w:fldCharType="end"/>
      </w:r>
      <w:r>
        <w:rPr>
          <w:spacing w:val="-29"/>
          <w:sz w:val="21"/>
          <w:szCs w:val="21"/>
          <w:u w:val="single" w:color="auto"/>
        </w:rPr>
        <w:t xml:space="preserve"> </w:t>
      </w:r>
      <w:r>
        <w:rPr>
          <w:spacing w:val="-3"/>
          <w:sz w:val="21"/>
          <w:szCs w:val="21"/>
          <w:u w:val="single" w:color="auto"/>
        </w:rPr>
        <w:t>在合同履行期间，工程停建而终止合同或发包人要求解除合同时，设计人未开始设</w:t>
      </w:r>
      <w:r>
        <w:rPr>
          <w:sz w:val="21"/>
          <w:szCs w:val="21"/>
        </w:rPr>
        <w:t xml:space="preserve"> </w:t>
      </w:r>
      <w:r>
        <w:rPr>
          <w:sz w:val="21"/>
          <w:szCs w:val="21"/>
          <w:u w:val="single" w:color="auto"/>
        </w:rPr>
        <w:t>计工作的，不退还发包人已付的定金；已开始设计工作的，按实际完成的工作量结算设计费。</w:t>
      </w:r>
    </w:p>
    <w:p>
      <w:pPr>
        <w:pStyle w:val="11"/>
        <w:spacing w:before="29" w:line="278" w:lineRule="auto"/>
        <w:ind w:left="20" w:firstLine="422"/>
        <w:rPr>
          <w:sz w:val="21"/>
          <w:szCs w:val="21"/>
        </w:rPr>
      </w:pPr>
      <w:r>
        <w:fldChar w:fldCharType="begin"/>
      </w:r>
      <w:r>
        <w:instrText xml:space="preserve"> HYPERLINK "2.1.1.4" </w:instrText>
      </w:r>
      <w:r>
        <w:fldChar w:fldCharType="separate"/>
      </w:r>
      <w:r>
        <w:rPr>
          <w:spacing w:val="-1"/>
          <w:sz w:val="21"/>
          <w:szCs w:val="21"/>
          <w:u w:val="single" w:color="auto"/>
        </w:rPr>
        <w:t>2.1.1.4</w:t>
      </w:r>
      <w:r>
        <w:rPr>
          <w:spacing w:val="-1"/>
          <w:sz w:val="21"/>
          <w:szCs w:val="21"/>
          <w:u w:val="single" w:color="auto"/>
        </w:rPr>
        <w:fldChar w:fldCharType="end"/>
      </w:r>
      <w:r>
        <w:rPr>
          <w:spacing w:val="-25"/>
          <w:sz w:val="21"/>
          <w:szCs w:val="21"/>
          <w:u w:val="single" w:color="auto"/>
        </w:rPr>
        <w:t xml:space="preserve"> </w:t>
      </w:r>
      <w:r>
        <w:rPr>
          <w:spacing w:val="-1"/>
          <w:sz w:val="21"/>
          <w:szCs w:val="21"/>
          <w:u w:val="single" w:color="auto"/>
        </w:rPr>
        <w:t>发包人应按本合同规定的金额和日期向设计人支付设计费。</w:t>
      </w:r>
    </w:p>
    <w:p>
      <w:pPr>
        <w:pStyle w:val="11"/>
        <w:spacing w:before="80" w:line="276" w:lineRule="auto"/>
        <w:ind w:left="21" w:firstLine="421"/>
        <w:rPr>
          <w:sz w:val="21"/>
          <w:szCs w:val="21"/>
        </w:rPr>
      </w:pPr>
      <w:r>
        <w:fldChar w:fldCharType="begin"/>
      </w:r>
      <w:r>
        <w:instrText xml:space="preserve"> HYPERLINK "2.1.1.5" </w:instrText>
      </w:r>
      <w:r>
        <w:fldChar w:fldCharType="separate"/>
      </w:r>
      <w:r>
        <w:rPr>
          <w:spacing w:val="-3"/>
          <w:sz w:val="21"/>
          <w:szCs w:val="21"/>
          <w:u w:val="single" w:color="auto"/>
        </w:rPr>
        <w:t>2.1.1.5</w:t>
      </w:r>
      <w:r>
        <w:rPr>
          <w:spacing w:val="-3"/>
          <w:sz w:val="21"/>
          <w:szCs w:val="21"/>
          <w:u w:val="single" w:color="auto"/>
        </w:rPr>
        <w:fldChar w:fldCharType="end"/>
      </w:r>
      <w:r>
        <w:rPr>
          <w:spacing w:val="-3"/>
          <w:sz w:val="21"/>
          <w:szCs w:val="21"/>
          <w:u w:val="single" w:color="auto"/>
        </w:rPr>
        <w:t>发包人要求设计人比合同规定时间提前交付设计文件时，须征得设计人同意，不得</w:t>
      </w:r>
      <w:r>
        <w:rPr>
          <w:spacing w:val="2"/>
          <w:sz w:val="21"/>
          <w:szCs w:val="21"/>
          <w:u w:val="single" w:color="auto"/>
        </w:rPr>
        <w:t>严重背离合理设计周期。</w:t>
      </w:r>
    </w:p>
    <w:p>
      <w:pPr>
        <w:pStyle w:val="11"/>
        <w:spacing w:before="33" w:line="221" w:lineRule="auto"/>
        <w:ind w:left="442"/>
        <w:outlineLvl w:val="2"/>
        <w:rPr>
          <w:sz w:val="21"/>
          <w:szCs w:val="21"/>
        </w:rPr>
      </w:pPr>
      <w:r>
        <w:rPr>
          <w:spacing w:val="-3"/>
          <w:sz w:val="21"/>
          <w:szCs w:val="21"/>
        </w:rPr>
        <w:t>2.2</w:t>
      </w:r>
      <w:r>
        <w:rPr>
          <w:spacing w:val="15"/>
          <w:sz w:val="21"/>
          <w:szCs w:val="21"/>
        </w:rPr>
        <w:t xml:space="preserve"> </w:t>
      </w:r>
      <w:r>
        <w:rPr>
          <w:spacing w:val="-3"/>
          <w:sz w:val="21"/>
          <w:szCs w:val="21"/>
        </w:rPr>
        <w:t>发包人代表</w:t>
      </w:r>
    </w:p>
    <w:p>
      <w:pPr>
        <w:pStyle w:val="11"/>
        <w:spacing w:before="77" w:line="221" w:lineRule="auto"/>
        <w:ind w:left="443"/>
        <w:rPr>
          <w:sz w:val="21"/>
          <w:szCs w:val="21"/>
        </w:rPr>
      </w:pPr>
      <w:r>
        <w:rPr>
          <w:spacing w:val="-2"/>
          <w:sz w:val="21"/>
          <w:szCs w:val="21"/>
        </w:rPr>
        <w:t>发包人代表：</w:t>
      </w:r>
    </w:p>
    <w:p>
      <w:pPr>
        <w:pStyle w:val="11"/>
        <w:spacing w:before="84" w:line="285" w:lineRule="auto"/>
        <w:ind w:left="440" w:right="722"/>
        <w:rPr>
          <w:spacing w:val="1"/>
          <w:sz w:val="21"/>
          <w:szCs w:val="21"/>
        </w:rPr>
      </w:pPr>
      <w:r>
        <w:rPr>
          <w:spacing w:val="-7"/>
          <w:sz w:val="21"/>
          <w:szCs w:val="21"/>
        </w:rPr>
        <w:t>姓</w:t>
      </w:r>
      <w:r>
        <w:rPr>
          <w:spacing w:val="3"/>
          <w:sz w:val="21"/>
          <w:szCs w:val="21"/>
        </w:rPr>
        <w:t xml:space="preserve">    </w:t>
      </w:r>
      <w:r>
        <w:rPr>
          <w:spacing w:val="-7"/>
          <w:sz w:val="21"/>
          <w:szCs w:val="21"/>
        </w:rPr>
        <w:t>名</w:t>
      </w:r>
      <w:r>
        <w:rPr>
          <w:spacing w:val="-18"/>
          <w:sz w:val="21"/>
          <w:szCs w:val="21"/>
        </w:rPr>
        <w:t>：</w:t>
      </w:r>
      <w:r>
        <w:rPr>
          <w:sz w:val="21"/>
          <w:szCs w:val="21"/>
          <w:u w:val="single" w:color="auto"/>
        </w:rPr>
        <w:t xml:space="preserve">                                                            </w:t>
      </w:r>
      <w:r>
        <w:rPr>
          <w:spacing w:val="-18"/>
          <w:sz w:val="21"/>
          <w:szCs w:val="21"/>
        </w:rPr>
        <w:t>；</w:t>
      </w:r>
      <w:r>
        <w:rPr>
          <w:spacing w:val="1"/>
          <w:sz w:val="21"/>
          <w:szCs w:val="21"/>
        </w:rPr>
        <w:t xml:space="preserve"> </w:t>
      </w:r>
    </w:p>
    <w:p>
      <w:pPr>
        <w:pStyle w:val="11"/>
        <w:spacing w:before="84" w:line="285" w:lineRule="auto"/>
        <w:ind w:left="440" w:right="722"/>
        <w:rPr>
          <w:spacing w:val="-15"/>
          <w:sz w:val="21"/>
          <w:szCs w:val="21"/>
        </w:rPr>
      </w:pPr>
      <w:r>
        <w:rPr>
          <w:spacing w:val="-2"/>
          <w:sz w:val="21"/>
          <w:szCs w:val="21"/>
        </w:rPr>
        <w:t>身份证号</w:t>
      </w:r>
      <w:r>
        <w:rPr>
          <w:spacing w:val="-15"/>
          <w:sz w:val="21"/>
          <w:szCs w:val="21"/>
        </w:rPr>
        <w:t>：</w:t>
      </w:r>
      <w:r>
        <w:rPr>
          <w:sz w:val="21"/>
          <w:szCs w:val="21"/>
          <w:u w:val="single" w:color="auto"/>
        </w:rPr>
        <w:t xml:space="preserve">                                                            </w:t>
      </w:r>
      <w:r>
        <w:rPr>
          <w:spacing w:val="-15"/>
          <w:sz w:val="21"/>
          <w:szCs w:val="21"/>
        </w:rPr>
        <w:t>；</w:t>
      </w:r>
    </w:p>
    <w:p>
      <w:pPr>
        <w:pStyle w:val="11"/>
        <w:spacing w:before="84" w:line="285" w:lineRule="auto"/>
        <w:ind w:left="440" w:right="722"/>
        <w:rPr>
          <w:spacing w:val="3"/>
          <w:sz w:val="21"/>
          <w:szCs w:val="21"/>
        </w:rPr>
      </w:pPr>
      <w:r>
        <w:rPr>
          <w:spacing w:val="1"/>
          <w:sz w:val="21"/>
          <w:szCs w:val="21"/>
        </w:rPr>
        <w:t xml:space="preserve"> </w:t>
      </w:r>
      <w:r>
        <w:rPr>
          <w:spacing w:val="-7"/>
          <w:sz w:val="21"/>
          <w:szCs w:val="21"/>
        </w:rPr>
        <w:t>职</w:t>
      </w:r>
      <w:r>
        <w:rPr>
          <w:spacing w:val="2"/>
          <w:sz w:val="21"/>
          <w:szCs w:val="21"/>
        </w:rPr>
        <w:t xml:space="preserve">    </w:t>
      </w:r>
      <w:r>
        <w:rPr>
          <w:spacing w:val="-7"/>
          <w:sz w:val="21"/>
          <w:szCs w:val="21"/>
        </w:rPr>
        <w:t>务</w:t>
      </w:r>
      <w:r>
        <w:rPr>
          <w:spacing w:val="-17"/>
          <w:sz w:val="21"/>
          <w:szCs w:val="21"/>
        </w:rPr>
        <w:t>：</w:t>
      </w:r>
      <w:r>
        <w:rPr>
          <w:sz w:val="21"/>
          <w:szCs w:val="21"/>
          <w:u w:val="single" w:color="auto"/>
        </w:rPr>
        <w:t xml:space="preserve">                                                            </w:t>
      </w:r>
      <w:r>
        <w:rPr>
          <w:spacing w:val="-17"/>
          <w:sz w:val="21"/>
          <w:szCs w:val="21"/>
        </w:rPr>
        <w:t>；</w:t>
      </w:r>
      <w:r>
        <w:rPr>
          <w:spacing w:val="3"/>
          <w:sz w:val="21"/>
          <w:szCs w:val="21"/>
        </w:rPr>
        <w:t xml:space="preserve"> </w:t>
      </w:r>
    </w:p>
    <w:p>
      <w:pPr>
        <w:pStyle w:val="11"/>
        <w:spacing w:before="84" w:line="285" w:lineRule="auto"/>
        <w:ind w:left="440" w:right="722"/>
        <w:rPr>
          <w:spacing w:val="-15"/>
          <w:sz w:val="21"/>
          <w:szCs w:val="21"/>
        </w:rPr>
      </w:pPr>
      <w:r>
        <w:rPr>
          <w:spacing w:val="-2"/>
          <w:sz w:val="21"/>
          <w:szCs w:val="21"/>
        </w:rPr>
        <w:t>联系电话</w:t>
      </w:r>
      <w:r>
        <w:rPr>
          <w:spacing w:val="-15"/>
          <w:sz w:val="21"/>
          <w:szCs w:val="21"/>
        </w:rPr>
        <w:t>：</w:t>
      </w:r>
      <w:r>
        <w:rPr>
          <w:sz w:val="21"/>
          <w:szCs w:val="21"/>
          <w:u w:val="single" w:color="auto"/>
        </w:rPr>
        <w:t xml:space="preserve">                                                            </w:t>
      </w:r>
      <w:r>
        <w:rPr>
          <w:spacing w:val="-15"/>
          <w:sz w:val="21"/>
          <w:szCs w:val="21"/>
        </w:rPr>
        <w:t>；</w:t>
      </w:r>
    </w:p>
    <w:p>
      <w:pPr>
        <w:pStyle w:val="11"/>
        <w:spacing w:before="84" w:line="285" w:lineRule="auto"/>
        <w:ind w:left="440" w:right="722"/>
        <w:rPr>
          <w:spacing w:val="1"/>
          <w:sz w:val="21"/>
          <w:szCs w:val="21"/>
        </w:rPr>
      </w:pPr>
      <w:r>
        <w:rPr>
          <w:spacing w:val="1"/>
          <w:sz w:val="21"/>
          <w:szCs w:val="21"/>
        </w:rPr>
        <w:t xml:space="preserve"> </w:t>
      </w:r>
      <w:r>
        <w:rPr>
          <w:spacing w:val="-2"/>
          <w:sz w:val="21"/>
          <w:szCs w:val="21"/>
        </w:rPr>
        <w:t>电子信箱</w:t>
      </w:r>
      <w:r>
        <w:rPr>
          <w:spacing w:val="-15"/>
          <w:sz w:val="21"/>
          <w:szCs w:val="21"/>
        </w:rPr>
        <w:t>：</w:t>
      </w:r>
      <w:r>
        <w:rPr>
          <w:sz w:val="21"/>
          <w:szCs w:val="21"/>
          <w:u w:val="single" w:color="auto"/>
        </w:rPr>
        <w:t xml:space="preserve">                                                            </w:t>
      </w:r>
      <w:r>
        <w:rPr>
          <w:spacing w:val="-15"/>
          <w:sz w:val="21"/>
          <w:szCs w:val="21"/>
        </w:rPr>
        <w:t>；</w:t>
      </w:r>
      <w:r>
        <w:rPr>
          <w:spacing w:val="1"/>
          <w:sz w:val="21"/>
          <w:szCs w:val="21"/>
        </w:rPr>
        <w:t xml:space="preserve"> </w:t>
      </w:r>
    </w:p>
    <w:p>
      <w:pPr>
        <w:pStyle w:val="11"/>
        <w:spacing w:before="84" w:line="285" w:lineRule="auto"/>
        <w:ind w:left="440" w:right="722"/>
        <w:rPr>
          <w:sz w:val="21"/>
          <w:szCs w:val="21"/>
        </w:rPr>
      </w:pPr>
      <w:r>
        <w:rPr>
          <w:spacing w:val="-7"/>
          <w:sz w:val="21"/>
          <w:szCs w:val="21"/>
        </w:rPr>
        <w:t>通信地址：</w:t>
      </w:r>
      <w:r>
        <w:rPr>
          <w:sz w:val="21"/>
          <w:szCs w:val="21"/>
          <w:u w:val="single" w:color="auto"/>
        </w:rPr>
        <w:t xml:space="preserve">                                                            </w:t>
      </w:r>
      <w:r>
        <w:rPr>
          <w:spacing w:val="-7"/>
          <w:sz w:val="21"/>
          <w:szCs w:val="21"/>
        </w:rPr>
        <w:t>。</w:t>
      </w:r>
    </w:p>
    <w:p>
      <w:pPr>
        <w:pStyle w:val="11"/>
        <w:spacing w:before="32" w:line="276" w:lineRule="auto"/>
        <w:ind w:left="23" w:right="2" w:firstLine="419"/>
        <w:rPr>
          <w:sz w:val="21"/>
          <w:szCs w:val="21"/>
        </w:rPr>
      </w:pPr>
      <w:r>
        <w:rPr>
          <w:spacing w:val="1"/>
          <w:sz w:val="21"/>
          <w:szCs w:val="21"/>
        </w:rPr>
        <w:t>发包人对发包人代表的授权范围如下：</w:t>
      </w:r>
      <w:r>
        <w:rPr>
          <w:spacing w:val="1"/>
          <w:sz w:val="21"/>
          <w:szCs w:val="21"/>
          <w:u w:val="single" w:color="auto"/>
        </w:rPr>
        <w:t>发包人代表在发包人的授权范围内，负责处理合同</w:t>
      </w:r>
      <w:r>
        <w:rPr>
          <w:spacing w:val="11"/>
          <w:sz w:val="21"/>
          <w:szCs w:val="21"/>
        </w:rPr>
        <w:t xml:space="preserve"> </w:t>
      </w:r>
      <w:r>
        <w:rPr>
          <w:spacing w:val="-1"/>
          <w:sz w:val="21"/>
          <w:szCs w:val="21"/>
          <w:u w:val="single" w:color="auto"/>
        </w:rPr>
        <w:t>履行过程中与发包人有关的具体事宜。</w:t>
      </w:r>
    </w:p>
    <w:p>
      <w:pPr>
        <w:pStyle w:val="11"/>
        <w:spacing w:before="32" w:line="220" w:lineRule="auto"/>
        <w:ind w:left="443"/>
        <w:rPr>
          <w:sz w:val="21"/>
          <w:szCs w:val="21"/>
        </w:rPr>
      </w:pPr>
      <w:r>
        <w:rPr>
          <w:spacing w:val="-1"/>
          <w:sz w:val="21"/>
          <w:szCs w:val="21"/>
        </w:rPr>
        <w:t>发包人更换发包人代表的，应当提前</w:t>
      </w:r>
      <w:r>
        <w:rPr>
          <w:spacing w:val="-1"/>
          <w:sz w:val="21"/>
          <w:szCs w:val="21"/>
          <w:u w:val="single" w:color="auto"/>
        </w:rPr>
        <w:t xml:space="preserve">  7</w:t>
      </w:r>
      <w:r>
        <w:rPr>
          <w:spacing w:val="-42"/>
          <w:sz w:val="21"/>
          <w:szCs w:val="21"/>
          <w:u w:val="single" w:color="auto"/>
        </w:rPr>
        <w:t xml:space="preserve"> </w:t>
      </w:r>
      <w:r>
        <w:rPr>
          <w:spacing w:val="-1"/>
          <w:sz w:val="21"/>
          <w:szCs w:val="21"/>
        </w:rPr>
        <w:t>天书面通</w:t>
      </w:r>
      <w:r>
        <w:rPr>
          <w:spacing w:val="-2"/>
          <w:sz w:val="21"/>
          <w:szCs w:val="21"/>
        </w:rPr>
        <w:t>知设计人。</w:t>
      </w:r>
    </w:p>
    <w:p>
      <w:pPr>
        <w:pStyle w:val="11"/>
        <w:spacing w:before="78" w:line="221" w:lineRule="auto"/>
        <w:ind w:left="442"/>
        <w:outlineLvl w:val="2"/>
        <w:rPr>
          <w:sz w:val="21"/>
          <w:szCs w:val="21"/>
        </w:rPr>
      </w:pPr>
      <w:r>
        <w:rPr>
          <w:spacing w:val="-3"/>
          <w:sz w:val="21"/>
          <w:szCs w:val="21"/>
        </w:rPr>
        <w:t>2.3</w:t>
      </w:r>
      <w:r>
        <w:rPr>
          <w:spacing w:val="15"/>
          <w:sz w:val="21"/>
          <w:szCs w:val="21"/>
        </w:rPr>
        <w:t xml:space="preserve"> </w:t>
      </w:r>
      <w:r>
        <w:rPr>
          <w:spacing w:val="-3"/>
          <w:sz w:val="21"/>
          <w:szCs w:val="21"/>
        </w:rPr>
        <w:t>发包人决定</w:t>
      </w:r>
    </w:p>
    <w:p>
      <w:pPr>
        <w:pStyle w:val="11"/>
        <w:spacing w:before="81" w:line="220" w:lineRule="auto"/>
        <w:ind w:left="442"/>
        <w:rPr>
          <w:sz w:val="21"/>
          <w:szCs w:val="21"/>
        </w:rPr>
        <w:sectPr>
          <w:footerReference r:id="rId10" w:type="default"/>
          <w:pgSz w:w="11907" w:h="16841"/>
          <w:pgMar w:top="400" w:right="1433" w:bottom="1015" w:left="1785" w:header="0" w:footer="851" w:gutter="0"/>
          <w:cols w:space="720" w:num="1"/>
        </w:sectPr>
      </w:pPr>
      <w:r>
        <w:rPr>
          <w:spacing w:val="-2"/>
          <w:sz w:val="21"/>
          <w:szCs w:val="21"/>
        </w:rPr>
        <w:t>2.3.2 发包人应在</w:t>
      </w:r>
      <w:r>
        <w:rPr>
          <w:spacing w:val="43"/>
          <w:sz w:val="21"/>
          <w:szCs w:val="21"/>
          <w:u w:val="single" w:color="auto"/>
        </w:rPr>
        <w:t xml:space="preserve">  </w:t>
      </w:r>
      <w:r>
        <w:rPr>
          <w:spacing w:val="-2"/>
          <w:sz w:val="21"/>
          <w:szCs w:val="21"/>
          <w:u w:val="single" w:color="auto"/>
        </w:rPr>
        <w:t>15</w:t>
      </w:r>
      <w:r>
        <w:rPr>
          <w:spacing w:val="25"/>
          <w:sz w:val="21"/>
          <w:szCs w:val="21"/>
          <w:u w:val="single" w:color="auto"/>
        </w:rPr>
        <w:t xml:space="preserve">  </w:t>
      </w:r>
      <w:r>
        <w:rPr>
          <w:spacing w:val="-93"/>
          <w:sz w:val="21"/>
          <w:szCs w:val="21"/>
        </w:rPr>
        <w:t xml:space="preserve"> </w:t>
      </w:r>
      <w:r>
        <w:rPr>
          <w:spacing w:val="-2"/>
          <w:sz w:val="21"/>
          <w:szCs w:val="21"/>
        </w:rPr>
        <w:t>天内对设计人书面提出的事项作出书面决定。</w:t>
      </w:r>
    </w:p>
    <w:p>
      <w:pPr>
        <w:spacing w:line="262" w:lineRule="auto"/>
        <w:ind w:left="0" w:leftChars="0" w:firstLine="0" w:firstLineChars="0"/>
        <w:rPr>
          <w:rFonts w:ascii="Arial"/>
          <w:sz w:val="21"/>
        </w:rPr>
      </w:pPr>
    </w:p>
    <w:p>
      <w:pPr>
        <w:pStyle w:val="11"/>
        <w:spacing w:before="68" w:line="222" w:lineRule="auto"/>
        <w:ind w:left="446"/>
        <w:outlineLvl w:val="1"/>
        <w:rPr>
          <w:sz w:val="21"/>
          <w:szCs w:val="21"/>
        </w:rPr>
      </w:pPr>
      <w:r>
        <w:rPr>
          <w:b/>
          <w:bCs/>
          <w:spacing w:val="-6"/>
          <w:sz w:val="21"/>
          <w:szCs w:val="21"/>
        </w:rPr>
        <w:t>3.</w:t>
      </w:r>
      <w:r>
        <w:rPr>
          <w:spacing w:val="13"/>
          <w:sz w:val="21"/>
          <w:szCs w:val="21"/>
        </w:rPr>
        <w:t xml:space="preserve"> </w:t>
      </w:r>
      <w:r>
        <w:rPr>
          <w:b/>
          <w:bCs/>
          <w:spacing w:val="-6"/>
          <w:sz w:val="21"/>
          <w:szCs w:val="21"/>
        </w:rPr>
        <w:t>设计人</w:t>
      </w:r>
    </w:p>
    <w:p>
      <w:pPr>
        <w:pStyle w:val="11"/>
        <w:spacing w:before="78" w:line="221" w:lineRule="auto"/>
        <w:ind w:left="444"/>
        <w:outlineLvl w:val="2"/>
        <w:rPr>
          <w:sz w:val="21"/>
          <w:szCs w:val="21"/>
        </w:rPr>
      </w:pPr>
      <w:r>
        <w:rPr>
          <w:spacing w:val="-1"/>
          <w:sz w:val="21"/>
          <w:szCs w:val="21"/>
        </w:rPr>
        <w:t>3.1 设计人一般义务</w:t>
      </w:r>
    </w:p>
    <w:p>
      <w:pPr>
        <w:pStyle w:val="11"/>
        <w:spacing w:before="77" w:line="221" w:lineRule="auto"/>
        <w:ind w:left="444"/>
        <w:rPr>
          <w:sz w:val="21"/>
          <w:szCs w:val="21"/>
        </w:rPr>
      </w:pPr>
      <w:r>
        <w:rPr>
          <w:spacing w:val="-1"/>
          <w:sz w:val="21"/>
          <w:szCs w:val="21"/>
        </w:rPr>
        <w:t>3.1.1 设计人</w:t>
      </w:r>
      <w:r>
        <w:rPr>
          <w:spacing w:val="-1"/>
          <w:sz w:val="21"/>
          <w:szCs w:val="21"/>
          <w:u w:val="single" w:color="auto"/>
        </w:rPr>
        <w:t xml:space="preserve">   需    </w:t>
      </w:r>
      <w:r>
        <w:rPr>
          <w:spacing w:val="-1"/>
          <w:sz w:val="21"/>
          <w:szCs w:val="21"/>
        </w:rPr>
        <w:t>（需/不需）配合发包人办理有关许可、批准或备案手续。</w:t>
      </w:r>
    </w:p>
    <w:p>
      <w:pPr>
        <w:pStyle w:val="11"/>
        <w:spacing w:before="79" w:line="221" w:lineRule="auto"/>
        <w:ind w:left="444"/>
        <w:outlineLvl w:val="2"/>
        <w:rPr>
          <w:spacing w:val="-3"/>
          <w:sz w:val="21"/>
          <w:szCs w:val="21"/>
        </w:rPr>
      </w:pPr>
      <w:r>
        <w:rPr>
          <w:spacing w:val="-3"/>
          <w:sz w:val="21"/>
          <w:szCs w:val="21"/>
        </w:rPr>
        <w:t>3.1.2 设计人其他义务：</w:t>
      </w:r>
    </w:p>
    <w:p>
      <w:pPr>
        <w:pStyle w:val="11"/>
        <w:spacing w:before="79" w:line="221" w:lineRule="auto"/>
        <w:ind w:left="444"/>
        <w:outlineLvl w:val="2"/>
        <w:rPr>
          <w:sz w:val="21"/>
          <w:szCs w:val="21"/>
        </w:rPr>
      </w:pPr>
      <w:r>
        <w:fldChar w:fldCharType="begin"/>
      </w:r>
      <w:r>
        <w:instrText xml:space="preserve"> HYPERLINK "3.1.2.1" </w:instrText>
      </w:r>
      <w:r>
        <w:fldChar w:fldCharType="separate"/>
      </w:r>
      <w:r>
        <w:rPr>
          <w:spacing w:val="-6"/>
          <w:sz w:val="21"/>
          <w:szCs w:val="21"/>
        </w:rPr>
        <w:t>3.1.2.1</w:t>
      </w:r>
      <w:r>
        <w:rPr>
          <w:spacing w:val="-6"/>
          <w:sz w:val="21"/>
          <w:szCs w:val="21"/>
        </w:rPr>
        <w:fldChar w:fldCharType="end"/>
      </w:r>
      <w:r>
        <w:rPr>
          <w:spacing w:val="-28"/>
          <w:sz w:val="21"/>
          <w:szCs w:val="21"/>
        </w:rPr>
        <w:t xml:space="preserve"> </w:t>
      </w:r>
      <w:r>
        <w:rPr>
          <w:spacing w:val="-6"/>
          <w:sz w:val="21"/>
          <w:szCs w:val="21"/>
        </w:rPr>
        <w:t>设计人应按国家规定和合同约定的技术规范、标准进行设计，按本合同规定的内容、</w:t>
      </w:r>
    </w:p>
    <w:p>
      <w:pPr>
        <w:pStyle w:val="11"/>
        <w:spacing w:before="81" w:line="221" w:lineRule="auto"/>
        <w:ind w:left="30"/>
        <w:outlineLvl w:val="2"/>
        <w:rPr>
          <w:sz w:val="21"/>
          <w:szCs w:val="21"/>
        </w:rPr>
      </w:pPr>
      <w:r>
        <w:rPr>
          <w:spacing w:val="-1"/>
          <w:sz w:val="21"/>
          <w:szCs w:val="21"/>
        </w:rPr>
        <w:t>时间及份数向发包人交付设计文件（出现</w:t>
      </w:r>
      <w:r>
        <w:rPr>
          <w:spacing w:val="-44"/>
          <w:sz w:val="21"/>
          <w:szCs w:val="21"/>
        </w:rPr>
        <w:t xml:space="preserve"> </w:t>
      </w:r>
      <w:r>
        <w:fldChar w:fldCharType="begin"/>
      </w:r>
      <w:r>
        <w:instrText xml:space="preserve"> HYPERLINK "2.1.1.1" </w:instrText>
      </w:r>
      <w:r>
        <w:fldChar w:fldCharType="separate"/>
      </w:r>
      <w:r>
        <w:rPr>
          <w:spacing w:val="-1"/>
          <w:sz w:val="21"/>
          <w:szCs w:val="21"/>
        </w:rPr>
        <w:t>2.1.1.1</w:t>
      </w:r>
      <w:r>
        <w:rPr>
          <w:spacing w:val="-1"/>
          <w:sz w:val="21"/>
          <w:szCs w:val="21"/>
        </w:rPr>
        <w:fldChar w:fldCharType="end"/>
      </w:r>
      <w:r>
        <w:rPr>
          <w:spacing w:val="-1"/>
          <w:sz w:val="21"/>
          <w:szCs w:val="21"/>
        </w:rPr>
        <w:t>、</w:t>
      </w:r>
      <w:r>
        <w:fldChar w:fldCharType="begin"/>
      </w:r>
      <w:r>
        <w:instrText xml:space="preserve"> HYPERLINK "2.1.1.4" </w:instrText>
      </w:r>
      <w:r>
        <w:fldChar w:fldCharType="separate"/>
      </w:r>
      <w:r>
        <w:rPr>
          <w:spacing w:val="-1"/>
          <w:sz w:val="21"/>
          <w:szCs w:val="21"/>
        </w:rPr>
        <w:t>2.1.1.4</w:t>
      </w:r>
      <w:r>
        <w:rPr>
          <w:spacing w:val="-1"/>
          <w:sz w:val="21"/>
          <w:szCs w:val="21"/>
        </w:rPr>
        <w:fldChar w:fldCharType="end"/>
      </w:r>
      <w:r>
        <w:rPr>
          <w:spacing w:val="-2"/>
          <w:sz w:val="21"/>
          <w:szCs w:val="21"/>
        </w:rPr>
        <w:t>、</w:t>
      </w:r>
      <w:r>
        <w:fldChar w:fldCharType="begin"/>
      </w:r>
      <w:r>
        <w:instrText xml:space="preserve"> HYPERLINK "2.1.1.5" </w:instrText>
      </w:r>
      <w:r>
        <w:fldChar w:fldCharType="separate"/>
      </w:r>
      <w:r>
        <w:rPr>
          <w:spacing w:val="-2"/>
          <w:sz w:val="21"/>
          <w:szCs w:val="21"/>
        </w:rPr>
        <w:t>2.1.1.5</w:t>
      </w:r>
      <w:r>
        <w:rPr>
          <w:spacing w:val="-2"/>
          <w:sz w:val="21"/>
          <w:szCs w:val="21"/>
        </w:rPr>
        <w:fldChar w:fldCharType="end"/>
      </w:r>
      <w:r>
        <w:rPr>
          <w:spacing w:val="-2"/>
          <w:sz w:val="21"/>
          <w:szCs w:val="21"/>
        </w:rPr>
        <w:t>、</w:t>
      </w:r>
      <w:r>
        <w:fldChar w:fldCharType="begin"/>
      </w:r>
      <w:r>
        <w:instrText xml:space="preserve"> HYPERLINK "2.1.1.6" </w:instrText>
      </w:r>
      <w:r>
        <w:fldChar w:fldCharType="separate"/>
      </w:r>
      <w:r>
        <w:rPr>
          <w:spacing w:val="-2"/>
          <w:sz w:val="21"/>
          <w:szCs w:val="21"/>
        </w:rPr>
        <w:t>2.1.1.6</w:t>
      </w:r>
      <w:r>
        <w:rPr>
          <w:spacing w:val="-2"/>
          <w:sz w:val="21"/>
          <w:szCs w:val="21"/>
        </w:rPr>
        <w:fldChar w:fldCharType="end"/>
      </w:r>
      <w:r>
        <w:rPr>
          <w:spacing w:val="-42"/>
          <w:sz w:val="21"/>
          <w:szCs w:val="21"/>
        </w:rPr>
        <w:t xml:space="preserve"> </w:t>
      </w:r>
      <w:r>
        <w:rPr>
          <w:spacing w:val="-2"/>
          <w:sz w:val="21"/>
          <w:szCs w:val="21"/>
        </w:rPr>
        <w:t>规定有关交付</w:t>
      </w:r>
    </w:p>
    <w:p>
      <w:pPr>
        <w:pStyle w:val="11"/>
        <w:spacing w:before="77" w:line="221" w:lineRule="auto"/>
        <w:ind w:left="23"/>
        <w:rPr>
          <w:sz w:val="21"/>
          <w:szCs w:val="21"/>
        </w:rPr>
      </w:pPr>
      <w:r>
        <w:rPr>
          <w:spacing w:val="-5"/>
          <w:sz w:val="21"/>
          <w:szCs w:val="21"/>
        </w:rPr>
        <w:t>设计文件顺延的情况除外）。并对提交的设计文件的质量负责。</w:t>
      </w:r>
    </w:p>
    <w:p>
      <w:pPr>
        <w:pStyle w:val="11"/>
        <w:spacing w:before="80" w:line="220" w:lineRule="auto"/>
        <w:ind w:left="444"/>
        <w:outlineLvl w:val="2"/>
        <w:rPr>
          <w:sz w:val="21"/>
          <w:szCs w:val="21"/>
        </w:rPr>
      </w:pPr>
      <w:r>
        <w:fldChar w:fldCharType="begin"/>
      </w:r>
      <w:r>
        <w:instrText xml:space="preserve"> HYPERLINK "3.1.2.2" </w:instrText>
      </w:r>
      <w:r>
        <w:fldChar w:fldCharType="separate"/>
      </w:r>
      <w:r>
        <w:rPr>
          <w:spacing w:val="-3"/>
          <w:sz w:val="21"/>
          <w:szCs w:val="21"/>
        </w:rPr>
        <w:t>3.1.2.2</w:t>
      </w:r>
      <w:r>
        <w:rPr>
          <w:spacing w:val="-3"/>
          <w:sz w:val="21"/>
          <w:szCs w:val="21"/>
        </w:rPr>
        <w:fldChar w:fldCharType="end"/>
      </w:r>
      <w:r>
        <w:rPr>
          <w:spacing w:val="-29"/>
          <w:sz w:val="21"/>
          <w:szCs w:val="21"/>
        </w:rPr>
        <w:t xml:space="preserve"> </w:t>
      </w:r>
      <w:r>
        <w:rPr>
          <w:spacing w:val="-3"/>
          <w:sz w:val="21"/>
          <w:szCs w:val="21"/>
        </w:rPr>
        <w:t>设计人应对其设计的准确度负责，在设计的基本条件、工艺、工法、规模不变的情</w:t>
      </w:r>
    </w:p>
    <w:p>
      <w:pPr>
        <w:pStyle w:val="11"/>
        <w:spacing w:before="78" w:line="278" w:lineRule="auto"/>
        <w:ind w:left="23" w:right="81" w:hanging="1"/>
        <w:rPr>
          <w:sz w:val="21"/>
          <w:szCs w:val="21"/>
        </w:rPr>
      </w:pPr>
      <w:r>
        <w:rPr>
          <w:spacing w:val="1"/>
          <w:sz w:val="21"/>
          <w:szCs w:val="21"/>
        </w:rPr>
        <w:t>况下，原则上上一阶段的设计工程量应涵盖下一阶段的设计工程量，因工程量变化引起的相邻</w:t>
      </w:r>
      <w:r>
        <w:rPr>
          <w:spacing w:val="7"/>
          <w:sz w:val="21"/>
          <w:szCs w:val="21"/>
        </w:rPr>
        <w:t xml:space="preserve"> </w:t>
      </w:r>
      <w:r>
        <w:rPr>
          <w:spacing w:val="1"/>
          <w:sz w:val="21"/>
          <w:szCs w:val="21"/>
        </w:rPr>
        <w:t>设计阶段的投资变化应控制在±5%以内，量的准确率（与结算工程量比）达到85%以上。</w:t>
      </w:r>
    </w:p>
    <w:p>
      <w:pPr>
        <w:pStyle w:val="11"/>
        <w:spacing w:before="29" w:line="221" w:lineRule="auto"/>
        <w:ind w:left="444"/>
        <w:outlineLvl w:val="2"/>
        <w:rPr>
          <w:sz w:val="21"/>
          <w:szCs w:val="21"/>
        </w:rPr>
      </w:pPr>
      <w:r>
        <w:fldChar w:fldCharType="begin"/>
      </w:r>
      <w:r>
        <w:instrText xml:space="preserve"> HYPERLINK "3.1.2.3" </w:instrText>
      </w:r>
      <w:r>
        <w:fldChar w:fldCharType="separate"/>
      </w:r>
      <w:r>
        <w:rPr>
          <w:spacing w:val="-1"/>
          <w:sz w:val="21"/>
          <w:szCs w:val="21"/>
        </w:rPr>
        <w:t>3.1.2.3</w:t>
      </w:r>
      <w:r>
        <w:rPr>
          <w:spacing w:val="-1"/>
          <w:sz w:val="21"/>
          <w:szCs w:val="21"/>
        </w:rPr>
        <w:fldChar w:fldCharType="end"/>
      </w:r>
      <w:r>
        <w:rPr>
          <w:spacing w:val="-29"/>
          <w:sz w:val="21"/>
          <w:szCs w:val="21"/>
        </w:rPr>
        <w:t xml:space="preserve"> </w:t>
      </w:r>
      <w:r>
        <w:rPr>
          <w:spacing w:val="-1"/>
          <w:sz w:val="21"/>
          <w:szCs w:val="21"/>
        </w:rPr>
        <w:t>设计合理使用年限为按当前国家规范规定的使用年限。</w:t>
      </w:r>
    </w:p>
    <w:p>
      <w:pPr>
        <w:pStyle w:val="11"/>
        <w:spacing w:before="80" w:line="221" w:lineRule="auto"/>
        <w:ind w:left="444"/>
        <w:outlineLvl w:val="2"/>
        <w:rPr>
          <w:sz w:val="21"/>
          <w:szCs w:val="21"/>
        </w:rPr>
      </w:pPr>
      <w:r>
        <w:fldChar w:fldCharType="begin"/>
      </w:r>
      <w:r>
        <w:instrText xml:space="preserve"> HYPERLINK "3.1.2.4" </w:instrText>
      </w:r>
      <w:r>
        <w:fldChar w:fldCharType="separate"/>
      </w:r>
      <w:r>
        <w:rPr>
          <w:spacing w:val="-1"/>
          <w:sz w:val="21"/>
          <w:szCs w:val="21"/>
        </w:rPr>
        <w:t>3.1.2.4</w:t>
      </w:r>
      <w:r>
        <w:rPr>
          <w:spacing w:val="-1"/>
          <w:sz w:val="21"/>
          <w:szCs w:val="21"/>
        </w:rPr>
        <w:fldChar w:fldCharType="end"/>
      </w:r>
      <w:r>
        <w:rPr>
          <w:spacing w:val="-29"/>
          <w:sz w:val="21"/>
          <w:szCs w:val="21"/>
        </w:rPr>
        <w:t xml:space="preserve"> </w:t>
      </w:r>
      <w:r>
        <w:rPr>
          <w:spacing w:val="-1"/>
          <w:sz w:val="21"/>
          <w:szCs w:val="21"/>
        </w:rPr>
        <w:t>设计人对设计文件出现的遗漏或错误负责修改或补充。</w:t>
      </w:r>
    </w:p>
    <w:p>
      <w:pPr>
        <w:pStyle w:val="11"/>
        <w:spacing w:before="77" w:line="221" w:lineRule="auto"/>
        <w:ind w:left="444"/>
        <w:outlineLvl w:val="2"/>
        <w:rPr>
          <w:sz w:val="21"/>
          <w:szCs w:val="21"/>
        </w:rPr>
      </w:pPr>
      <w:r>
        <w:fldChar w:fldCharType="begin"/>
      </w:r>
      <w:r>
        <w:instrText xml:space="preserve"> HYPERLINK "3.1.2.5" </w:instrText>
      </w:r>
      <w:r>
        <w:fldChar w:fldCharType="separate"/>
      </w:r>
      <w:r>
        <w:rPr>
          <w:spacing w:val="-1"/>
          <w:sz w:val="21"/>
          <w:szCs w:val="21"/>
        </w:rPr>
        <w:t>3.1.2.5</w:t>
      </w:r>
      <w:r>
        <w:rPr>
          <w:spacing w:val="-1"/>
          <w:sz w:val="21"/>
          <w:szCs w:val="21"/>
        </w:rPr>
        <w:fldChar w:fldCharType="end"/>
      </w:r>
      <w:r>
        <w:rPr>
          <w:spacing w:val="-41"/>
          <w:sz w:val="21"/>
          <w:szCs w:val="21"/>
        </w:rPr>
        <w:t xml:space="preserve"> </w:t>
      </w:r>
      <w:r>
        <w:rPr>
          <w:spacing w:val="-1"/>
          <w:sz w:val="21"/>
          <w:szCs w:val="21"/>
        </w:rPr>
        <w:t>设计人应按合同约定时间交付设计资料及</w:t>
      </w:r>
      <w:r>
        <w:rPr>
          <w:spacing w:val="-2"/>
          <w:sz w:val="21"/>
          <w:szCs w:val="21"/>
        </w:rPr>
        <w:t>设计文件。</w:t>
      </w:r>
    </w:p>
    <w:p>
      <w:pPr>
        <w:pStyle w:val="11"/>
        <w:spacing w:before="80" w:line="221" w:lineRule="auto"/>
        <w:ind w:left="444"/>
        <w:outlineLvl w:val="2"/>
        <w:rPr>
          <w:sz w:val="21"/>
          <w:szCs w:val="21"/>
        </w:rPr>
      </w:pPr>
      <w:r>
        <w:fldChar w:fldCharType="begin"/>
      </w:r>
      <w:r>
        <w:instrText xml:space="preserve"> HYPERLINK "3.1.2.6" </w:instrText>
      </w:r>
      <w:r>
        <w:fldChar w:fldCharType="separate"/>
      </w:r>
      <w:r>
        <w:rPr>
          <w:spacing w:val="-3"/>
          <w:sz w:val="21"/>
          <w:szCs w:val="21"/>
        </w:rPr>
        <w:t>3.1.2.6</w:t>
      </w:r>
      <w:r>
        <w:rPr>
          <w:spacing w:val="-3"/>
          <w:sz w:val="21"/>
          <w:szCs w:val="21"/>
        </w:rPr>
        <w:fldChar w:fldCharType="end"/>
      </w:r>
      <w:r>
        <w:rPr>
          <w:spacing w:val="-3"/>
          <w:sz w:val="21"/>
          <w:szCs w:val="21"/>
        </w:rPr>
        <w:t>设计人交付设计文件后，按规定参加有关上级的设计审查，并根据审查结论做调整</w:t>
      </w:r>
    </w:p>
    <w:p>
      <w:pPr>
        <w:pStyle w:val="11"/>
        <w:spacing w:before="77" w:line="221" w:lineRule="auto"/>
        <w:ind w:left="20"/>
        <w:rPr>
          <w:sz w:val="21"/>
          <w:szCs w:val="21"/>
        </w:rPr>
      </w:pPr>
      <w:r>
        <w:rPr>
          <w:spacing w:val="-1"/>
          <w:sz w:val="21"/>
          <w:szCs w:val="21"/>
        </w:rPr>
        <w:t>补充，向发包人及施工单位进行设计交底、处理有关设计问题和参加竣工验收。</w:t>
      </w:r>
    </w:p>
    <w:p>
      <w:pPr>
        <w:pStyle w:val="11"/>
        <w:spacing w:before="80" w:line="221" w:lineRule="auto"/>
        <w:ind w:left="444"/>
        <w:outlineLvl w:val="2"/>
        <w:rPr>
          <w:sz w:val="21"/>
          <w:szCs w:val="21"/>
        </w:rPr>
      </w:pPr>
      <w:r>
        <w:fldChar w:fldCharType="begin"/>
      </w:r>
      <w:r>
        <w:instrText xml:space="preserve"> HYPERLINK "3.1.2.7" </w:instrText>
      </w:r>
      <w:r>
        <w:fldChar w:fldCharType="separate"/>
      </w:r>
      <w:r>
        <w:rPr>
          <w:spacing w:val="1"/>
          <w:sz w:val="21"/>
          <w:szCs w:val="21"/>
        </w:rPr>
        <w:t>3.1.2.7</w:t>
      </w:r>
      <w:r>
        <w:rPr>
          <w:spacing w:val="1"/>
          <w:sz w:val="21"/>
          <w:szCs w:val="21"/>
        </w:rPr>
        <w:fldChar w:fldCharType="end"/>
      </w:r>
      <w:r>
        <w:rPr>
          <w:spacing w:val="1"/>
          <w:sz w:val="21"/>
          <w:szCs w:val="21"/>
        </w:rPr>
        <w:t xml:space="preserve"> 设计人应按发包人及主管单位的要求积极组织各项与设计文件相关的评审或审查</w:t>
      </w:r>
    </w:p>
    <w:p>
      <w:pPr>
        <w:pStyle w:val="11"/>
        <w:spacing w:before="78" w:line="220" w:lineRule="auto"/>
        <w:ind w:left="19"/>
        <w:rPr>
          <w:sz w:val="21"/>
          <w:szCs w:val="21"/>
        </w:rPr>
      </w:pPr>
      <w:r>
        <w:rPr>
          <w:spacing w:val="-2"/>
          <w:sz w:val="21"/>
          <w:szCs w:val="21"/>
        </w:rPr>
        <w:t>会，并承担全过程的相关费用。</w:t>
      </w:r>
    </w:p>
    <w:p>
      <w:pPr>
        <w:pStyle w:val="11"/>
        <w:spacing w:before="80" w:line="221" w:lineRule="auto"/>
        <w:ind w:left="444"/>
        <w:outlineLvl w:val="2"/>
        <w:rPr>
          <w:spacing w:val="-1"/>
          <w:sz w:val="21"/>
          <w:szCs w:val="21"/>
        </w:rPr>
      </w:pPr>
      <w:r>
        <w:fldChar w:fldCharType="begin"/>
      </w:r>
      <w:r>
        <w:instrText xml:space="preserve"> HYPERLINK "3.1.2.8" </w:instrText>
      </w:r>
      <w:r>
        <w:fldChar w:fldCharType="separate"/>
      </w:r>
      <w:r>
        <w:rPr>
          <w:spacing w:val="-1"/>
          <w:sz w:val="21"/>
          <w:szCs w:val="21"/>
        </w:rPr>
        <w:t>3.1.2.8</w:t>
      </w:r>
      <w:r>
        <w:rPr>
          <w:spacing w:val="-1"/>
          <w:sz w:val="21"/>
          <w:szCs w:val="21"/>
        </w:rPr>
        <w:fldChar w:fldCharType="end"/>
      </w:r>
      <w:r>
        <w:rPr>
          <w:spacing w:val="-1"/>
          <w:sz w:val="21"/>
          <w:szCs w:val="21"/>
        </w:rPr>
        <w:t>设计人员需配合发包人共同完成工程招标及工程量清单编制等相关工作。</w:t>
      </w:r>
    </w:p>
    <w:p>
      <w:pPr>
        <w:pStyle w:val="11"/>
        <w:spacing w:before="80" w:line="221" w:lineRule="auto"/>
        <w:ind w:left="444"/>
        <w:outlineLvl w:val="2"/>
        <w:rPr>
          <w:sz w:val="21"/>
          <w:szCs w:val="21"/>
        </w:rPr>
      </w:pPr>
      <w:r>
        <w:fldChar w:fldCharType="begin"/>
      </w:r>
      <w:r>
        <w:instrText xml:space="preserve"> HYPERLINK "3.1.2.9" </w:instrText>
      </w:r>
      <w:r>
        <w:fldChar w:fldCharType="separate"/>
      </w:r>
      <w:r>
        <w:rPr>
          <w:spacing w:val="-1"/>
          <w:sz w:val="21"/>
          <w:szCs w:val="21"/>
        </w:rPr>
        <w:t>3.1.2.9</w:t>
      </w:r>
      <w:r>
        <w:rPr>
          <w:spacing w:val="-1"/>
          <w:sz w:val="21"/>
          <w:szCs w:val="21"/>
        </w:rPr>
        <w:fldChar w:fldCharType="end"/>
      </w:r>
      <w:r>
        <w:rPr>
          <w:spacing w:val="-41"/>
          <w:sz w:val="21"/>
          <w:szCs w:val="21"/>
        </w:rPr>
        <w:t xml:space="preserve"> </w:t>
      </w:r>
      <w:r>
        <w:rPr>
          <w:spacing w:val="-1"/>
          <w:sz w:val="21"/>
          <w:szCs w:val="21"/>
        </w:rPr>
        <w:t>项目在开展方案、可研、初步设计、施工图阶段时，设计人员配合发</w:t>
      </w:r>
      <w:r>
        <w:rPr>
          <w:spacing w:val="-2"/>
          <w:sz w:val="21"/>
          <w:szCs w:val="21"/>
        </w:rPr>
        <w:t>包人对专家、</w:t>
      </w:r>
    </w:p>
    <w:p>
      <w:pPr>
        <w:pStyle w:val="11"/>
        <w:spacing w:before="80" w:line="221" w:lineRule="auto"/>
        <w:ind w:left="28"/>
        <w:rPr>
          <w:sz w:val="21"/>
          <w:szCs w:val="21"/>
        </w:rPr>
      </w:pPr>
      <w:r>
        <w:rPr>
          <w:spacing w:val="-1"/>
          <w:sz w:val="21"/>
          <w:szCs w:val="21"/>
        </w:rPr>
        <w:t>咨询事务所、施工图审查单位及市城建委完成图纸交接工作。</w:t>
      </w:r>
    </w:p>
    <w:p>
      <w:pPr>
        <w:pStyle w:val="11"/>
        <w:spacing w:before="77" w:line="221" w:lineRule="auto"/>
        <w:ind w:left="444"/>
        <w:outlineLvl w:val="2"/>
        <w:rPr>
          <w:sz w:val="21"/>
          <w:szCs w:val="21"/>
        </w:rPr>
      </w:pPr>
      <w:r>
        <w:fldChar w:fldCharType="begin"/>
      </w:r>
      <w:r>
        <w:instrText xml:space="preserve"> HYPERLINK "3.1.2.10" </w:instrText>
      </w:r>
      <w:r>
        <w:fldChar w:fldCharType="separate"/>
      </w:r>
      <w:r>
        <w:rPr>
          <w:sz w:val="21"/>
          <w:szCs w:val="21"/>
        </w:rPr>
        <w:t>3.1.2.10</w:t>
      </w:r>
      <w:r>
        <w:rPr>
          <w:sz w:val="21"/>
          <w:szCs w:val="21"/>
        </w:rPr>
        <w:fldChar w:fldCharType="end"/>
      </w:r>
      <w:r>
        <w:rPr>
          <w:spacing w:val="-34"/>
          <w:sz w:val="21"/>
          <w:szCs w:val="21"/>
        </w:rPr>
        <w:t xml:space="preserve"> </w:t>
      </w:r>
      <w:r>
        <w:rPr>
          <w:sz w:val="21"/>
          <w:szCs w:val="21"/>
        </w:rPr>
        <w:t>设计人应按照发包人要求，编制合理的总</w:t>
      </w:r>
      <w:r>
        <w:rPr>
          <w:spacing w:val="-1"/>
          <w:sz w:val="21"/>
          <w:szCs w:val="21"/>
        </w:rPr>
        <w:t>进度计划及周密、细致的详细工作计划</w:t>
      </w:r>
    </w:p>
    <w:p>
      <w:pPr>
        <w:pStyle w:val="11"/>
        <w:spacing w:before="81" w:line="220" w:lineRule="auto"/>
        <w:ind w:left="20"/>
        <w:rPr>
          <w:sz w:val="21"/>
          <w:szCs w:val="21"/>
        </w:rPr>
      </w:pPr>
      <w:r>
        <w:rPr>
          <w:spacing w:val="-1"/>
          <w:sz w:val="21"/>
          <w:szCs w:val="21"/>
        </w:rPr>
        <w:t>供发包人审核，严格执行并接受发包人监督，确保有计划，更有实施。</w:t>
      </w:r>
    </w:p>
    <w:p>
      <w:pPr>
        <w:pStyle w:val="11"/>
        <w:spacing w:before="78" w:line="221" w:lineRule="auto"/>
        <w:ind w:left="444"/>
        <w:outlineLvl w:val="2"/>
        <w:rPr>
          <w:sz w:val="21"/>
          <w:szCs w:val="21"/>
        </w:rPr>
      </w:pPr>
      <w:r>
        <w:fldChar w:fldCharType="begin"/>
      </w:r>
      <w:r>
        <w:instrText xml:space="preserve"> HYPERLINK "3.1.2.11" </w:instrText>
      </w:r>
      <w:r>
        <w:fldChar w:fldCharType="separate"/>
      </w:r>
      <w:r>
        <w:rPr>
          <w:sz w:val="21"/>
          <w:szCs w:val="21"/>
        </w:rPr>
        <w:t>3.1.2.11</w:t>
      </w:r>
      <w:r>
        <w:rPr>
          <w:sz w:val="21"/>
          <w:szCs w:val="21"/>
        </w:rPr>
        <w:fldChar w:fldCharType="end"/>
      </w:r>
      <w:r>
        <w:rPr>
          <w:spacing w:val="-34"/>
          <w:sz w:val="21"/>
          <w:szCs w:val="21"/>
        </w:rPr>
        <w:t xml:space="preserve"> </w:t>
      </w:r>
      <w:r>
        <w:rPr>
          <w:sz w:val="21"/>
          <w:szCs w:val="21"/>
        </w:rPr>
        <w:t>设计人应从施工组织、重大施工方案的</w:t>
      </w:r>
      <w:r>
        <w:rPr>
          <w:spacing w:val="-1"/>
          <w:sz w:val="21"/>
          <w:szCs w:val="21"/>
        </w:rPr>
        <w:t>审查以及现场技术问题处理等方面，为业</w:t>
      </w:r>
    </w:p>
    <w:p>
      <w:pPr>
        <w:pStyle w:val="11"/>
        <w:spacing w:before="80" w:line="220" w:lineRule="auto"/>
        <w:ind w:left="22"/>
        <w:rPr>
          <w:sz w:val="21"/>
          <w:szCs w:val="21"/>
        </w:rPr>
      </w:pPr>
      <w:r>
        <w:rPr>
          <w:spacing w:val="-1"/>
          <w:sz w:val="21"/>
          <w:szCs w:val="21"/>
        </w:rPr>
        <w:t>主提供技术支持。</w:t>
      </w:r>
    </w:p>
    <w:p>
      <w:pPr>
        <w:pStyle w:val="11"/>
        <w:spacing w:before="78" w:line="221" w:lineRule="auto"/>
        <w:ind w:left="444"/>
        <w:outlineLvl w:val="2"/>
        <w:rPr>
          <w:sz w:val="21"/>
          <w:szCs w:val="21"/>
        </w:rPr>
      </w:pPr>
      <w:r>
        <w:fldChar w:fldCharType="begin"/>
      </w:r>
      <w:r>
        <w:instrText xml:space="preserve"> HYPERLINK "3.1.2.12" </w:instrText>
      </w:r>
      <w:r>
        <w:fldChar w:fldCharType="separate"/>
      </w:r>
      <w:r>
        <w:rPr>
          <w:sz w:val="21"/>
          <w:szCs w:val="21"/>
        </w:rPr>
        <w:t>3.1.2.12</w:t>
      </w:r>
      <w:r>
        <w:rPr>
          <w:sz w:val="21"/>
          <w:szCs w:val="21"/>
        </w:rPr>
        <w:fldChar w:fldCharType="end"/>
      </w:r>
      <w:r>
        <w:rPr>
          <w:spacing w:val="-38"/>
          <w:sz w:val="21"/>
          <w:szCs w:val="21"/>
        </w:rPr>
        <w:t xml:space="preserve"> </w:t>
      </w:r>
      <w:r>
        <w:rPr>
          <w:sz w:val="21"/>
          <w:szCs w:val="21"/>
        </w:rPr>
        <w:t>施工过程中，设计人应有责任和义务及时到现场解</w:t>
      </w:r>
      <w:r>
        <w:rPr>
          <w:spacing w:val="-1"/>
          <w:sz w:val="21"/>
          <w:szCs w:val="21"/>
        </w:rPr>
        <w:t>决施工中出现的问题。设计人</w:t>
      </w:r>
    </w:p>
    <w:p>
      <w:pPr>
        <w:pStyle w:val="11"/>
        <w:spacing w:before="80" w:line="221" w:lineRule="auto"/>
        <w:ind w:left="23"/>
        <w:rPr>
          <w:sz w:val="21"/>
          <w:szCs w:val="21"/>
        </w:rPr>
      </w:pPr>
      <w:r>
        <w:rPr>
          <w:sz w:val="21"/>
          <w:szCs w:val="21"/>
        </w:rPr>
        <w:t>须按投标承诺在处理工程存在问题时，在收到</w:t>
      </w:r>
      <w:r>
        <w:rPr>
          <w:spacing w:val="-1"/>
          <w:sz w:val="21"/>
          <w:szCs w:val="21"/>
        </w:rPr>
        <w:t>通知后 2 小时以内到达现场并主动解决问题。</w:t>
      </w:r>
    </w:p>
    <w:p>
      <w:pPr>
        <w:pStyle w:val="11"/>
        <w:spacing w:before="78" w:line="220" w:lineRule="auto"/>
        <w:ind w:left="444"/>
        <w:outlineLvl w:val="2"/>
        <w:rPr>
          <w:sz w:val="21"/>
          <w:szCs w:val="21"/>
        </w:rPr>
      </w:pPr>
      <w:r>
        <w:fldChar w:fldCharType="begin"/>
      </w:r>
      <w:r>
        <w:instrText xml:space="preserve"> HYPERLINK "3.1.2.13" </w:instrText>
      </w:r>
      <w:r>
        <w:fldChar w:fldCharType="separate"/>
      </w:r>
      <w:r>
        <w:rPr>
          <w:spacing w:val="-4"/>
          <w:sz w:val="21"/>
          <w:szCs w:val="21"/>
        </w:rPr>
        <w:t>3.1.2.13</w:t>
      </w:r>
      <w:r>
        <w:rPr>
          <w:spacing w:val="-4"/>
          <w:sz w:val="21"/>
          <w:szCs w:val="21"/>
        </w:rPr>
        <w:fldChar w:fldCharType="end"/>
      </w:r>
      <w:r>
        <w:rPr>
          <w:spacing w:val="-36"/>
          <w:sz w:val="21"/>
          <w:szCs w:val="21"/>
        </w:rPr>
        <w:t xml:space="preserve"> </w:t>
      </w:r>
      <w:r>
        <w:rPr>
          <w:spacing w:val="-4"/>
          <w:sz w:val="21"/>
          <w:szCs w:val="21"/>
        </w:rPr>
        <w:t>协助发包人确定相关建材的颜色、规格、样板；</w:t>
      </w:r>
      <w:r>
        <w:rPr>
          <w:spacing w:val="61"/>
          <w:sz w:val="21"/>
          <w:szCs w:val="21"/>
        </w:rPr>
        <w:t xml:space="preserve"> </w:t>
      </w:r>
      <w:r>
        <w:rPr>
          <w:spacing w:val="-4"/>
          <w:sz w:val="21"/>
          <w:szCs w:val="21"/>
        </w:rPr>
        <w:t>并对相关的</w:t>
      </w:r>
      <w:r>
        <w:rPr>
          <w:spacing w:val="-5"/>
          <w:sz w:val="21"/>
          <w:szCs w:val="21"/>
        </w:rPr>
        <w:t>设计图纸进行复核，</w:t>
      </w:r>
    </w:p>
    <w:p>
      <w:pPr>
        <w:pStyle w:val="11"/>
        <w:spacing w:before="81" w:line="220" w:lineRule="auto"/>
        <w:ind w:left="19"/>
        <w:rPr>
          <w:sz w:val="21"/>
          <w:szCs w:val="21"/>
        </w:rPr>
      </w:pPr>
      <w:r>
        <w:rPr>
          <w:spacing w:val="-1"/>
          <w:sz w:val="21"/>
          <w:szCs w:val="21"/>
        </w:rPr>
        <w:t>对需要盖章的资料给予配合，确保项目整体实施顺利。</w:t>
      </w:r>
    </w:p>
    <w:p>
      <w:pPr>
        <w:pStyle w:val="11"/>
        <w:spacing w:before="78" w:line="221" w:lineRule="auto"/>
        <w:ind w:left="444"/>
        <w:outlineLvl w:val="2"/>
        <w:rPr>
          <w:sz w:val="21"/>
          <w:szCs w:val="21"/>
        </w:rPr>
      </w:pPr>
      <w:r>
        <w:fldChar w:fldCharType="begin"/>
      </w:r>
      <w:r>
        <w:instrText xml:space="preserve"> HYPERLINK "3.1.2.14" </w:instrText>
      </w:r>
      <w:r>
        <w:fldChar w:fldCharType="separate"/>
      </w:r>
      <w:r>
        <w:rPr>
          <w:spacing w:val="-1"/>
          <w:sz w:val="21"/>
          <w:szCs w:val="21"/>
        </w:rPr>
        <w:t>3.1.2.14</w:t>
      </w:r>
      <w:r>
        <w:rPr>
          <w:spacing w:val="-1"/>
          <w:sz w:val="21"/>
          <w:szCs w:val="21"/>
        </w:rPr>
        <w:fldChar w:fldCharType="end"/>
      </w:r>
      <w:r>
        <w:rPr>
          <w:spacing w:val="-40"/>
          <w:sz w:val="21"/>
          <w:szCs w:val="21"/>
        </w:rPr>
        <w:t xml:space="preserve"> </w:t>
      </w:r>
      <w:r>
        <w:rPr>
          <w:spacing w:val="-1"/>
          <w:sz w:val="21"/>
          <w:szCs w:val="21"/>
        </w:rPr>
        <w:t>积极配合发包人进行项目的竣工验收结算和设计资料完善等工作。</w:t>
      </w:r>
    </w:p>
    <w:p>
      <w:pPr>
        <w:pStyle w:val="11"/>
        <w:spacing w:before="80" w:line="221" w:lineRule="auto"/>
        <w:ind w:left="444"/>
        <w:outlineLvl w:val="2"/>
        <w:rPr>
          <w:sz w:val="21"/>
          <w:szCs w:val="21"/>
        </w:rPr>
      </w:pPr>
      <w:r>
        <w:fldChar w:fldCharType="begin"/>
      </w:r>
      <w:r>
        <w:instrText xml:space="preserve"> HYPERLINK "3.1.2.15" </w:instrText>
      </w:r>
      <w:r>
        <w:fldChar w:fldCharType="separate"/>
      </w:r>
      <w:r>
        <w:rPr>
          <w:sz w:val="21"/>
          <w:szCs w:val="21"/>
        </w:rPr>
        <w:t>3.1.2.15</w:t>
      </w:r>
      <w:r>
        <w:rPr>
          <w:sz w:val="21"/>
          <w:szCs w:val="21"/>
        </w:rPr>
        <w:fldChar w:fldCharType="end"/>
      </w:r>
      <w:r>
        <w:rPr>
          <w:spacing w:val="-34"/>
          <w:sz w:val="21"/>
          <w:szCs w:val="21"/>
        </w:rPr>
        <w:t xml:space="preserve"> </w:t>
      </w:r>
      <w:r>
        <w:rPr>
          <w:sz w:val="21"/>
          <w:szCs w:val="21"/>
        </w:rPr>
        <w:t>设计人在方案设计及施工图设计过程中，</w:t>
      </w:r>
      <w:r>
        <w:rPr>
          <w:spacing w:val="-1"/>
          <w:sz w:val="21"/>
          <w:szCs w:val="21"/>
        </w:rPr>
        <w:t>在不违反国家规定的设计标准和规程范</w:t>
      </w:r>
    </w:p>
    <w:p>
      <w:pPr>
        <w:pStyle w:val="11"/>
        <w:spacing w:before="77" w:line="220" w:lineRule="auto"/>
        <w:ind w:left="39"/>
        <w:rPr>
          <w:sz w:val="21"/>
          <w:szCs w:val="21"/>
        </w:rPr>
      </w:pPr>
      <w:r>
        <w:rPr>
          <w:spacing w:val="-3"/>
          <w:sz w:val="21"/>
          <w:szCs w:val="21"/>
        </w:rPr>
        <w:t>围内，尽可能地为发包人降低工程成本。</w:t>
      </w:r>
    </w:p>
    <w:p>
      <w:pPr>
        <w:pStyle w:val="11"/>
        <w:spacing w:before="82" w:line="220" w:lineRule="auto"/>
        <w:ind w:left="444"/>
        <w:outlineLvl w:val="2"/>
        <w:rPr>
          <w:sz w:val="21"/>
          <w:szCs w:val="21"/>
        </w:rPr>
      </w:pPr>
      <w:r>
        <w:fldChar w:fldCharType="begin"/>
      </w:r>
      <w:r>
        <w:instrText xml:space="preserve"> HYPERLINK "3.1.2.16" </w:instrText>
      </w:r>
      <w:r>
        <w:fldChar w:fldCharType="separate"/>
      </w:r>
      <w:r>
        <w:rPr>
          <w:sz w:val="21"/>
          <w:szCs w:val="21"/>
        </w:rPr>
        <w:t>3.1.2.16</w:t>
      </w:r>
      <w:r>
        <w:rPr>
          <w:sz w:val="21"/>
          <w:szCs w:val="21"/>
        </w:rPr>
        <w:fldChar w:fldCharType="end"/>
      </w:r>
      <w:r>
        <w:rPr>
          <w:spacing w:val="-33"/>
          <w:sz w:val="21"/>
          <w:szCs w:val="21"/>
        </w:rPr>
        <w:t xml:space="preserve"> </w:t>
      </w:r>
      <w:r>
        <w:rPr>
          <w:sz w:val="21"/>
          <w:szCs w:val="21"/>
        </w:rPr>
        <w:t>设计人应按投标文件承诺提供配备本项目设</w:t>
      </w:r>
      <w:r>
        <w:rPr>
          <w:spacing w:val="-1"/>
          <w:sz w:val="21"/>
          <w:szCs w:val="21"/>
        </w:rPr>
        <w:t>计人员，人员不少于  人，其中道路</w:t>
      </w:r>
    </w:p>
    <w:p>
      <w:pPr>
        <w:pStyle w:val="11"/>
        <w:spacing w:before="78" w:line="221" w:lineRule="auto"/>
        <w:ind w:left="21"/>
        <w:rPr>
          <w:sz w:val="21"/>
          <w:szCs w:val="21"/>
        </w:rPr>
      </w:pPr>
      <w:r>
        <w:rPr>
          <w:sz w:val="21"/>
          <w:szCs w:val="21"/>
        </w:rPr>
        <w:t>专业 人、给排水专业   人、概预算专业  人。专业负责人员中具有中级职称以</w:t>
      </w:r>
      <w:r>
        <w:rPr>
          <w:spacing w:val="-1"/>
          <w:sz w:val="21"/>
          <w:szCs w:val="21"/>
        </w:rPr>
        <w:t>上。</w:t>
      </w:r>
    </w:p>
    <w:p>
      <w:pPr>
        <w:pStyle w:val="11"/>
        <w:spacing w:before="80" w:line="221" w:lineRule="auto"/>
        <w:ind w:left="444"/>
        <w:outlineLvl w:val="2"/>
        <w:rPr>
          <w:sz w:val="21"/>
          <w:szCs w:val="21"/>
        </w:rPr>
      </w:pPr>
      <w:r>
        <w:rPr>
          <w:spacing w:val="-3"/>
          <w:sz w:val="21"/>
          <w:szCs w:val="21"/>
        </w:rPr>
        <w:t>3.2</w:t>
      </w:r>
      <w:r>
        <w:rPr>
          <w:spacing w:val="14"/>
          <w:sz w:val="21"/>
          <w:szCs w:val="21"/>
        </w:rPr>
        <w:t xml:space="preserve"> </w:t>
      </w:r>
      <w:r>
        <w:rPr>
          <w:spacing w:val="-3"/>
          <w:sz w:val="21"/>
          <w:szCs w:val="21"/>
        </w:rPr>
        <w:t>项目负责人</w:t>
      </w:r>
    </w:p>
    <w:p>
      <w:pPr>
        <w:pStyle w:val="11"/>
        <w:spacing w:before="77" w:line="221" w:lineRule="auto"/>
        <w:ind w:left="444"/>
        <w:rPr>
          <w:sz w:val="21"/>
          <w:szCs w:val="21"/>
        </w:rPr>
      </w:pPr>
      <w:r>
        <w:rPr>
          <w:spacing w:val="-1"/>
          <w:sz w:val="21"/>
          <w:szCs w:val="21"/>
        </w:rPr>
        <w:t>3.2.1 项目负责人</w:t>
      </w:r>
    </w:p>
    <w:p>
      <w:pPr>
        <w:pStyle w:val="11"/>
        <w:spacing w:before="83" w:line="285" w:lineRule="auto"/>
        <w:ind w:left="440" w:right="2392"/>
        <w:rPr>
          <w:spacing w:val="4"/>
          <w:sz w:val="21"/>
          <w:szCs w:val="21"/>
        </w:rPr>
      </w:pPr>
      <w:r>
        <w:rPr>
          <w:spacing w:val="-7"/>
          <w:sz w:val="21"/>
          <w:szCs w:val="21"/>
        </w:rPr>
        <w:t>姓</w:t>
      </w:r>
      <w:r>
        <w:rPr>
          <w:spacing w:val="2"/>
          <w:sz w:val="21"/>
          <w:szCs w:val="21"/>
        </w:rPr>
        <w:t xml:space="preserve">    </w:t>
      </w:r>
      <w:r>
        <w:rPr>
          <w:spacing w:val="-7"/>
          <w:sz w:val="21"/>
          <w:szCs w:val="21"/>
        </w:rPr>
        <w:t>名</w:t>
      </w:r>
      <w:r>
        <w:rPr>
          <w:spacing w:val="-27"/>
          <w:sz w:val="21"/>
          <w:szCs w:val="21"/>
        </w:rPr>
        <w:t>：</w:t>
      </w:r>
      <w:r>
        <w:rPr>
          <w:sz w:val="21"/>
          <w:szCs w:val="21"/>
          <w:u w:val="single" w:color="auto"/>
        </w:rPr>
        <w:t xml:space="preserve">                                             </w:t>
      </w:r>
      <w:r>
        <w:rPr>
          <w:spacing w:val="-27"/>
          <w:sz w:val="21"/>
          <w:szCs w:val="21"/>
        </w:rPr>
        <w:t>；</w:t>
      </w:r>
    </w:p>
    <w:p>
      <w:pPr>
        <w:pStyle w:val="11"/>
        <w:spacing w:before="83" w:line="285" w:lineRule="auto"/>
        <w:ind w:left="440" w:right="2392"/>
        <w:rPr>
          <w:spacing w:val="1"/>
          <w:sz w:val="21"/>
          <w:szCs w:val="21"/>
        </w:rPr>
      </w:pPr>
      <w:r>
        <w:rPr>
          <w:spacing w:val="-1"/>
          <w:sz w:val="21"/>
          <w:szCs w:val="21"/>
        </w:rPr>
        <w:t>执业资格及等级</w:t>
      </w:r>
      <w:r>
        <w:rPr>
          <w:spacing w:val="-25"/>
          <w:sz w:val="21"/>
          <w:szCs w:val="21"/>
        </w:rPr>
        <w:t>：</w:t>
      </w:r>
      <w:r>
        <w:rPr>
          <w:spacing w:val="3"/>
          <w:sz w:val="21"/>
          <w:szCs w:val="21"/>
          <w:u w:val="single" w:color="auto"/>
        </w:rPr>
        <w:t xml:space="preserve">                             </w:t>
      </w:r>
      <w:r>
        <w:rPr>
          <w:spacing w:val="2"/>
          <w:sz w:val="21"/>
          <w:szCs w:val="21"/>
          <w:u w:val="single" w:color="auto"/>
        </w:rPr>
        <w:t xml:space="preserve">         </w:t>
      </w:r>
      <w:r>
        <w:rPr>
          <w:spacing w:val="-25"/>
          <w:sz w:val="21"/>
          <w:szCs w:val="21"/>
        </w:rPr>
        <w:t>；</w:t>
      </w:r>
    </w:p>
    <w:p>
      <w:pPr>
        <w:pStyle w:val="11"/>
        <w:spacing w:before="83" w:line="285" w:lineRule="auto"/>
        <w:ind w:left="440" w:right="2392"/>
        <w:rPr>
          <w:spacing w:val="1"/>
          <w:sz w:val="21"/>
          <w:szCs w:val="21"/>
        </w:rPr>
      </w:pPr>
      <w:r>
        <w:rPr>
          <w:spacing w:val="-1"/>
          <w:sz w:val="21"/>
          <w:szCs w:val="21"/>
        </w:rPr>
        <w:t>注册证书号</w:t>
      </w:r>
      <w:r>
        <w:rPr>
          <w:spacing w:val="-26"/>
          <w:sz w:val="21"/>
          <w:szCs w:val="21"/>
        </w:rPr>
        <w:t>：</w:t>
      </w:r>
      <w:r>
        <w:rPr>
          <w:sz w:val="21"/>
          <w:szCs w:val="21"/>
          <w:u w:val="single" w:color="auto"/>
        </w:rPr>
        <w:t xml:space="preserve">                                           </w:t>
      </w:r>
      <w:r>
        <w:rPr>
          <w:spacing w:val="-26"/>
          <w:sz w:val="21"/>
          <w:szCs w:val="21"/>
        </w:rPr>
        <w:t>；</w:t>
      </w:r>
    </w:p>
    <w:p>
      <w:pPr>
        <w:pStyle w:val="11"/>
        <w:spacing w:before="83" w:line="285" w:lineRule="auto"/>
        <w:ind w:left="440" w:right="2392"/>
        <w:rPr>
          <w:spacing w:val="2"/>
          <w:sz w:val="21"/>
          <w:szCs w:val="21"/>
        </w:rPr>
      </w:pPr>
      <w:r>
        <w:rPr>
          <w:spacing w:val="-2"/>
          <w:sz w:val="21"/>
          <w:szCs w:val="21"/>
        </w:rPr>
        <w:t>联系电话</w:t>
      </w:r>
      <w:r>
        <w:rPr>
          <w:spacing w:val="-25"/>
          <w:sz w:val="21"/>
          <w:szCs w:val="21"/>
        </w:rPr>
        <w:t>：</w:t>
      </w:r>
      <w:r>
        <w:rPr>
          <w:sz w:val="21"/>
          <w:szCs w:val="21"/>
          <w:u w:val="single" w:color="auto"/>
        </w:rPr>
        <w:t xml:space="preserve">                                             </w:t>
      </w:r>
      <w:r>
        <w:rPr>
          <w:spacing w:val="-25"/>
          <w:sz w:val="21"/>
          <w:szCs w:val="21"/>
        </w:rPr>
        <w:t>；</w:t>
      </w:r>
    </w:p>
    <w:p>
      <w:pPr>
        <w:pStyle w:val="11"/>
        <w:spacing w:before="83" w:line="285" w:lineRule="auto"/>
        <w:ind w:left="440" w:right="2392"/>
        <w:rPr>
          <w:spacing w:val="2"/>
          <w:sz w:val="21"/>
          <w:szCs w:val="21"/>
        </w:rPr>
      </w:pPr>
      <w:r>
        <w:rPr>
          <w:spacing w:val="5"/>
          <w:sz w:val="21"/>
          <w:szCs w:val="21"/>
        </w:rPr>
        <w:t>电子信箱</w:t>
      </w:r>
      <w:r>
        <w:rPr>
          <w:spacing w:val="-39"/>
          <w:sz w:val="21"/>
          <w:szCs w:val="21"/>
        </w:rPr>
        <w:t>：</w:t>
      </w:r>
      <w:r>
        <w:rPr>
          <w:sz w:val="21"/>
          <w:szCs w:val="21"/>
          <w:u w:val="single" w:color="auto"/>
        </w:rPr>
        <w:t xml:space="preserve">                                             </w:t>
      </w:r>
      <w:r>
        <w:rPr>
          <w:spacing w:val="-39"/>
          <w:sz w:val="21"/>
          <w:szCs w:val="21"/>
        </w:rPr>
        <w:t>；</w:t>
      </w:r>
    </w:p>
    <w:p>
      <w:pPr>
        <w:pStyle w:val="11"/>
        <w:spacing w:before="83" w:line="285" w:lineRule="auto"/>
        <w:ind w:left="440" w:right="2392"/>
        <w:rPr>
          <w:rFonts w:ascii="Arial"/>
          <w:sz w:val="21"/>
        </w:rPr>
      </w:pPr>
      <w:r>
        <w:rPr>
          <w:spacing w:val="-2"/>
          <w:sz w:val="21"/>
          <w:szCs w:val="21"/>
        </w:rPr>
        <w:t>通信地址</w:t>
      </w:r>
      <w:r>
        <w:rPr>
          <w:spacing w:val="-25"/>
          <w:sz w:val="21"/>
          <w:szCs w:val="21"/>
        </w:rPr>
        <w:t>：</w:t>
      </w:r>
      <w:r>
        <w:rPr>
          <w:sz w:val="21"/>
          <w:szCs w:val="21"/>
          <w:u w:val="single" w:color="auto"/>
        </w:rPr>
        <w:t xml:space="preserve">                                             </w:t>
      </w:r>
      <w:r>
        <w:rPr>
          <w:spacing w:val="-25"/>
          <w:sz w:val="21"/>
          <w:szCs w:val="21"/>
        </w:rPr>
        <w:t>；</w:t>
      </w:r>
    </w:p>
    <w:p>
      <w:pPr>
        <w:pStyle w:val="11"/>
        <w:spacing w:before="68" w:line="278" w:lineRule="auto"/>
        <w:ind w:left="20" w:firstLine="423"/>
        <w:rPr>
          <w:sz w:val="21"/>
          <w:szCs w:val="21"/>
        </w:rPr>
      </w:pPr>
      <w:r>
        <w:rPr>
          <w:spacing w:val="-2"/>
          <w:sz w:val="21"/>
          <w:szCs w:val="21"/>
        </w:rPr>
        <w:t>设计人对项目负责人的授权范围如下：</w:t>
      </w:r>
      <w:r>
        <w:rPr>
          <w:spacing w:val="-2"/>
          <w:sz w:val="21"/>
          <w:szCs w:val="21"/>
          <w:u w:val="single" w:color="auto"/>
        </w:rPr>
        <w:t xml:space="preserve">    按合同要求负责</w:t>
      </w:r>
      <w:r>
        <w:rPr>
          <w:spacing w:val="-3"/>
          <w:sz w:val="21"/>
          <w:szCs w:val="21"/>
          <w:u w:val="single" w:color="auto"/>
        </w:rPr>
        <w:t>与本项目设计有关的一切事物，</w:t>
      </w:r>
      <w:r>
        <w:rPr>
          <w:sz w:val="21"/>
          <w:szCs w:val="21"/>
        </w:rPr>
        <w:t xml:space="preserve"> </w:t>
      </w:r>
      <w:r>
        <w:rPr>
          <w:spacing w:val="-1"/>
          <w:sz w:val="21"/>
          <w:szCs w:val="21"/>
          <w:u w:val="single" w:color="auto"/>
        </w:rPr>
        <w:t>包括项目的组织、协调相关工作</w:t>
      </w:r>
      <w:r>
        <w:rPr>
          <w:spacing w:val="37"/>
          <w:sz w:val="21"/>
          <w:szCs w:val="21"/>
          <w:u w:val="single" w:color="auto"/>
        </w:rPr>
        <w:t xml:space="preserve">   </w:t>
      </w:r>
      <w:r>
        <w:rPr>
          <w:spacing w:val="-1"/>
          <w:sz w:val="21"/>
          <w:szCs w:val="21"/>
        </w:rPr>
        <w:t>。</w:t>
      </w:r>
    </w:p>
    <w:p>
      <w:pPr>
        <w:pStyle w:val="11"/>
        <w:spacing w:before="27" w:line="220" w:lineRule="auto"/>
        <w:ind w:left="444"/>
        <w:rPr>
          <w:sz w:val="21"/>
          <w:szCs w:val="21"/>
        </w:rPr>
      </w:pPr>
      <w:r>
        <w:rPr>
          <w:sz w:val="21"/>
          <w:szCs w:val="21"/>
        </w:rPr>
        <w:t>3.2.2 设计人更换项目负责人的，应提前</w:t>
      </w:r>
      <w:r>
        <w:rPr>
          <w:sz w:val="21"/>
          <w:szCs w:val="21"/>
          <w:u w:val="single" w:color="auto"/>
        </w:rPr>
        <w:t xml:space="preserve"> 7 </w:t>
      </w:r>
      <w:r>
        <w:rPr>
          <w:spacing w:val="-1"/>
          <w:sz w:val="21"/>
          <w:szCs w:val="21"/>
        </w:rPr>
        <w:t>天书面通知发包人。</w:t>
      </w:r>
    </w:p>
    <w:p>
      <w:pPr>
        <w:pStyle w:val="11"/>
        <w:spacing w:before="82" w:line="284" w:lineRule="auto"/>
        <w:ind w:left="21" w:right="57" w:firstLine="422"/>
        <w:rPr>
          <w:sz w:val="21"/>
          <w:szCs w:val="21"/>
        </w:rPr>
      </w:pPr>
      <w:r>
        <w:rPr>
          <w:spacing w:val="-1"/>
          <w:sz w:val="21"/>
          <w:szCs w:val="21"/>
        </w:rPr>
        <w:t>设计人擅自更换项目负责人的违约责任：</w:t>
      </w:r>
      <w:r>
        <w:rPr>
          <w:spacing w:val="-1"/>
          <w:sz w:val="21"/>
          <w:szCs w:val="21"/>
          <w:u w:val="single" w:color="auto"/>
        </w:rPr>
        <w:t xml:space="preserve"> 设计人擅自更换项目负</w:t>
      </w:r>
      <w:r>
        <w:rPr>
          <w:spacing w:val="-2"/>
          <w:sz w:val="21"/>
          <w:szCs w:val="21"/>
          <w:u w:val="single" w:color="auto"/>
        </w:rPr>
        <w:t>责人的违约责任：设计人</w:t>
      </w:r>
      <w:r>
        <w:rPr>
          <w:sz w:val="21"/>
          <w:szCs w:val="21"/>
        </w:rPr>
        <w:t xml:space="preserve"> </w:t>
      </w:r>
      <w:r>
        <w:rPr>
          <w:spacing w:val="3"/>
          <w:sz w:val="21"/>
          <w:szCs w:val="21"/>
          <w:u w:val="single" w:color="auto"/>
        </w:rPr>
        <w:t>擅自更换项目设计负责人或关键人员，发包人按每人每次向设计人索赔设计费的</w:t>
      </w:r>
      <w:r>
        <w:rPr>
          <w:spacing w:val="34"/>
          <w:sz w:val="21"/>
          <w:szCs w:val="21"/>
          <w:u w:val="single" w:color="auto"/>
        </w:rPr>
        <w:t xml:space="preserve"> </w:t>
      </w:r>
      <w:r>
        <w:rPr>
          <w:spacing w:val="3"/>
          <w:sz w:val="21"/>
          <w:szCs w:val="21"/>
          <w:u w:val="single" w:color="auto"/>
        </w:rPr>
        <w:t>5%（百分之</w:t>
      </w:r>
      <w:r>
        <w:rPr>
          <w:spacing w:val="-38"/>
          <w:sz w:val="21"/>
          <w:szCs w:val="21"/>
          <w:u w:val="single" w:color="auto"/>
        </w:rPr>
        <w:t>五）。</w:t>
      </w:r>
    </w:p>
    <w:p>
      <w:pPr>
        <w:pStyle w:val="11"/>
        <w:keepNext w:val="0"/>
        <w:keepLines w:val="0"/>
        <w:pageBreakBefore w:val="0"/>
        <w:widowControl/>
        <w:kinsoku/>
        <w:wordWrap/>
        <w:overflowPunct/>
        <w:topLinePunct w:val="0"/>
        <w:autoSpaceDE/>
        <w:autoSpaceDN/>
        <w:bidi w:val="0"/>
        <w:adjustRightInd/>
        <w:snapToGrid/>
        <w:spacing w:before="0" w:line="240" w:lineRule="auto"/>
        <w:ind w:left="-200" w:leftChars="0" w:right="0" w:firstLine="0" w:firstLineChars="0"/>
        <w:textAlignment w:val="auto"/>
        <w:outlineLvl w:val="2"/>
        <w:rPr>
          <w:sz w:val="21"/>
          <w:szCs w:val="21"/>
        </w:rPr>
      </w:pPr>
      <w:r>
        <w:rPr>
          <w:spacing w:val="-1"/>
          <w:sz w:val="21"/>
          <w:szCs w:val="21"/>
        </w:rPr>
        <w:t>3.2.3 发包人有权书面通知设计人更换其认为不称职的项目负</w:t>
      </w:r>
      <w:r>
        <w:rPr>
          <w:spacing w:val="-2"/>
          <w:sz w:val="21"/>
          <w:szCs w:val="21"/>
        </w:rPr>
        <w:t>责人，设计人应在收到书面</w:t>
      </w:r>
      <w:r>
        <w:rPr>
          <w:spacing w:val="-1"/>
          <w:sz w:val="21"/>
          <w:szCs w:val="21"/>
        </w:rPr>
        <w:t>更换通知后 7 天内更换项目负责人。更换的项目负责人不得低于投标时承诺投</w:t>
      </w:r>
      <w:r>
        <w:rPr>
          <w:spacing w:val="-2"/>
          <w:sz w:val="21"/>
          <w:szCs w:val="21"/>
        </w:rPr>
        <w:t>入项目负责人的</w:t>
      </w:r>
      <w:r>
        <w:rPr>
          <w:sz w:val="21"/>
          <w:szCs w:val="21"/>
        </w:rPr>
        <w:t xml:space="preserve"> </w:t>
      </w:r>
      <w:r>
        <w:rPr>
          <w:spacing w:val="-1"/>
          <w:sz w:val="21"/>
          <w:szCs w:val="21"/>
        </w:rPr>
        <w:t>标准。设计人无正当理由拒绝更换项目负责人的违约责任： 设计人的项目</w:t>
      </w:r>
      <w:r>
        <w:rPr>
          <w:spacing w:val="-2"/>
          <w:sz w:val="21"/>
          <w:szCs w:val="21"/>
        </w:rPr>
        <w:t>负责人或关键人员不</w:t>
      </w:r>
      <w:r>
        <w:rPr>
          <w:sz w:val="21"/>
          <w:szCs w:val="21"/>
        </w:rPr>
        <w:t xml:space="preserve"> </w:t>
      </w:r>
      <w:r>
        <w:rPr>
          <w:spacing w:val="1"/>
          <w:sz w:val="21"/>
          <w:szCs w:val="21"/>
        </w:rPr>
        <w:t>能很好地履行合同服务或服务质量达不到发包人要求，发包人有权要求设计人限时更换人员，</w:t>
      </w:r>
      <w:r>
        <w:rPr>
          <w:spacing w:val="5"/>
          <w:sz w:val="21"/>
          <w:szCs w:val="21"/>
        </w:rPr>
        <w:t xml:space="preserve"> </w:t>
      </w:r>
      <w:r>
        <w:rPr>
          <w:spacing w:val="-3"/>
          <w:sz w:val="21"/>
          <w:szCs w:val="21"/>
        </w:rPr>
        <w:t>如设计人无正当理由拒绝更换的，发包人按每人每次向设计人索赔设计费的5%（百分之五）。</w:t>
      </w:r>
    </w:p>
    <w:p>
      <w:pPr>
        <w:pStyle w:val="11"/>
        <w:spacing w:before="32" w:line="222" w:lineRule="auto"/>
        <w:ind w:left="444"/>
        <w:outlineLvl w:val="2"/>
        <w:rPr>
          <w:sz w:val="21"/>
          <w:szCs w:val="21"/>
        </w:rPr>
      </w:pPr>
      <w:r>
        <w:rPr>
          <w:spacing w:val="-3"/>
          <w:sz w:val="21"/>
          <w:szCs w:val="21"/>
        </w:rPr>
        <w:t>3.3</w:t>
      </w:r>
      <w:r>
        <w:rPr>
          <w:spacing w:val="14"/>
          <w:sz w:val="21"/>
          <w:szCs w:val="21"/>
        </w:rPr>
        <w:t xml:space="preserve"> </w:t>
      </w:r>
      <w:r>
        <w:rPr>
          <w:spacing w:val="-3"/>
          <w:sz w:val="21"/>
          <w:szCs w:val="21"/>
        </w:rPr>
        <w:t>设计人人员</w:t>
      </w:r>
    </w:p>
    <w:p>
      <w:pPr>
        <w:pStyle w:val="11"/>
        <w:spacing w:before="76" w:line="219" w:lineRule="auto"/>
        <w:ind w:left="444"/>
        <w:rPr>
          <w:spacing w:val="-1"/>
          <w:sz w:val="21"/>
          <w:szCs w:val="21"/>
        </w:rPr>
      </w:pPr>
      <w:r>
        <w:rPr>
          <w:spacing w:val="-1"/>
          <w:sz w:val="21"/>
          <w:szCs w:val="21"/>
        </w:rPr>
        <w:t>3.3.1 设计人提交项目管理机构及人员安排报告的期限</w:t>
      </w:r>
      <w:r>
        <w:rPr>
          <w:spacing w:val="-1"/>
          <w:sz w:val="21"/>
          <w:szCs w:val="21"/>
          <w:u w:val="single" w:color="auto"/>
        </w:rPr>
        <w:t xml:space="preserve">   合同签订后</w:t>
      </w:r>
      <w:r>
        <w:rPr>
          <w:spacing w:val="-26"/>
          <w:sz w:val="21"/>
          <w:szCs w:val="21"/>
          <w:u w:val="single" w:color="auto"/>
        </w:rPr>
        <w:t xml:space="preserve"> </w:t>
      </w:r>
      <w:r>
        <w:rPr>
          <w:spacing w:val="-1"/>
          <w:sz w:val="21"/>
          <w:szCs w:val="21"/>
          <w:u w:val="single" w:color="auto"/>
        </w:rPr>
        <w:t>5</w:t>
      </w:r>
      <w:r>
        <w:rPr>
          <w:spacing w:val="-43"/>
          <w:sz w:val="21"/>
          <w:szCs w:val="21"/>
          <w:u w:val="single" w:color="auto"/>
        </w:rPr>
        <w:t xml:space="preserve"> </w:t>
      </w:r>
      <w:r>
        <w:rPr>
          <w:spacing w:val="-1"/>
          <w:sz w:val="21"/>
          <w:szCs w:val="21"/>
          <w:u w:val="single" w:color="auto"/>
        </w:rPr>
        <w:t xml:space="preserve">个日历日内  </w:t>
      </w:r>
      <w:r>
        <w:rPr>
          <w:spacing w:val="-1"/>
          <w:sz w:val="21"/>
          <w:szCs w:val="21"/>
        </w:rPr>
        <w:t>。</w:t>
      </w:r>
    </w:p>
    <w:p>
      <w:pPr>
        <w:pStyle w:val="11"/>
        <w:spacing w:before="76" w:line="219" w:lineRule="auto"/>
        <w:ind w:left="-199" w:leftChars="-95" w:firstLine="0" w:firstLineChars="0"/>
        <w:rPr>
          <w:sz w:val="21"/>
          <w:szCs w:val="21"/>
        </w:rPr>
      </w:pPr>
      <w:r>
        <w:rPr>
          <w:spacing w:val="1"/>
          <w:sz w:val="21"/>
          <w:szCs w:val="21"/>
        </w:rPr>
        <w:t>3.3.2 设计人无正当理由拒绝撤换主要设计人员的违约责任：</w:t>
      </w:r>
      <w:r>
        <w:rPr>
          <w:spacing w:val="1"/>
          <w:sz w:val="21"/>
          <w:szCs w:val="21"/>
          <w:u w:val="single" w:color="auto"/>
        </w:rPr>
        <w:t xml:space="preserve">  发包人有权向设计人处以</w:t>
      </w:r>
      <w:r>
        <w:rPr>
          <w:spacing w:val="7"/>
          <w:sz w:val="21"/>
          <w:szCs w:val="21"/>
        </w:rPr>
        <w:t xml:space="preserve"> </w:t>
      </w:r>
      <w:r>
        <w:rPr>
          <w:spacing w:val="-3"/>
          <w:sz w:val="21"/>
          <w:szCs w:val="21"/>
          <w:u w:val="single" w:color="auto"/>
        </w:rPr>
        <w:t>10000</w:t>
      </w:r>
      <w:r>
        <w:rPr>
          <w:spacing w:val="-45"/>
          <w:sz w:val="21"/>
          <w:szCs w:val="21"/>
          <w:u w:val="single" w:color="auto"/>
        </w:rPr>
        <w:t xml:space="preserve"> </w:t>
      </w:r>
      <w:r>
        <w:rPr>
          <w:spacing w:val="-3"/>
          <w:sz w:val="21"/>
          <w:szCs w:val="21"/>
          <w:u w:val="single" w:color="auto"/>
        </w:rPr>
        <w:t>元罚款/人</w:t>
      </w:r>
      <w:r>
        <w:rPr>
          <w:spacing w:val="-24"/>
          <w:sz w:val="21"/>
          <w:szCs w:val="21"/>
          <w:u w:val="single" w:color="auto"/>
        </w:rPr>
        <w:t xml:space="preserve"> </w:t>
      </w:r>
      <w:r>
        <w:rPr>
          <w:spacing w:val="-3"/>
          <w:sz w:val="21"/>
          <w:szCs w:val="21"/>
          <w:u w:val="single" w:color="auto"/>
        </w:rPr>
        <w:t>·天，设计人需承担违约给发包人造成的一切损失及责</w:t>
      </w:r>
      <w:r>
        <w:rPr>
          <w:spacing w:val="-4"/>
          <w:sz w:val="21"/>
          <w:szCs w:val="21"/>
          <w:u w:val="single" w:color="auto"/>
        </w:rPr>
        <w:t>任。</w:t>
      </w:r>
    </w:p>
    <w:p>
      <w:pPr>
        <w:pStyle w:val="11"/>
        <w:keepNext w:val="0"/>
        <w:keepLines w:val="0"/>
        <w:pageBreakBefore w:val="0"/>
        <w:widowControl/>
        <w:kinsoku/>
        <w:wordWrap/>
        <w:overflowPunct/>
        <w:topLinePunct w:val="0"/>
        <w:autoSpaceDE/>
        <w:autoSpaceDN/>
        <w:bidi w:val="0"/>
        <w:adjustRightInd/>
        <w:snapToGrid/>
        <w:spacing w:before="0" w:line="281" w:lineRule="auto"/>
        <w:ind w:left="-199" w:leftChars="-95" w:right="65" w:firstLine="0" w:firstLineChars="0"/>
        <w:jc w:val="both"/>
        <w:textAlignment w:val="auto"/>
        <w:rPr>
          <w:sz w:val="21"/>
          <w:szCs w:val="21"/>
        </w:rPr>
      </w:pPr>
      <w:r>
        <w:rPr>
          <w:spacing w:val="-3"/>
          <w:sz w:val="21"/>
          <w:szCs w:val="21"/>
        </w:rPr>
        <w:t>以上（专用条款的</w:t>
      </w:r>
      <w:r>
        <w:rPr>
          <w:spacing w:val="-40"/>
          <w:sz w:val="21"/>
          <w:szCs w:val="21"/>
        </w:rPr>
        <w:t xml:space="preserve"> </w:t>
      </w:r>
      <w:r>
        <w:rPr>
          <w:spacing w:val="-3"/>
          <w:sz w:val="21"/>
          <w:szCs w:val="21"/>
        </w:rPr>
        <w:t>3.2.2、3.2.3、3.3.2）有关违约处罚，所有违约金全部从设计人</w:t>
      </w:r>
      <w:r>
        <w:rPr>
          <w:spacing w:val="-4"/>
          <w:sz w:val="21"/>
          <w:szCs w:val="21"/>
        </w:rPr>
        <w:t>履约保</w:t>
      </w:r>
      <w:r>
        <w:rPr>
          <w:sz w:val="21"/>
          <w:szCs w:val="21"/>
        </w:rPr>
        <w:t xml:space="preserve"> </w:t>
      </w:r>
      <w:r>
        <w:rPr>
          <w:spacing w:val="1"/>
          <w:sz w:val="21"/>
          <w:szCs w:val="21"/>
        </w:rPr>
        <w:t>证金中扣除。在本合同期内，履约保证金因设计人违约而扣除罚金后，设计人应在接收到发包</w:t>
      </w:r>
      <w:r>
        <w:rPr>
          <w:spacing w:val="9"/>
          <w:sz w:val="21"/>
          <w:szCs w:val="21"/>
        </w:rPr>
        <w:t xml:space="preserve"> </w:t>
      </w:r>
      <w:r>
        <w:rPr>
          <w:spacing w:val="-3"/>
          <w:sz w:val="21"/>
          <w:szCs w:val="21"/>
        </w:rPr>
        <w:t>人通知后</w:t>
      </w:r>
      <w:r>
        <w:rPr>
          <w:spacing w:val="-25"/>
          <w:sz w:val="21"/>
          <w:szCs w:val="21"/>
        </w:rPr>
        <w:t xml:space="preserve"> </w:t>
      </w:r>
      <w:r>
        <w:rPr>
          <w:spacing w:val="-3"/>
          <w:sz w:val="21"/>
          <w:szCs w:val="21"/>
        </w:rPr>
        <w:t>5</w:t>
      </w:r>
      <w:r>
        <w:rPr>
          <w:spacing w:val="-46"/>
          <w:sz w:val="21"/>
          <w:szCs w:val="21"/>
        </w:rPr>
        <w:t xml:space="preserve"> </w:t>
      </w:r>
      <w:r>
        <w:rPr>
          <w:spacing w:val="-3"/>
          <w:sz w:val="21"/>
          <w:szCs w:val="21"/>
        </w:rPr>
        <w:t>个工作日内补足履约保证金。</w:t>
      </w:r>
    </w:p>
    <w:p>
      <w:pPr>
        <w:pStyle w:val="11"/>
        <w:spacing w:before="30" w:line="221" w:lineRule="auto"/>
        <w:ind w:left="444"/>
        <w:outlineLvl w:val="2"/>
        <w:rPr>
          <w:sz w:val="21"/>
          <w:szCs w:val="21"/>
        </w:rPr>
      </w:pPr>
      <w:r>
        <w:rPr>
          <w:spacing w:val="-3"/>
          <w:sz w:val="21"/>
          <w:szCs w:val="21"/>
        </w:rPr>
        <w:t>3.4</w:t>
      </w:r>
      <w:r>
        <w:rPr>
          <w:spacing w:val="12"/>
          <w:sz w:val="21"/>
          <w:szCs w:val="21"/>
        </w:rPr>
        <w:t xml:space="preserve"> </w:t>
      </w:r>
      <w:r>
        <w:rPr>
          <w:spacing w:val="-3"/>
          <w:sz w:val="21"/>
          <w:szCs w:val="21"/>
        </w:rPr>
        <w:t>设计分包</w:t>
      </w:r>
    </w:p>
    <w:p>
      <w:pPr>
        <w:pStyle w:val="11"/>
        <w:spacing w:before="79" w:line="221" w:lineRule="auto"/>
        <w:ind w:left="444"/>
        <w:rPr>
          <w:sz w:val="21"/>
          <w:szCs w:val="21"/>
        </w:rPr>
      </w:pPr>
      <w:r>
        <w:rPr>
          <w:spacing w:val="-1"/>
          <w:sz w:val="21"/>
          <w:szCs w:val="21"/>
        </w:rPr>
        <w:t>3.4.1设计分包的一般约定</w:t>
      </w:r>
    </w:p>
    <w:p>
      <w:pPr>
        <w:pStyle w:val="11"/>
        <w:spacing w:before="78" w:line="278" w:lineRule="auto"/>
        <w:ind w:left="441" w:right="2883" w:hanging="1"/>
        <w:rPr>
          <w:spacing w:val="-1"/>
          <w:sz w:val="21"/>
          <w:szCs w:val="21"/>
        </w:rPr>
      </w:pPr>
      <w:r>
        <w:rPr>
          <w:spacing w:val="-1"/>
          <w:sz w:val="21"/>
          <w:szCs w:val="21"/>
        </w:rPr>
        <w:t>禁止设计分包的工程包括：</w:t>
      </w:r>
      <w:r>
        <w:rPr>
          <w:spacing w:val="-1"/>
          <w:sz w:val="21"/>
          <w:szCs w:val="21"/>
          <w:u w:val="single" w:color="auto"/>
        </w:rPr>
        <w:t xml:space="preserve">     本项目禁止</w:t>
      </w:r>
      <w:r>
        <w:rPr>
          <w:spacing w:val="-2"/>
          <w:sz w:val="21"/>
          <w:szCs w:val="21"/>
          <w:u w:val="single" w:color="auto"/>
        </w:rPr>
        <w:t xml:space="preserve">设计分包   </w:t>
      </w:r>
      <w:r>
        <w:rPr>
          <w:spacing w:val="-2"/>
          <w:sz w:val="21"/>
          <w:szCs w:val="21"/>
        </w:rPr>
        <w:t>。</w:t>
      </w:r>
      <w:r>
        <w:rPr>
          <w:sz w:val="21"/>
          <w:szCs w:val="21"/>
        </w:rPr>
        <w:t xml:space="preserve"> </w:t>
      </w:r>
      <w:r>
        <w:rPr>
          <w:spacing w:val="-1"/>
          <w:sz w:val="21"/>
          <w:szCs w:val="21"/>
        </w:rPr>
        <w:t>主体结构、关键性工作的范围：</w:t>
      </w:r>
      <w:r>
        <w:rPr>
          <w:spacing w:val="-1"/>
          <w:sz w:val="21"/>
          <w:szCs w:val="21"/>
          <w:u w:val="single" w:color="auto"/>
        </w:rPr>
        <w:t xml:space="preserve">    /   </w:t>
      </w:r>
      <w:r>
        <w:rPr>
          <w:spacing w:val="-1"/>
          <w:sz w:val="21"/>
          <w:szCs w:val="21"/>
        </w:rPr>
        <w:t>。</w:t>
      </w:r>
    </w:p>
    <w:p>
      <w:pPr>
        <w:pStyle w:val="11"/>
        <w:spacing w:before="78" w:line="278" w:lineRule="auto"/>
        <w:ind w:left="-199" w:leftChars="-95" w:right="2883" w:firstLine="0" w:firstLineChars="0"/>
        <w:rPr>
          <w:sz w:val="21"/>
          <w:szCs w:val="21"/>
        </w:rPr>
      </w:pPr>
      <w:r>
        <w:rPr>
          <w:spacing w:val="-1"/>
          <w:sz w:val="21"/>
          <w:szCs w:val="21"/>
        </w:rPr>
        <w:t>3.4.2设计分包的确定</w:t>
      </w:r>
    </w:p>
    <w:p>
      <w:pPr>
        <w:pStyle w:val="11"/>
        <w:spacing w:before="79" w:line="276" w:lineRule="auto"/>
        <w:ind w:left="441" w:right="4981" w:firstLine="6"/>
        <w:rPr>
          <w:sz w:val="21"/>
          <w:szCs w:val="21"/>
        </w:rPr>
      </w:pPr>
      <w:r>
        <w:rPr>
          <w:spacing w:val="-3"/>
          <w:sz w:val="21"/>
          <w:szCs w:val="21"/>
        </w:rPr>
        <w:t>允许分包的专业工程包括：</w:t>
      </w:r>
      <w:r>
        <w:rPr>
          <w:spacing w:val="-3"/>
          <w:sz w:val="21"/>
          <w:szCs w:val="21"/>
          <w:u w:val="single" w:color="auto"/>
        </w:rPr>
        <w:t xml:space="preserve">  /   </w:t>
      </w:r>
      <w:r>
        <w:rPr>
          <w:spacing w:val="-3"/>
          <w:sz w:val="21"/>
          <w:szCs w:val="21"/>
        </w:rPr>
        <w:t>。</w:t>
      </w:r>
      <w:r>
        <w:rPr>
          <w:spacing w:val="14"/>
          <w:sz w:val="21"/>
          <w:szCs w:val="21"/>
        </w:rPr>
        <w:t xml:space="preserve"> </w:t>
      </w:r>
      <w:r>
        <w:rPr>
          <w:spacing w:val="-1"/>
          <w:sz w:val="21"/>
          <w:szCs w:val="21"/>
        </w:rPr>
        <w:t>其他关于分包的约定：</w:t>
      </w:r>
      <w:r>
        <w:rPr>
          <w:spacing w:val="-1"/>
          <w:sz w:val="21"/>
          <w:szCs w:val="21"/>
          <w:u w:val="single" w:color="auto"/>
        </w:rPr>
        <w:t xml:space="preserve">/      </w:t>
      </w:r>
      <w:r>
        <w:rPr>
          <w:spacing w:val="-1"/>
          <w:sz w:val="21"/>
          <w:szCs w:val="21"/>
        </w:rPr>
        <w:t>。</w:t>
      </w:r>
    </w:p>
    <w:p>
      <w:pPr>
        <w:pStyle w:val="11"/>
        <w:spacing w:before="33" w:line="221" w:lineRule="auto"/>
        <w:ind w:left="444"/>
        <w:rPr>
          <w:sz w:val="21"/>
          <w:szCs w:val="21"/>
        </w:rPr>
      </w:pPr>
      <w:r>
        <w:rPr>
          <w:sz w:val="21"/>
          <w:szCs w:val="21"/>
        </w:rPr>
        <w:t>3.4.3设计人向发包人提交有关分包人</w:t>
      </w:r>
      <w:r>
        <w:rPr>
          <w:spacing w:val="-1"/>
          <w:sz w:val="21"/>
          <w:szCs w:val="21"/>
        </w:rPr>
        <w:t>资料包括：</w:t>
      </w:r>
      <w:r>
        <w:rPr>
          <w:spacing w:val="-1"/>
          <w:sz w:val="21"/>
          <w:szCs w:val="21"/>
          <w:u w:val="single" w:color="auto"/>
        </w:rPr>
        <w:t xml:space="preserve">/     </w:t>
      </w:r>
      <w:r>
        <w:rPr>
          <w:spacing w:val="-1"/>
          <w:sz w:val="21"/>
          <w:szCs w:val="21"/>
        </w:rPr>
        <w:t>。</w:t>
      </w:r>
    </w:p>
    <w:p>
      <w:pPr>
        <w:pStyle w:val="11"/>
        <w:spacing w:before="76" w:line="221" w:lineRule="auto"/>
        <w:ind w:left="444"/>
        <w:rPr>
          <w:sz w:val="21"/>
          <w:szCs w:val="21"/>
        </w:rPr>
      </w:pPr>
      <w:r>
        <w:rPr>
          <w:spacing w:val="-1"/>
          <w:sz w:val="21"/>
          <w:szCs w:val="21"/>
        </w:rPr>
        <w:t xml:space="preserve">3.4.4分包工程设计费支付方式： </w:t>
      </w:r>
      <w:r>
        <w:rPr>
          <w:spacing w:val="-1"/>
          <w:sz w:val="21"/>
          <w:szCs w:val="21"/>
          <w:u w:val="single" w:color="auto"/>
        </w:rPr>
        <w:t xml:space="preserve"> /  </w:t>
      </w:r>
      <w:r>
        <w:rPr>
          <w:spacing w:val="-1"/>
          <w:sz w:val="21"/>
          <w:szCs w:val="21"/>
        </w:rPr>
        <w:t>。</w:t>
      </w:r>
    </w:p>
    <w:p>
      <w:pPr>
        <w:pStyle w:val="11"/>
        <w:spacing w:before="81" w:line="222" w:lineRule="auto"/>
        <w:ind w:left="444"/>
        <w:outlineLvl w:val="2"/>
        <w:rPr>
          <w:sz w:val="21"/>
          <w:szCs w:val="21"/>
        </w:rPr>
      </w:pPr>
      <w:r>
        <w:rPr>
          <w:spacing w:val="-4"/>
          <w:sz w:val="21"/>
          <w:szCs w:val="21"/>
        </w:rPr>
        <w:t>3.5</w:t>
      </w:r>
      <w:r>
        <w:rPr>
          <w:spacing w:val="14"/>
          <w:sz w:val="21"/>
          <w:szCs w:val="21"/>
        </w:rPr>
        <w:t xml:space="preserve"> </w:t>
      </w:r>
      <w:r>
        <w:rPr>
          <w:spacing w:val="-4"/>
          <w:sz w:val="21"/>
          <w:szCs w:val="21"/>
        </w:rPr>
        <w:t>联合体</w:t>
      </w:r>
    </w:p>
    <w:p>
      <w:pPr>
        <w:pStyle w:val="11"/>
        <w:spacing w:before="75" w:line="278" w:lineRule="auto"/>
        <w:ind w:left="20" w:right="63" w:firstLine="424"/>
        <w:rPr>
          <w:sz w:val="21"/>
          <w:szCs w:val="21"/>
        </w:rPr>
      </w:pPr>
      <w:r>
        <w:rPr>
          <w:spacing w:val="1"/>
          <w:sz w:val="21"/>
          <w:szCs w:val="21"/>
        </w:rPr>
        <w:t>3.5.4 发包人向联合体支付设计费用的方式：按照联合体协议书约定的联合体双方承接设</w:t>
      </w:r>
      <w:r>
        <w:rPr>
          <w:spacing w:val="5"/>
          <w:sz w:val="21"/>
          <w:szCs w:val="21"/>
        </w:rPr>
        <w:t xml:space="preserve"> </w:t>
      </w:r>
      <w:r>
        <w:rPr>
          <w:spacing w:val="-1"/>
          <w:sz w:val="21"/>
          <w:szCs w:val="21"/>
        </w:rPr>
        <w:t>计内容比例进行支付。</w:t>
      </w:r>
    </w:p>
    <w:p>
      <w:pPr>
        <w:pStyle w:val="11"/>
        <w:spacing w:before="29" w:line="221" w:lineRule="auto"/>
        <w:ind w:left="444"/>
        <w:outlineLvl w:val="2"/>
        <w:rPr>
          <w:sz w:val="21"/>
          <w:szCs w:val="21"/>
        </w:rPr>
      </w:pPr>
      <w:r>
        <w:rPr>
          <w:spacing w:val="-3"/>
          <w:sz w:val="21"/>
          <w:szCs w:val="21"/>
        </w:rPr>
        <w:t>3.6</w:t>
      </w:r>
      <w:r>
        <w:rPr>
          <w:spacing w:val="12"/>
          <w:sz w:val="21"/>
          <w:szCs w:val="21"/>
        </w:rPr>
        <w:t xml:space="preserve"> </w:t>
      </w:r>
      <w:r>
        <w:rPr>
          <w:spacing w:val="-3"/>
          <w:sz w:val="21"/>
          <w:szCs w:val="21"/>
        </w:rPr>
        <w:t>履约担保</w:t>
      </w:r>
    </w:p>
    <w:p>
      <w:pPr>
        <w:pStyle w:val="11"/>
        <w:spacing w:before="80" w:line="221" w:lineRule="auto"/>
        <w:ind w:left="20" w:leftChars="-25" w:hanging="73" w:hangingChars="36"/>
        <w:rPr>
          <w:rFonts w:hint="eastAsia" w:eastAsia="宋体"/>
          <w:sz w:val="21"/>
          <w:szCs w:val="21"/>
          <w:lang w:val="en-US" w:eastAsia="zh-CN"/>
        </w:rPr>
      </w:pPr>
      <w:r>
        <w:rPr>
          <w:spacing w:val="-3"/>
          <w:sz w:val="21"/>
          <w:szCs w:val="21"/>
        </w:rPr>
        <w:t>设计人是否提供履约担保：</w:t>
      </w:r>
      <w:r>
        <w:rPr>
          <w:rFonts w:hint="eastAsia"/>
          <w:spacing w:val="-3"/>
          <w:sz w:val="21"/>
          <w:szCs w:val="21"/>
          <w:lang w:val="en-US" w:eastAsia="zh-CN"/>
        </w:rPr>
        <w:t>否</w:t>
      </w:r>
    </w:p>
    <w:p>
      <w:pPr>
        <w:pStyle w:val="11"/>
        <w:spacing w:before="78" w:line="221" w:lineRule="auto"/>
        <w:ind w:left="446"/>
        <w:outlineLvl w:val="1"/>
        <w:rPr>
          <w:sz w:val="21"/>
          <w:szCs w:val="21"/>
        </w:rPr>
      </w:pPr>
      <w:r>
        <w:rPr>
          <w:b/>
          <w:bCs/>
          <w:spacing w:val="-3"/>
          <w:sz w:val="21"/>
          <w:szCs w:val="21"/>
        </w:rPr>
        <w:t>5.</w:t>
      </w:r>
      <w:r>
        <w:rPr>
          <w:spacing w:val="-3"/>
          <w:sz w:val="21"/>
          <w:szCs w:val="21"/>
        </w:rPr>
        <w:t xml:space="preserve"> </w:t>
      </w:r>
      <w:r>
        <w:rPr>
          <w:b/>
          <w:bCs/>
          <w:spacing w:val="-3"/>
          <w:sz w:val="21"/>
          <w:szCs w:val="21"/>
        </w:rPr>
        <w:t>工程设计要求</w:t>
      </w:r>
    </w:p>
    <w:p>
      <w:pPr>
        <w:pStyle w:val="11"/>
        <w:spacing w:before="79" w:line="221" w:lineRule="auto"/>
        <w:ind w:left="444"/>
        <w:outlineLvl w:val="2"/>
        <w:rPr>
          <w:sz w:val="21"/>
          <w:szCs w:val="21"/>
        </w:rPr>
      </w:pPr>
      <w:r>
        <w:rPr>
          <w:spacing w:val="-1"/>
          <w:sz w:val="21"/>
          <w:szCs w:val="21"/>
        </w:rPr>
        <w:t>5.1 工程设计一般要求</w:t>
      </w:r>
    </w:p>
    <w:p>
      <w:pPr>
        <w:pStyle w:val="11"/>
        <w:spacing w:before="77" w:line="221" w:lineRule="auto"/>
        <w:ind w:left="444"/>
        <w:rPr>
          <w:sz w:val="21"/>
          <w:szCs w:val="21"/>
        </w:rPr>
      </w:pPr>
      <w:r>
        <w:fldChar w:fldCharType="begin"/>
      </w:r>
      <w:r>
        <w:instrText xml:space="preserve"> HYPERLINK "5.1.2.1" </w:instrText>
      </w:r>
      <w:r>
        <w:fldChar w:fldCharType="separate"/>
      </w:r>
      <w:r>
        <w:rPr>
          <w:spacing w:val="-1"/>
          <w:sz w:val="21"/>
          <w:szCs w:val="21"/>
        </w:rPr>
        <w:t>5.1.2.1</w:t>
      </w:r>
      <w:r>
        <w:rPr>
          <w:spacing w:val="-1"/>
          <w:sz w:val="21"/>
          <w:szCs w:val="21"/>
        </w:rPr>
        <w:fldChar w:fldCharType="end"/>
      </w:r>
      <w:r>
        <w:rPr>
          <w:spacing w:val="-1"/>
          <w:sz w:val="21"/>
          <w:szCs w:val="21"/>
        </w:rPr>
        <w:t xml:space="preserve"> 工程设计的特殊标准或要求：</w:t>
      </w:r>
      <w:r>
        <w:rPr>
          <w:spacing w:val="-1"/>
          <w:sz w:val="21"/>
          <w:szCs w:val="21"/>
          <w:u w:val="single" w:color="auto"/>
        </w:rPr>
        <w:t xml:space="preserve">/  </w:t>
      </w:r>
      <w:r>
        <w:rPr>
          <w:spacing w:val="-1"/>
          <w:sz w:val="21"/>
          <w:szCs w:val="21"/>
        </w:rPr>
        <w:t>。</w:t>
      </w:r>
    </w:p>
    <w:p>
      <w:pPr>
        <w:pStyle w:val="11"/>
        <w:spacing w:before="79" w:line="221" w:lineRule="auto"/>
        <w:ind w:left="466"/>
        <w:rPr>
          <w:sz w:val="21"/>
          <w:szCs w:val="21"/>
        </w:rPr>
      </w:pPr>
      <w:r>
        <w:fldChar w:fldCharType="begin"/>
      </w:r>
      <w:r>
        <w:instrText xml:space="preserve"> HYPERLINK "5.1.2.2" </w:instrText>
      </w:r>
      <w:r>
        <w:fldChar w:fldCharType="separate"/>
      </w:r>
      <w:r>
        <w:rPr>
          <w:spacing w:val="-1"/>
          <w:sz w:val="21"/>
          <w:szCs w:val="21"/>
        </w:rPr>
        <w:t>5.1.2.2</w:t>
      </w:r>
      <w:r>
        <w:rPr>
          <w:spacing w:val="-1"/>
          <w:sz w:val="21"/>
          <w:szCs w:val="21"/>
        </w:rPr>
        <w:fldChar w:fldCharType="end"/>
      </w:r>
      <w:r>
        <w:rPr>
          <w:spacing w:val="-35"/>
          <w:sz w:val="21"/>
          <w:szCs w:val="21"/>
        </w:rPr>
        <w:t xml:space="preserve"> </w:t>
      </w:r>
      <w:r>
        <w:rPr>
          <w:spacing w:val="-1"/>
          <w:sz w:val="21"/>
          <w:szCs w:val="21"/>
        </w:rPr>
        <w:t>工程设计适用的技术标准：</w:t>
      </w:r>
      <w:r>
        <w:rPr>
          <w:spacing w:val="-1"/>
          <w:sz w:val="21"/>
          <w:szCs w:val="21"/>
          <w:u w:val="single" w:color="auto"/>
        </w:rPr>
        <w:t xml:space="preserve">   /    </w:t>
      </w:r>
      <w:r>
        <w:rPr>
          <w:spacing w:val="-1"/>
          <w:sz w:val="21"/>
          <w:szCs w:val="21"/>
        </w:rPr>
        <w:t>。</w:t>
      </w:r>
    </w:p>
    <w:p>
      <w:pPr>
        <w:pStyle w:val="11"/>
        <w:spacing w:before="78" w:line="221" w:lineRule="auto"/>
        <w:ind w:left="444"/>
        <w:rPr>
          <w:sz w:val="21"/>
          <w:szCs w:val="21"/>
        </w:rPr>
      </w:pPr>
      <w:r>
        <w:fldChar w:fldCharType="begin"/>
      </w:r>
      <w:r>
        <w:instrText xml:space="preserve"> HYPERLINK "5.1.2.4" </w:instrText>
      </w:r>
      <w:r>
        <w:fldChar w:fldCharType="separate"/>
      </w:r>
      <w:r>
        <w:rPr>
          <w:sz w:val="21"/>
          <w:szCs w:val="21"/>
        </w:rPr>
        <w:t>5.1.2.4</w:t>
      </w:r>
      <w:r>
        <w:rPr>
          <w:sz w:val="21"/>
          <w:szCs w:val="21"/>
        </w:rPr>
        <w:fldChar w:fldCharType="end"/>
      </w:r>
      <w:r>
        <w:rPr>
          <w:sz w:val="21"/>
          <w:szCs w:val="21"/>
        </w:rPr>
        <w:t xml:space="preserve"> 工程设计文件的主要技术指标控制值及</w:t>
      </w:r>
      <w:r>
        <w:rPr>
          <w:spacing w:val="-1"/>
          <w:sz w:val="21"/>
          <w:szCs w:val="21"/>
        </w:rPr>
        <w:t>比例：</w:t>
      </w:r>
      <w:r>
        <w:rPr>
          <w:spacing w:val="-1"/>
          <w:sz w:val="21"/>
          <w:szCs w:val="21"/>
          <w:u w:val="single" w:color="auto"/>
        </w:rPr>
        <w:t xml:space="preserve"> /  </w:t>
      </w:r>
      <w:r>
        <w:rPr>
          <w:spacing w:val="-1"/>
          <w:sz w:val="21"/>
          <w:szCs w:val="21"/>
        </w:rPr>
        <w:t>。</w:t>
      </w:r>
    </w:p>
    <w:p>
      <w:pPr>
        <w:pStyle w:val="11"/>
        <w:spacing w:before="80" w:line="221" w:lineRule="auto"/>
        <w:ind w:left="444"/>
        <w:outlineLvl w:val="2"/>
        <w:rPr>
          <w:sz w:val="21"/>
          <w:szCs w:val="21"/>
        </w:rPr>
      </w:pPr>
      <w:r>
        <w:rPr>
          <w:spacing w:val="-1"/>
          <w:sz w:val="21"/>
          <w:szCs w:val="21"/>
        </w:rPr>
        <w:t>5.3 工程设计文件的要求</w:t>
      </w:r>
    </w:p>
    <w:p>
      <w:pPr>
        <w:pStyle w:val="11"/>
        <w:spacing w:before="78" w:line="221" w:lineRule="auto"/>
        <w:ind w:left="444"/>
        <w:rPr>
          <w:sz w:val="21"/>
          <w:szCs w:val="21"/>
        </w:rPr>
      </w:pPr>
      <w:r>
        <w:rPr>
          <w:sz w:val="21"/>
          <w:szCs w:val="21"/>
        </w:rPr>
        <w:t>5.3.3 工程设计文件深度规定：</w:t>
      </w:r>
      <w:r>
        <w:rPr>
          <w:sz w:val="21"/>
          <w:szCs w:val="21"/>
          <w:u w:val="single" w:color="auto"/>
        </w:rPr>
        <w:t xml:space="preserve">   符合现行国家</w:t>
      </w:r>
      <w:r>
        <w:rPr>
          <w:spacing w:val="-1"/>
          <w:sz w:val="21"/>
          <w:szCs w:val="21"/>
          <w:u w:val="single" w:color="auto"/>
        </w:rPr>
        <w:t xml:space="preserve">、地方规定    </w:t>
      </w:r>
      <w:r>
        <w:rPr>
          <w:spacing w:val="-1"/>
          <w:sz w:val="21"/>
          <w:szCs w:val="21"/>
        </w:rPr>
        <w:t>。</w:t>
      </w:r>
    </w:p>
    <w:p>
      <w:pPr>
        <w:pStyle w:val="11"/>
        <w:spacing w:before="80" w:line="221" w:lineRule="auto"/>
        <w:ind w:left="444"/>
        <w:rPr>
          <w:sz w:val="21"/>
          <w:szCs w:val="21"/>
        </w:rPr>
      </w:pPr>
      <w:r>
        <w:rPr>
          <w:sz w:val="21"/>
          <w:szCs w:val="21"/>
        </w:rPr>
        <w:t>5.3.5 建筑物及其功能设施的合理使用寿命年限：</w:t>
      </w:r>
      <w:r>
        <w:rPr>
          <w:sz w:val="21"/>
          <w:szCs w:val="21"/>
          <w:u w:val="single" w:color="auto"/>
        </w:rPr>
        <w:t xml:space="preserve"> 按当前国家规</w:t>
      </w:r>
      <w:r>
        <w:rPr>
          <w:spacing w:val="-1"/>
          <w:sz w:val="21"/>
          <w:szCs w:val="21"/>
          <w:u w:val="single" w:color="auto"/>
        </w:rPr>
        <w:t>范规定的使用年限。</w:t>
      </w:r>
      <w:r>
        <w:rPr>
          <w:sz w:val="21"/>
          <w:szCs w:val="21"/>
          <w:u w:val="single" w:color="auto"/>
        </w:rPr>
        <w:t xml:space="preserve">  </w:t>
      </w:r>
    </w:p>
    <w:p>
      <w:pPr>
        <w:pStyle w:val="11"/>
        <w:spacing w:before="78" w:line="221" w:lineRule="auto"/>
        <w:ind w:left="444"/>
        <w:outlineLvl w:val="1"/>
        <w:rPr>
          <w:sz w:val="21"/>
          <w:szCs w:val="21"/>
        </w:rPr>
      </w:pPr>
      <w:r>
        <w:rPr>
          <w:b/>
          <w:bCs/>
          <w:spacing w:val="-2"/>
          <w:sz w:val="21"/>
          <w:szCs w:val="21"/>
        </w:rPr>
        <w:t>6.</w:t>
      </w:r>
      <w:r>
        <w:rPr>
          <w:spacing w:val="-2"/>
          <w:sz w:val="21"/>
          <w:szCs w:val="21"/>
        </w:rPr>
        <w:t xml:space="preserve"> </w:t>
      </w:r>
      <w:r>
        <w:rPr>
          <w:b/>
          <w:bCs/>
          <w:spacing w:val="-2"/>
          <w:sz w:val="21"/>
          <w:szCs w:val="21"/>
        </w:rPr>
        <w:t>工程设计进度与周期</w:t>
      </w:r>
    </w:p>
    <w:p>
      <w:pPr>
        <w:pStyle w:val="11"/>
        <w:spacing w:before="80" w:line="221" w:lineRule="auto"/>
        <w:ind w:left="441"/>
        <w:outlineLvl w:val="2"/>
        <w:rPr>
          <w:sz w:val="21"/>
          <w:szCs w:val="21"/>
        </w:rPr>
      </w:pPr>
      <w:r>
        <w:rPr>
          <w:spacing w:val="-1"/>
          <w:sz w:val="21"/>
          <w:szCs w:val="21"/>
        </w:rPr>
        <w:t>6.1 工程设计进度计划</w:t>
      </w:r>
    </w:p>
    <w:p>
      <w:pPr>
        <w:pStyle w:val="11"/>
        <w:spacing w:before="76" w:line="221" w:lineRule="auto"/>
        <w:ind w:left="441"/>
        <w:rPr>
          <w:sz w:val="21"/>
          <w:szCs w:val="21"/>
        </w:rPr>
      </w:pPr>
      <w:r>
        <w:rPr>
          <w:spacing w:val="-1"/>
          <w:sz w:val="21"/>
          <w:szCs w:val="21"/>
        </w:rPr>
        <w:t>6.1.1 工程设计进度计划的编制</w:t>
      </w:r>
    </w:p>
    <w:p>
      <w:pPr>
        <w:pStyle w:val="11"/>
        <w:spacing w:before="80" w:line="221" w:lineRule="auto"/>
        <w:ind w:left="441"/>
        <w:rPr>
          <w:sz w:val="21"/>
          <w:szCs w:val="21"/>
        </w:rPr>
      </w:pPr>
      <w:r>
        <w:rPr>
          <w:sz w:val="21"/>
          <w:szCs w:val="21"/>
        </w:rPr>
        <w:t>合同当事人约定的工程设计进度计划提交的时间：</w:t>
      </w:r>
      <w:r>
        <w:rPr>
          <w:sz w:val="21"/>
          <w:szCs w:val="21"/>
          <w:u w:val="single" w:color="auto"/>
        </w:rPr>
        <w:t xml:space="preserve">   合同签订后5</w:t>
      </w:r>
      <w:r>
        <w:rPr>
          <w:spacing w:val="-1"/>
          <w:sz w:val="21"/>
          <w:szCs w:val="21"/>
          <w:u w:val="single" w:color="auto"/>
        </w:rPr>
        <w:t xml:space="preserve">个日历天内  </w:t>
      </w:r>
      <w:r>
        <w:rPr>
          <w:spacing w:val="-1"/>
          <w:sz w:val="21"/>
          <w:szCs w:val="21"/>
        </w:rPr>
        <w:t>。</w:t>
      </w:r>
    </w:p>
    <w:p>
      <w:pPr>
        <w:pStyle w:val="11"/>
        <w:spacing w:before="77" w:line="278" w:lineRule="auto"/>
        <w:ind w:left="20" w:right="60" w:firstLine="420"/>
        <w:rPr>
          <w:sz w:val="21"/>
          <w:szCs w:val="21"/>
        </w:rPr>
      </w:pPr>
      <w:r>
        <w:rPr>
          <w:sz w:val="21"/>
          <w:szCs w:val="21"/>
        </w:rPr>
        <w:t>合同当事人约定的工程设计进度计划应包括的内容：</w:t>
      </w:r>
      <w:r>
        <w:rPr>
          <w:sz w:val="21"/>
          <w:szCs w:val="21"/>
          <w:u w:val="single" w:color="auto"/>
        </w:rPr>
        <w:t>包含但不限于工程设计关键</w:t>
      </w:r>
      <w:r>
        <w:rPr>
          <w:spacing w:val="-1"/>
          <w:sz w:val="21"/>
          <w:szCs w:val="21"/>
          <w:u w:val="single" w:color="auto"/>
        </w:rPr>
        <w:t>性控制</w:t>
      </w:r>
      <w:r>
        <w:rPr>
          <w:sz w:val="21"/>
          <w:szCs w:val="21"/>
        </w:rPr>
        <w:t xml:space="preserve"> </w:t>
      </w:r>
      <w:r>
        <w:rPr>
          <w:sz w:val="21"/>
          <w:szCs w:val="21"/>
          <w:u w:val="single" w:color="auto"/>
        </w:rPr>
        <w:t>节点、为确保完成工程设计进度的赶工措施等内容</w:t>
      </w:r>
      <w:r>
        <w:rPr>
          <w:spacing w:val="-1"/>
          <w:sz w:val="21"/>
          <w:szCs w:val="21"/>
        </w:rPr>
        <w:t>。</w:t>
      </w:r>
    </w:p>
    <w:p>
      <w:pPr>
        <w:pStyle w:val="11"/>
        <w:spacing w:before="28" w:line="221" w:lineRule="auto"/>
        <w:ind w:left="441"/>
        <w:rPr>
          <w:sz w:val="21"/>
          <w:szCs w:val="21"/>
        </w:rPr>
      </w:pPr>
      <w:r>
        <w:rPr>
          <w:spacing w:val="-1"/>
          <w:sz w:val="21"/>
          <w:szCs w:val="21"/>
        </w:rPr>
        <w:t>6.1.2 工程设计进度计划的修订</w:t>
      </w:r>
    </w:p>
    <w:p>
      <w:pPr>
        <w:pStyle w:val="11"/>
        <w:spacing w:before="80" w:line="221" w:lineRule="auto"/>
        <w:ind w:left="443"/>
        <w:rPr>
          <w:sz w:val="21"/>
          <w:szCs w:val="21"/>
        </w:rPr>
      </w:pPr>
      <w:r>
        <w:rPr>
          <w:spacing w:val="-1"/>
          <w:sz w:val="21"/>
          <w:szCs w:val="21"/>
        </w:rPr>
        <w:t>发包人在收到工程设计进度计划后确认或提出修改意见的期限：</w:t>
      </w:r>
      <w:r>
        <w:rPr>
          <w:spacing w:val="-1"/>
          <w:sz w:val="21"/>
          <w:szCs w:val="21"/>
          <w:u w:val="single" w:color="auto"/>
        </w:rPr>
        <w:t xml:space="preserve"> 5</w:t>
      </w:r>
      <w:r>
        <w:rPr>
          <w:spacing w:val="-26"/>
          <w:sz w:val="21"/>
          <w:szCs w:val="21"/>
          <w:u w:val="single" w:color="auto"/>
        </w:rPr>
        <w:t xml:space="preserve"> </w:t>
      </w:r>
      <w:r>
        <w:rPr>
          <w:spacing w:val="-1"/>
          <w:sz w:val="21"/>
          <w:szCs w:val="21"/>
          <w:u w:val="single" w:color="auto"/>
        </w:rPr>
        <w:t xml:space="preserve">个日历天 </w:t>
      </w:r>
      <w:r>
        <w:rPr>
          <w:spacing w:val="-1"/>
          <w:sz w:val="21"/>
          <w:szCs w:val="21"/>
        </w:rPr>
        <w:t>。</w:t>
      </w:r>
    </w:p>
    <w:p>
      <w:pPr>
        <w:pStyle w:val="11"/>
        <w:spacing w:before="78" w:line="221" w:lineRule="auto"/>
        <w:ind w:left="441"/>
        <w:outlineLvl w:val="2"/>
        <w:rPr>
          <w:sz w:val="21"/>
          <w:szCs w:val="21"/>
        </w:rPr>
      </w:pPr>
      <w:r>
        <w:rPr>
          <w:spacing w:val="-1"/>
          <w:sz w:val="21"/>
          <w:szCs w:val="21"/>
        </w:rPr>
        <w:t>6.3 工程设计进度延误</w:t>
      </w:r>
    </w:p>
    <w:p>
      <w:pPr>
        <w:pStyle w:val="11"/>
        <w:spacing w:before="80" w:line="221" w:lineRule="auto"/>
        <w:ind w:left="441"/>
        <w:rPr>
          <w:sz w:val="21"/>
          <w:szCs w:val="21"/>
        </w:rPr>
      </w:pPr>
      <w:r>
        <w:rPr>
          <w:spacing w:val="-1"/>
          <w:sz w:val="21"/>
          <w:szCs w:val="21"/>
        </w:rPr>
        <w:t>6.3.1 因发包人原因导致工程设计进度延误</w:t>
      </w:r>
    </w:p>
    <w:p>
      <w:pPr>
        <w:pStyle w:val="11"/>
        <w:spacing w:before="78" w:line="221" w:lineRule="auto"/>
        <w:ind w:left="237"/>
        <w:rPr>
          <w:sz w:val="21"/>
          <w:szCs w:val="21"/>
        </w:rPr>
      </w:pPr>
      <w:r>
        <w:rPr>
          <w:spacing w:val="-1"/>
          <w:sz w:val="21"/>
          <w:szCs w:val="21"/>
        </w:rPr>
        <w:t>（4）因发包人原因导致工程设计进度延误的其他情形：</w:t>
      </w:r>
      <w:r>
        <w:rPr>
          <w:spacing w:val="-1"/>
          <w:sz w:val="21"/>
          <w:szCs w:val="21"/>
          <w:u w:val="single" w:color="auto"/>
        </w:rPr>
        <w:t xml:space="preserve">  / </w:t>
      </w:r>
      <w:r>
        <w:rPr>
          <w:spacing w:val="-1"/>
          <w:sz w:val="21"/>
          <w:szCs w:val="21"/>
        </w:rPr>
        <w:t>。</w:t>
      </w:r>
    </w:p>
    <w:p>
      <w:pPr>
        <w:pStyle w:val="11"/>
        <w:spacing w:before="78" w:line="276" w:lineRule="auto"/>
        <w:ind w:left="21" w:right="60" w:firstLine="422"/>
        <w:rPr>
          <w:sz w:val="21"/>
          <w:szCs w:val="21"/>
        </w:rPr>
      </w:pPr>
      <w:r>
        <w:rPr>
          <w:sz w:val="21"/>
          <w:szCs w:val="21"/>
        </w:rPr>
        <w:t>设计人应在发生进度延误的情形后</w:t>
      </w:r>
      <w:r>
        <w:rPr>
          <w:sz w:val="21"/>
          <w:szCs w:val="21"/>
          <w:u w:val="single" w:color="auto"/>
        </w:rPr>
        <w:t xml:space="preserve"> 5  </w:t>
      </w:r>
      <w:r>
        <w:rPr>
          <w:spacing w:val="-93"/>
          <w:sz w:val="21"/>
          <w:szCs w:val="21"/>
        </w:rPr>
        <w:t xml:space="preserve"> </w:t>
      </w:r>
      <w:r>
        <w:rPr>
          <w:sz w:val="21"/>
          <w:szCs w:val="21"/>
        </w:rPr>
        <w:t>天内向发</w:t>
      </w:r>
      <w:r>
        <w:rPr>
          <w:spacing w:val="-1"/>
          <w:sz w:val="21"/>
          <w:szCs w:val="21"/>
        </w:rPr>
        <w:t>包人发出要求延期的书面通知，在发生该</w:t>
      </w:r>
      <w:r>
        <w:rPr>
          <w:sz w:val="21"/>
          <w:szCs w:val="21"/>
        </w:rPr>
        <w:t xml:space="preserve"> </w:t>
      </w:r>
      <w:r>
        <w:rPr>
          <w:spacing w:val="-1"/>
          <w:sz w:val="21"/>
          <w:szCs w:val="21"/>
        </w:rPr>
        <w:t>情形后</w:t>
      </w:r>
      <w:r>
        <w:rPr>
          <w:spacing w:val="-1"/>
          <w:sz w:val="21"/>
          <w:szCs w:val="21"/>
          <w:u w:val="single" w:color="auto"/>
        </w:rPr>
        <w:t xml:space="preserve"> 7  </w:t>
      </w:r>
      <w:r>
        <w:rPr>
          <w:spacing w:val="-89"/>
          <w:sz w:val="21"/>
          <w:szCs w:val="21"/>
        </w:rPr>
        <w:t xml:space="preserve"> </w:t>
      </w:r>
      <w:r>
        <w:rPr>
          <w:spacing w:val="-1"/>
          <w:sz w:val="21"/>
          <w:szCs w:val="21"/>
        </w:rPr>
        <w:t>天内提交要求延期的详细说明。</w:t>
      </w:r>
    </w:p>
    <w:p>
      <w:pPr>
        <w:pStyle w:val="11"/>
        <w:spacing w:before="33" w:line="220" w:lineRule="auto"/>
        <w:ind w:left="443"/>
        <w:rPr>
          <w:sz w:val="21"/>
          <w:szCs w:val="21"/>
        </w:rPr>
      </w:pPr>
      <w:r>
        <w:rPr>
          <w:sz w:val="21"/>
          <w:szCs w:val="21"/>
        </w:rPr>
        <w:t>发包人收到设计人要求延期的详细说明后，应在</w:t>
      </w:r>
      <w:r>
        <w:rPr>
          <w:sz w:val="21"/>
          <w:szCs w:val="21"/>
          <w:u w:val="single" w:color="auto"/>
        </w:rPr>
        <w:t xml:space="preserve">  7 </w:t>
      </w:r>
      <w:r>
        <w:rPr>
          <w:sz w:val="21"/>
          <w:szCs w:val="21"/>
        </w:rPr>
        <w:t>天内进</w:t>
      </w:r>
      <w:r>
        <w:rPr>
          <w:spacing w:val="-1"/>
          <w:sz w:val="21"/>
          <w:szCs w:val="21"/>
        </w:rPr>
        <w:t>行审查并书面答复。</w:t>
      </w:r>
    </w:p>
    <w:p>
      <w:pPr>
        <w:pStyle w:val="11"/>
        <w:spacing w:before="198" w:line="221" w:lineRule="auto"/>
        <w:ind w:left="441"/>
        <w:outlineLvl w:val="2"/>
        <w:rPr>
          <w:sz w:val="21"/>
          <w:szCs w:val="21"/>
        </w:rPr>
      </w:pPr>
      <w:r>
        <w:rPr>
          <w:spacing w:val="-1"/>
          <w:sz w:val="21"/>
          <w:szCs w:val="21"/>
        </w:rPr>
        <w:t>6.5 提前交付工程设计文件</w:t>
      </w:r>
    </w:p>
    <w:p>
      <w:pPr>
        <w:pStyle w:val="11"/>
        <w:spacing w:before="80" w:line="221" w:lineRule="auto"/>
        <w:ind w:left="441"/>
        <w:rPr>
          <w:sz w:val="21"/>
          <w:szCs w:val="21"/>
        </w:rPr>
      </w:pPr>
      <w:r>
        <w:rPr>
          <w:spacing w:val="-1"/>
          <w:sz w:val="21"/>
          <w:szCs w:val="21"/>
        </w:rPr>
        <w:t>6.5.2 提前交付工程设计文件的奖励：</w:t>
      </w:r>
      <w:r>
        <w:rPr>
          <w:spacing w:val="-1"/>
          <w:sz w:val="21"/>
          <w:szCs w:val="21"/>
          <w:u w:val="single" w:color="auto"/>
        </w:rPr>
        <w:t xml:space="preserve">  无  </w:t>
      </w:r>
      <w:r>
        <w:rPr>
          <w:spacing w:val="-1"/>
          <w:sz w:val="21"/>
          <w:szCs w:val="21"/>
        </w:rPr>
        <w:t>。</w:t>
      </w:r>
    </w:p>
    <w:p>
      <w:pPr>
        <w:pStyle w:val="11"/>
        <w:spacing w:before="77" w:line="221" w:lineRule="auto"/>
        <w:ind w:left="447"/>
        <w:outlineLvl w:val="1"/>
        <w:rPr>
          <w:sz w:val="21"/>
          <w:szCs w:val="21"/>
        </w:rPr>
      </w:pPr>
      <w:r>
        <w:rPr>
          <w:b/>
          <w:bCs/>
          <w:spacing w:val="-3"/>
          <w:sz w:val="21"/>
          <w:szCs w:val="21"/>
        </w:rPr>
        <w:t>7.</w:t>
      </w:r>
      <w:r>
        <w:rPr>
          <w:spacing w:val="-3"/>
          <w:sz w:val="21"/>
          <w:szCs w:val="21"/>
        </w:rPr>
        <w:t xml:space="preserve"> </w:t>
      </w:r>
      <w:r>
        <w:rPr>
          <w:b/>
          <w:bCs/>
          <w:spacing w:val="-3"/>
          <w:sz w:val="21"/>
          <w:szCs w:val="21"/>
        </w:rPr>
        <w:t>工程设计文件交付</w:t>
      </w:r>
    </w:p>
    <w:p>
      <w:pPr>
        <w:pStyle w:val="11"/>
        <w:spacing w:before="80" w:line="221" w:lineRule="auto"/>
        <w:ind w:left="445"/>
        <w:outlineLvl w:val="2"/>
        <w:rPr>
          <w:sz w:val="21"/>
          <w:szCs w:val="21"/>
        </w:rPr>
      </w:pPr>
      <w:r>
        <w:rPr>
          <w:spacing w:val="-1"/>
          <w:sz w:val="21"/>
          <w:szCs w:val="21"/>
        </w:rPr>
        <w:t>7.1 工程设计文件交付的内容</w:t>
      </w:r>
    </w:p>
    <w:p>
      <w:pPr>
        <w:pStyle w:val="11"/>
        <w:spacing w:before="78" w:line="256" w:lineRule="auto"/>
        <w:ind w:left="19" w:right="3" w:firstLine="425"/>
        <w:rPr>
          <w:sz w:val="21"/>
          <w:szCs w:val="21"/>
        </w:rPr>
      </w:pPr>
      <w:r>
        <w:rPr>
          <w:sz w:val="21"/>
          <w:szCs w:val="21"/>
        </w:rPr>
        <w:t>7.1.2 发包人要求设计人提交电子版设计文件的具体形式为：</w:t>
      </w:r>
      <w:r>
        <w:rPr>
          <w:sz w:val="21"/>
          <w:szCs w:val="21"/>
          <w:u w:val="single" w:color="auto"/>
        </w:rPr>
        <w:t>施工图光盘叁份，</w:t>
      </w:r>
      <w:r>
        <w:rPr>
          <w:spacing w:val="-56"/>
          <w:sz w:val="21"/>
          <w:szCs w:val="21"/>
          <w:u w:val="single" w:color="auto"/>
        </w:rPr>
        <w:t xml:space="preserve"> </w:t>
      </w:r>
      <w:r>
        <w:rPr>
          <w:sz w:val="21"/>
          <w:szCs w:val="21"/>
          <w:u w:val="single" w:color="auto"/>
        </w:rPr>
        <w:t>内容要与</w:t>
      </w:r>
      <w:r>
        <w:rPr>
          <w:sz w:val="21"/>
          <w:szCs w:val="21"/>
        </w:rPr>
        <w:t xml:space="preserve"> </w:t>
      </w:r>
      <w:r>
        <w:rPr>
          <w:spacing w:val="-3"/>
          <w:sz w:val="21"/>
          <w:szCs w:val="21"/>
          <w:u w:val="single" w:color="auto"/>
        </w:rPr>
        <w:t>施工图一致，提供的</w:t>
      </w:r>
      <w:r>
        <w:rPr>
          <w:spacing w:val="-38"/>
          <w:sz w:val="21"/>
          <w:szCs w:val="21"/>
          <w:u w:val="single" w:color="auto"/>
        </w:rPr>
        <w:t xml:space="preserve"> </w:t>
      </w:r>
      <w:r>
        <w:rPr>
          <w:spacing w:val="-3"/>
          <w:sz w:val="21"/>
          <w:szCs w:val="21"/>
          <w:u w:val="single" w:color="auto"/>
        </w:rPr>
        <w:t>CAD</w:t>
      </w:r>
      <w:r>
        <w:rPr>
          <w:spacing w:val="-25"/>
          <w:sz w:val="21"/>
          <w:szCs w:val="21"/>
          <w:u w:val="single" w:color="auto"/>
        </w:rPr>
        <w:t xml:space="preserve"> </w:t>
      </w:r>
      <w:r>
        <w:rPr>
          <w:spacing w:val="-3"/>
          <w:sz w:val="21"/>
          <w:szCs w:val="21"/>
          <w:u w:val="single" w:color="auto"/>
        </w:rPr>
        <w:t>图和</w:t>
      </w:r>
      <w:r>
        <w:rPr>
          <w:spacing w:val="-48"/>
          <w:sz w:val="21"/>
          <w:szCs w:val="21"/>
          <w:u w:val="single" w:color="auto"/>
        </w:rPr>
        <w:t xml:space="preserve"> </w:t>
      </w:r>
      <w:r>
        <w:rPr>
          <w:spacing w:val="-3"/>
          <w:sz w:val="21"/>
          <w:szCs w:val="21"/>
          <w:u w:val="single" w:color="auto"/>
        </w:rPr>
        <w:t>PDF</w:t>
      </w:r>
      <w:r>
        <w:rPr>
          <w:spacing w:val="-44"/>
          <w:sz w:val="21"/>
          <w:szCs w:val="21"/>
          <w:u w:val="single" w:color="auto"/>
        </w:rPr>
        <w:t xml:space="preserve"> </w:t>
      </w:r>
      <w:r>
        <w:rPr>
          <w:spacing w:val="-3"/>
          <w:sz w:val="21"/>
          <w:szCs w:val="21"/>
          <w:u w:val="single" w:color="auto"/>
        </w:rPr>
        <w:t>格式</w:t>
      </w:r>
      <w:r>
        <w:rPr>
          <w:spacing w:val="-3"/>
          <w:sz w:val="21"/>
          <w:szCs w:val="21"/>
        </w:rPr>
        <w:t>。</w:t>
      </w:r>
    </w:p>
    <w:p>
      <w:pPr>
        <w:pStyle w:val="11"/>
        <w:spacing w:before="77" w:line="267" w:lineRule="auto"/>
        <w:ind w:left="20" w:right="4" w:firstLine="424"/>
        <w:rPr>
          <w:sz w:val="21"/>
          <w:szCs w:val="21"/>
        </w:rPr>
      </w:pPr>
      <w:r>
        <w:rPr>
          <w:spacing w:val="-4"/>
          <w:sz w:val="21"/>
          <w:szCs w:val="21"/>
        </w:rPr>
        <w:t>7.2</w:t>
      </w:r>
      <w:r>
        <w:rPr>
          <w:spacing w:val="-40"/>
          <w:sz w:val="21"/>
          <w:szCs w:val="21"/>
        </w:rPr>
        <w:t xml:space="preserve"> </w:t>
      </w:r>
      <w:r>
        <w:rPr>
          <w:spacing w:val="-4"/>
          <w:sz w:val="21"/>
          <w:szCs w:val="21"/>
        </w:rPr>
        <w:t>工程设计文件交付的名称、时间和份数</w:t>
      </w:r>
      <w:r>
        <w:rPr>
          <w:spacing w:val="-41"/>
          <w:sz w:val="21"/>
          <w:szCs w:val="21"/>
        </w:rPr>
        <w:t>：</w:t>
      </w:r>
      <w:r>
        <w:rPr>
          <w:sz w:val="21"/>
          <w:szCs w:val="21"/>
        </w:rPr>
        <w:t>（1）方案设计一式八份；（2）最终修订初步设 计六份(含概算六份)；（3）施工图设计一式12 份，其中全部专业共同装订成一册，做 8 套， 合订本预算 4 套。施工图及预算电子版光盘（CAD）叁份，内容要与施工图一致。</w:t>
      </w:r>
    </w:p>
    <w:p>
      <w:pPr>
        <w:pStyle w:val="11"/>
        <w:spacing w:before="82" w:line="281" w:lineRule="auto"/>
        <w:ind w:left="20" w:firstLine="423"/>
        <w:jc w:val="both"/>
        <w:rPr>
          <w:sz w:val="21"/>
          <w:szCs w:val="21"/>
        </w:rPr>
      </w:pPr>
      <w:r>
        <w:rPr>
          <w:spacing w:val="-2"/>
          <w:sz w:val="21"/>
          <w:szCs w:val="21"/>
        </w:rPr>
        <w:t>设计人完成设计成果文件并通过相关部门审查，且按专用合同条款的</w:t>
      </w:r>
      <w:r>
        <w:rPr>
          <w:spacing w:val="-31"/>
          <w:sz w:val="21"/>
          <w:szCs w:val="21"/>
        </w:rPr>
        <w:t xml:space="preserve"> </w:t>
      </w:r>
      <w:r>
        <w:rPr>
          <w:spacing w:val="-2"/>
          <w:sz w:val="21"/>
          <w:szCs w:val="21"/>
        </w:rPr>
        <w:t>7.1、7.2</w:t>
      </w:r>
      <w:r>
        <w:rPr>
          <w:spacing w:val="-43"/>
          <w:sz w:val="21"/>
          <w:szCs w:val="21"/>
        </w:rPr>
        <w:t xml:space="preserve"> </w:t>
      </w:r>
      <w:r>
        <w:rPr>
          <w:spacing w:val="-2"/>
          <w:sz w:val="21"/>
          <w:szCs w:val="21"/>
        </w:rPr>
        <w:t>款交付给发</w:t>
      </w:r>
      <w:r>
        <w:rPr>
          <w:sz w:val="21"/>
          <w:szCs w:val="21"/>
        </w:rPr>
        <w:t xml:space="preserve"> </w:t>
      </w:r>
      <w:r>
        <w:rPr>
          <w:spacing w:val="-1"/>
          <w:sz w:val="21"/>
          <w:szCs w:val="21"/>
        </w:rPr>
        <w:t>包人之日为设计阶段完成日。发包人签收设计文件后的 7 日内，发包人应出具设计阶</w:t>
      </w:r>
      <w:r>
        <w:rPr>
          <w:spacing w:val="-2"/>
          <w:sz w:val="21"/>
          <w:szCs w:val="21"/>
        </w:rPr>
        <w:t>段完成证</w:t>
      </w:r>
      <w:r>
        <w:rPr>
          <w:sz w:val="21"/>
          <w:szCs w:val="21"/>
        </w:rPr>
        <w:t xml:space="preserve"> 明；如发包人未在约定的期限内出具证明，视为发包人认可该设计阶段完成的日期。</w:t>
      </w:r>
    </w:p>
    <w:p>
      <w:pPr>
        <w:pStyle w:val="11"/>
        <w:spacing w:before="29" w:line="278" w:lineRule="auto"/>
        <w:ind w:left="22" w:firstLine="420"/>
        <w:rPr>
          <w:sz w:val="21"/>
          <w:szCs w:val="21"/>
        </w:rPr>
      </w:pPr>
      <w:r>
        <w:rPr>
          <w:spacing w:val="-1"/>
          <w:sz w:val="21"/>
          <w:szCs w:val="21"/>
        </w:rPr>
        <w:t>工程竣工验收日为设计服务完成日。工程竣工验收后的 7 日内，发包</w:t>
      </w:r>
      <w:r>
        <w:rPr>
          <w:spacing w:val="-2"/>
          <w:sz w:val="21"/>
          <w:szCs w:val="21"/>
        </w:rPr>
        <w:t>人应出具设计服务完</w:t>
      </w:r>
      <w:r>
        <w:rPr>
          <w:sz w:val="21"/>
          <w:szCs w:val="21"/>
        </w:rPr>
        <w:t xml:space="preserve"> 成证明。如发包人未在约定的期限内出具证明，视为发包人认可该设计服务阶段完成的</w:t>
      </w:r>
      <w:r>
        <w:rPr>
          <w:spacing w:val="-1"/>
          <w:sz w:val="21"/>
          <w:szCs w:val="21"/>
        </w:rPr>
        <w:t>日期。</w:t>
      </w:r>
    </w:p>
    <w:p>
      <w:pPr>
        <w:spacing w:line="278" w:lineRule="auto"/>
        <w:rPr>
          <w:sz w:val="21"/>
          <w:szCs w:val="21"/>
        </w:rPr>
        <w:sectPr>
          <w:footerReference r:id="rId11" w:type="default"/>
          <w:pgSz w:w="11907" w:h="16841"/>
          <w:pgMar w:top="400" w:right="1430" w:bottom="1015" w:left="1785" w:header="0" w:footer="851" w:gutter="0"/>
          <w:cols w:space="720" w:num="1"/>
        </w:sectPr>
      </w:pPr>
    </w:p>
    <w:p>
      <w:pPr>
        <w:spacing w:line="262" w:lineRule="auto"/>
        <w:ind w:left="0" w:leftChars="0" w:firstLine="0" w:firstLineChars="0"/>
        <w:rPr>
          <w:rFonts w:ascii="Arial"/>
          <w:sz w:val="21"/>
        </w:rPr>
      </w:pPr>
    </w:p>
    <w:p>
      <w:pPr>
        <w:pStyle w:val="11"/>
        <w:spacing w:before="69" w:line="221" w:lineRule="auto"/>
        <w:ind w:left="443"/>
        <w:outlineLvl w:val="1"/>
        <w:rPr>
          <w:sz w:val="21"/>
          <w:szCs w:val="21"/>
        </w:rPr>
      </w:pPr>
      <w:r>
        <w:rPr>
          <w:b/>
          <w:bCs/>
          <w:spacing w:val="-2"/>
          <w:sz w:val="21"/>
          <w:szCs w:val="21"/>
        </w:rPr>
        <w:t>8.</w:t>
      </w:r>
      <w:r>
        <w:rPr>
          <w:spacing w:val="-2"/>
          <w:sz w:val="21"/>
          <w:szCs w:val="21"/>
        </w:rPr>
        <w:t xml:space="preserve"> </w:t>
      </w:r>
      <w:r>
        <w:rPr>
          <w:b/>
          <w:bCs/>
          <w:spacing w:val="-2"/>
          <w:sz w:val="21"/>
          <w:szCs w:val="21"/>
        </w:rPr>
        <w:t>工程设计文件审查</w:t>
      </w:r>
    </w:p>
    <w:p>
      <w:pPr>
        <w:pStyle w:val="11"/>
        <w:spacing w:before="79" w:line="221" w:lineRule="auto"/>
        <w:ind w:left="441"/>
        <w:rPr>
          <w:spacing w:val="-1"/>
          <w:sz w:val="21"/>
          <w:szCs w:val="21"/>
        </w:rPr>
      </w:pPr>
      <w:r>
        <w:rPr>
          <w:spacing w:val="-1"/>
          <w:sz w:val="21"/>
          <w:szCs w:val="21"/>
        </w:rPr>
        <w:t>8.1 发包人对设计人的设计文件审查期限不超过</w:t>
      </w:r>
      <w:r>
        <w:rPr>
          <w:spacing w:val="-1"/>
          <w:sz w:val="21"/>
          <w:szCs w:val="21"/>
          <w:u w:val="single" w:color="auto"/>
        </w:rPr>
        <w:t xml:space="preserve"> 20 </w:t>
      </w:r>
      <w:r>
        <w:rPr>
          <w:spacing w:val="-1"/>
          <w:sz w:val="21"/>
          <w:szCs w:val="21"/>
        </w:rPr>
        <w:t>天。</w:t>
      </w:r>
    </w:p>
    <w:p>
      <w:pPr>
        <w:pStyle w:val="11"/>
        <w:spacing w:before="79" w:line="221" w:lineRule="auto"/>
        <w:ind w:left="441"/>
        <w:rPr>
          <w:sz w:val="21"/>
          <w:szCs w:val="21"/>
        </w:rPr>
      </w:pPr>
      <w:r>
        <w:rPr>
          <w:sz w:val="21"/>
          <w:szCs w:val="21"/>
        </w:rPr>
        <w:t>8.2 发包人应在审查同意设计人的工程设计文件后在</w:t>
      </w:r>
      <w:r>
        <w:rPr>
          <w:sz w:val="21"/>
          <w:szCs w:val="21"/>
          <w:u w:val="single" w:color="auto"/>
        </w:rPr>
        <w:t xml:space="preserve"> 20 </w:t>
      </w:r>
      <w:r>
        <w:rPr>
          <w:sz w:val="21"/>
          <w:szCs w:val="21"/>
        </w:rPr>
        <w:t>天内，向政府有关部门报</w:t>
      </w:r>
      <w:r>
        <w:rPr>
          <w:spacing w:val="-1"/>
          <w:sz w:val="21"/>
          <w:szCs w:val="21"/>
        </w:rPr>
        <w:t>送工程</w:t>
      </w:r>
      <w:r>
        <w:rPr>
          <w:sz w:val="21"/>
          <w:szCs w:val="21"/>
        </w:rPr>
        <w:t xml:space="preserve"> </w:t>
      </w:r>
      <w:r>
        <w:rPr>
          <w:spacing w:val="-5"/>
          <w:sz w:val="21"/>
          <w:szCs w:val="21"/>
        </w:rPr>
        <w:t>设计文件。</w:t>
      </w:r>
    </w:p>
    <w:p>
      <w:pPr>
        <w:pStyle w:val="11"/>
        <w:spacing w:before="77" w:line="220" w:lineRule="auto"/>
        <w:ind w:left="395"/>
        <w:rPr>
          <w:sz w:val="21"/>
          <w:szCs w:val="21"/>
        </w:rPr>
      </w:pPr>
      <w:r>
        <w:rPr>
          <w:sz w:val="21"/>
          <w:szCs w:val="21"/>
        </w:rPr>
        <w:t>8.3 工程设计审查形式及时间安排：</w:t>
      </w:r>
      <w:r>
        <w:rPr>
          <w:sz w:val="21"/>
          <w:szCs w:val="21"/>
          <w:u w:val="single" w:color="auto"/>
        </w:rPr>
        <w:t xml:space="preserve"> 发包人负责组织工程设计文件</w:t>
      </w:r>
      <w:r>
        <w:rPr>
          <w:spacing w:val="-1"/>
          <w:sz w:val="21"/>
          <w:szCs w:val="21"/>
          <w:u w:val="single" w:color="auto"/>
        </w:rPr>
        <w:t>审查会议。</w:t>
      </w:r>
    </w:p>
    <w:p>
      <w:pPr>
        <w:pStyle w:val="11"/>
        <w:spacing w:before="80" w:line="221" w:lineRule="auto"/>
        <w:ind w:left="443"/>
        <w:outlineLvl w:val="1"/>
        <w:rPr>
          <w:sz w:val="21"/>
          <w:szCs w:val="21"/>
        </w:rPr>
      </w:pPr>
      <w:r>
        <w:rPr>
          <w:b/>
          <w:bCs/>
          <w:spacing w:val="-2"/>
          <w:sz w:val="21"/>
          <w:szCs w:val="21"/>
        </w:rPr>
        <w:t>9.</w:t>
      </w:r>
      <w:r>
        <w:rPr>
          <w:spacing w:val="-2"/>
          <w:sz w:val="21"/>
          <w:szCs w:val="21"/>
        </w:rPr>
        <w:t xml:space="preserve"> </w:t>
      </w:r>
      <w:r>
        <w:rPr>
          <w:b/>
          <w:bCs/>
          <w:spacing w:val="-2"/>
          <w:sz w:val="21"/>
          <w:szCs w:val="21"/>
        </w:rPr>
        <w:t>施工现场配合服务</w:t>
      </w:r>
    </w:p>
    <w:p>
      <w:pPr>
        <w:pStyle w:val="11"/>
        <w:spacing w:before="78" w:line="220" w:lineRule="auto"/>
        <w:ind w:left="441"/>
        <w:rPr>
          <w:spacing w:val="-1"/>
          <w:sz w:val="21"/>
          <w:szCs w:val="21"/>
        </w:rPr>
      </w:pPr>
      <w:r>
        <w:rPr>
          <w:sz w:val="21"/>
          <w:szCs w:val="21"/>
        </w:rPr>
        <w:t>9.1 发包人为设计人派赴现场的工作人员提供便利条件的内容包括：</w:t>
      </w:r>
      <w:r>
        <w:rPr>
          <w:sz w:val="21"/>
          <w:szCs w:val="21"/>
          <w:u w:val="single" w:color="auto"/>
        </w:rPr>
        <w:t xml:space="preserve"> </w:t>
      </w:r>
      <w:r>
        <w:rPr>
          <w:spacing w:val="-1"/>
          <w:sz w:val="21"/>
          <w:szCs w:val="21"/>
          <w:u w:val="single" w:color="auto"/>
        </w:rPr>
        <w:t xml:space="preserve">  无   </w:t>
      </w:r>
      <w:r>
        <w:rPr>
          <w:spacing w:val="-1"/>
          <w:sz w:val="21"/>
          <w:szCs w:val="21"/>
        </w:rPr>
        <w:t>。</w:t>
      </w:r>
    </w:p>
    <w:p>
      <w:pPr>
        <w:pStyle w:val="11"/>
        <w:keepNext w:val="0"/>
        <w:keepLines w:val="0"/>
        <w:pageBreakBefore w:val="0"/>
        <w:widowControl/>
        <w:kinsoku/>
        <w:wordWrap/>
        <w:overflowPunct/>
        <w:topLinePunct w:val="0"/>
        <w:autoSpaceDE/>
        <w:autoSpaceDN/>
        <w:bidi w:val="0"/>
        <w:adjustRightInd/>
        <w:snapToGrid/>
        <w:spacing w:before="78" w:line="240" w:lineRule="auto"/>
        <w:ind w:left="-198" w:leftChars="0" w:right="-28" w:hanging="68" w:firstLineChars="0"/>
        <w:textAlignment w:val="auto"/>
        <w:rPr>
          <w:sz w:val="21"/>
          <w:szCs w:val="21"/>
        </w:rPr>
      </w:pPr>
      <w:r>
        <w:rPr>
          <w:sz w:val="21"/>
          <w:szCs w:val="21"/>
        </w:rPr>
        <w:t>9.2 设计人应当在施工阶段提供施工现场配合服务。设计人应当在工程施工开始至</w:t>
      </w:r>
      <w:r>
        <w:rPr>
          <w:spacing w:val="-1"/>
          <w:sz w:val="21"/>
          <w:szCs w:val="21"/>
        </w:rPr>
        <w:t>工程竣</w:t>
      </w:r>
      <w:r>
        <w:rPr>
          <w:sz w:val="21"/>
          <w:szCs w:val="21"/>
        </w:rPr>
        <w:t xml:space="preserve"> 工验收合格期间派出项目负责人或专业负责人根据发包人要求提供相应变更的设计文件，</w:t>
      </w:r>
      <w:r>
        <w:rPr>
          <w:spacing w:val="-1"/>
          <w:sz w:val="21"/>
          <w:szCs w:val="21"/>
        </w:rPr>
        <w:t>服务</w:t>
      </w:r>
      <w:r>
        <w:rPr>
          <w:sz w:val="21"/>
          <w:szCs w:val="21"/>
        </w:rPr>
        <w:t xml:space="preserve"> 内容包括但不限于提供设计技术交底、及时解决施工中设计技术问题、签字确认施工过</w:t>
      </w:r>
      <w:r>
        <w:rPr>
          <w:spacing w:val="-1"/>
          <w:sz w:val="21"/>
          <w:szCs w:val="21"/>
        </w:rPr>
        <w:t>程中的</w:t>
      </w:r>
      <w:r>
        <w:rPr>
          <w:sz w:val="21"/>
          <w:szCs w:val="21"/>
        </w:rPr>
        <w:t xml:space="preserve"> </w:t>
      </w:r>
      <w:r>
        <w:rPr>
          <w:spacing w:val="-1"/>
          <w:sz w:val="21"/>
          <w:szCs w:val="21"/>
        </w:rPr>
        <w:t>相关文件、配合发包人进行外部协调、参加竣工验收等工作。</w:t>
      </w:r>
    </w:p>
    <w:p>
      <w:pPr>
        <w:pStyle w:val="11"/>
        <w:spacing w:before="81" w:line="219" w:lineRule="auto"/>
        <w:ind w:left="458"/>
        <w:outlineLvl w:val="1"/>
        <w:rPr>
          <w:sz w:val="21"/>
          <w:szCs w:val="21"/>
        </w:rPr>
      </w:pPr>
      <w:r>
        <w:rPr>
          <w:b/>
          <w:bCs/>
          <w:spacing w:val="-4"/>
          <w:sz w:val="21"/>
          <w:szCs w:val="21"/>
        </w:rPr>
        <w:t>10.</w:t>
      </w:r>
      <w:r>
        <w:rPr>
          <w:spacing w:val="-4"/>
          <w:sz w:val="21"/>
          <w:szCs w:val="21"/>
        </w:rPr>
        <w:t xml:space="preserve"> </w:t>
      </w:r>
      <w:r>
        <w:rPr>
          <w:b/>
          <w:bCs/>
          <w:spacing w:val="-4"/>
          <w:sz w:val="21"/>
          <w:szCs w:val="21"/>
        </w:rPr>
        <w:t>合同价款与支付</w:t>
      </w:r>
    </w:p>
    <w:p>
      <w:pPr>
        <w:pStyle w:val="11"/>
        <w:spacing w:before="79" w:line="219" w:lineRule="auto"/>
        <w:ind w:left="455"/>
        <w:outlineLvl w:val="2"/>
        <w:rPr>
          <w:sz w:val="21"/>
          <w:szCs w:val="21"/>
        </w:rPr>
      </w:pPr>
      <w:r>
        <w:rPr>
          <w:spacing w:val="-2"/>
          <w:sz w:val="21"/>
          <w:szCs w:val="21"/>
        </w:rPr>
        <w:t>10.2 合同价格形式下浮系数价格合同</w:t>
      </w:r>
    </w:p>
    <w:p>
      <w:pPr>
        <w:pStyle w:val="11"/>
        <w:keepNext w:val="0"/>
        <w:keepLines w:val="0"/>
        <w:pageBreakBefore w:val="0"/>
        <w:widowControl/>
        <w:kinsoku/>
        <w:wordWrap/>
        <w:overflowPunct/>
        <w:topLinePunct w:val="0"/>
        <w:autoSpaceDE/>
        <w:autoSpaceDN/>
        <w:bidi w:val="0"/>
        <w:adjustRightInd/>
        <w:snapToGrid/>
        <w:spacing w:before="0" w:after="0" w:afterAutospacing="0" w:line="221" w:lineRule="auto"/>
        <w:ind w:left="-266" w:right="-28" w:firstLine="0"/>
        <w:textAlignment w:val="auto"/>
        <w:rPr>
          <w:sz w:val="21"/>
          <w:szCs w:val="21"/>
        </w:rPr>
      </w:pPr>
      <w:r>
        <w:rPr>
          <w:sz w:val="21"/>
          <w:szCs w:val="21"/>
        </w:rPr>
        <w:t>10.2.1 设计费=工程设计收费基准价×（1—中标的下浮系数报价）【备注：本工程按《广西 壮族自治区工程建设其他费用定额（桂建标[2018]37 号)》、《工程勘察设计收费标准》（2002 年 修订 版）标准，计算本工程设计收费基准价。其中工程专业调整系数取1.0，工程复杂程度调 整系数 取1.0，附加调整系数1.0，施工图预算编制费按5%收取，该费用已经包含方案设计、 初步设计（投资概算）、施工图（含预算）、工程概算编制、规划技术审查费用的相关设计服务 及按上述合同条件、技术规范以中标下浮系数承包本项目招标范围内的设计工作的所有内容费 用及相关服务。</w:t>
      </w:r>
    </w:p>
    <w:p>
      <w:pPr>
        <w:pStyle w:val="11"/>
        <w:keepNext w:val="0"/>
        <w:keepLines w:val="0"/>
        <w:pageBreakBefore w:val="0"/>
        <w:widowControl/>
        <w:kinsoku/>
        <w:wordWrap/>
        <w:overflowPunct/>
        <w:topLinePunct w:val="0"/>
        <w:autoSpaceDE/>
        <w:autoSpaceDN/>
        <w:bidi w:val="0"/>
        <w:adjustRightInd/>
        <w:snapToGrid/>
        <w:spacing w:before="0" w:after="0" w:afterAutospacing="0" w:line="221" w:lineRule="auto"/>
        <w:ind w:left="-266" w:right="-28" w:firstLine="0"/>
        <w:textAlignment w:val="auto"/>
        <w:rPr>
          <w:sz w:val="21"/>
          <w:szCs w:val="21"/>
        </w:rPr>
      </w:pPr>
      <w:r>
        <w:rPr>
          <w:sz w:val="21"/>
          <w:szCs w:val="21"/>
        </w:rPr>
        <w:t>10.2.2 工程设计费结算时间为项目竣工验收合格后，工程设计费结算最终的计费基价以批复的</w:t>
      </w:r>
      <w:r>
        <w:rPr>
          <w:rFonts w:hint="eastAsia"/>
          <w:sz w:val="21"/>
          <w:szCs w:val="21"/>
          <w:lang w:val="en-US" w:eastAsia="zh-CN"/>
        </w:rPr>
        <w:t>工程可行性研究对应估算建安投资</w:t>
      </w:r>
      <w:r>
        <w:rPr>
          <w:sz w:val="21"/>
          <w:szCs w:val="21"/>
        </w:rPr>
        <w:t>根据上述收费标准确定，最终结算价按国家及南宁市有关规定执行审定后为准。对发包人向设计人超付的款项，设计人应在发包人确 定最终结算价之日30 日内返还发包人，逾期返还的，设计人须向发包人支付应返还款项每日2‰的违约金。</w:t>
      </w:r>
    </w:p>
    <w:p>
      <w:pPr>
        <w:pStyle w:val="11"/>
        <w:keepNext w:val="0"/>
        <w:keepLines w:val="0"/>
        <w:pageBreakBefore w:val="0"/>
        <w:widowControl/>
        <w:kinsoku/>
        <w:wordWrap/>
        <w:overflowPunct/>
        <w:topLinePunct w:val="0"/>
        <w:autoSpaceDE/>
        <w:autoSpaceDN/>
        <w:bidi w:val="0"/>
        <w:adjustRightInd/>
        <w:snapToGrid/>
        <w:spacing w:before="0" w:after="0" w:afterAutospacing="0" w:line="221" w:lineRule="auto"/>
        <w:ind w:left="-266" w:right="-28" w:firstLine="0"/>
        <w:textAlignment w:val="auto"/>
        <w:rPr>
          <w:sz w:val="21"/>
          <w:szCs w:val="21"/>
        </w:rPr>
      </w:pPr>
      <w:r>
        <w:rPr>
          <w:sz w:val="21"/>
          <w:szCs w:val="21"/>
        </w:rPr>
        <w:t>10.2.3 本合同价暂定含增值税价为：</w:t>
      </w:r>
      <w:r>
        <w:rPr>
          <w:sz w:val="21"/>
          <w:szCs w:val="21"/>
          <w:u w:val="single"/>
        </w:rPr>
        <w:t>人民币（大写）             (含税价格) (¥       )</w:t>
      </w:r>
      <w:r>
        <w:rPr>
          <w:rFonts w:hint="eastAsia"/>
          <w:sz w:val="21"/>
          <w:szCs w:val="21"/>
          <w:u w:val="single"/>
          <w:lang w:eastAsia="zh-CN"/>
        </w:rPr>
        <w:t>，</w:t>
      </w:r>
      <w:r>
        <w:rPr>
          <w:sz w:val="21"/>
          <w:szCs w:val="21"/>
          <w:u w:val="single"/>
        </w:rPr>
        <w:t>其中增值税为人民币（大写）        (¥        ),税率     % 。</w:t>
      </w:r>
    </w:p>
    <w:p>
      <w:pPr>
        <w:pStyle w:val="11"/>
        <w:keepNext w:val="0"/>
        <w:keepLines w:val="0"/>
        <w:pageBreakBefore w:val="0"/>
        <w:widowControl/>
        <w:kinsoku/>
        <w:wordWrap/>
        <w:overflowPunct/>
        <w:topLinePunct w:val="0"/>
        <w:autoSpaceDE/>
        <w:autoSpaceDN/>
        <w:bidi w:val="0"/>
        <w:adjustRightInd/>
        <w:snapToGrid/>
        <w:spacing w:before="0" w:after="0" w:afterAutospacing="0" w:line="221" w:lineRule="auto"/>
        <w:ind w:left="-266" w:right="-28" w:firstLine="0"/>
        <w:textAlignment w:val="auto"/>
        <w:rPr>
          <w:sz w:val="21"/>
          <w:szCs w:val="21"/>
        </w:rPr>
      </w:pPr>
      <w:r>
        <w:rPr>
          <w:spacing w:val="-1"/>
          <w:sz w:val="21"/>
          <w:szCs w:val="21"/>
        </w:rPr>
        <w:t>10.2 如因政府或相关主管部门要求导</w:t>
      </w:r>
      <w:r>
        <w:rPr>
          <w:spacing w:val="-2"/>
          <w:sz w:val="21"/>
          <w:szCs w:val="21"/>
        </w:rPr>
        <w:t>致项目中断设计，设计人须无条件服从，按当前已获</w:t>
      </w:r>
      <w:r>
        <w:rPr>
          <w:sz w:val="21"/>
          <w:szCs w:val="21"/>
        </w:rPr>
        <w:t xml:space="preserve"> </w:t>
      </w:r>
      <w:r>
        <w:rPr>
          <w:spacing w:val="-2"/>
          <w:sz w:val="21"/>
          <w:szCs w:val="21"/>
        </w:rPr>
        <w:t>批复的设计成果文件进行结算。</w:t>
      </w:r>
    </w:p>
    <w:p>
      <w:pPr>
        <w:pStyle w:val="11"/>
        <w:spacing w:before="80" w:line="221" w:lineRule="auto"/>
        <w:ind w:left="455"/>
        <w:rPr>
          <w:sz w:val="21"/>
          <w:szCs w:val="21"/>
        </w:rPr>
      </w:pPr>
      <w:r>
        <w:rPr>
          <w:spacing w:val="-2"/>
          <w:sz w:val="21"/>
          <w:szCs w:val="21"/>
        </w:rPr>
        <w:t>10.3 定金或预付款</w:t>
      </w:r>
    </w:p>
    <w:p>
      <w:pPr>
        <w:pStyle w:val="11"/>
        <w:spacing w:before="78" w:line="220" w:lineRule="auto"/>
        <w:ind w:left="441"/>
        <w:rPr>
          <w:sz w:val="21"/>
          <w:szCs w:val="21"/>
        </w:rPr>
      </w:pPr>
      <w:r>
        <w:rPr>
          <w:spacing w:val="-2"/>
          <w:sz w:val="21"/>
          <w:szCs w:val="21"/>
        </w:rPr>
        <w:t>本项目无定金或预付款。</w:t>
      </w:r>
    </w:p>
    <w:p>
      <w:pPr>
        <w:pStyle w:val="11"/>
        <w:spacing w:before="82" w:line="219" w:lineRule="auto"/>
        <w:ind w:left="455"/>
        <w:rPr>
          <w:spacing w:val="-3"/>
          <w:sz w:val="21"/>
          <w:szCs w:val="21"/>
        </w:rPr>
      </w:pPr>
      <w:r>
        <w:rPr>
          <w:spacing w:val="-3"/>
          <w:sz w:val="21"/>
          <w:szCs w:val="21"/>
        </w:rPr>
        <w:t>10.4</w:t>
      </w:r>
      <w:r>
        <w:rPr>
          <w:spacing w:val="-34"/>
          <w:sz w:val="21"/>
          <w:szCs w:val="21"/>
        </w:rPr>
        <w:t xml:space="preserve"> </w:t>
      </w:r>
      <w:r>
        <w:rPr>
          <w:spacing w:val="-3"/>
          <w:sz w:val="21"/>
          <w:szCs w:val="21"/>
        </w:rPr>
        <w:t>合同价款的结算与支付</w:t>
      </w:r>
    </w:p>
    <w:p>
      <w:pPr>
        <w:pStyle w:val="11"/>
        <w:spacing w:before="82" w:line="219" w:lineRule="auto"/>
        <w:ind w:left="455"/>
        <w:rPr>
          <w:sz w:val="21"/>
          <w:szCs w:val="21"/>
        </w:rPr>
      </w:pPr>
      <w:r>
        <w:rPr>
          <w:spacing w:val="-1"/>
          <w:sz w:val="21"/>
          <w:szCs w:val="21"/>
        </w:rPr>
        <w:t>10.4.1</w:t>
      </w:r>
      <w:r>
        <w:rPr>
          <w:spacing w:val="-21"/>
          <w:sz w:val="21"/>
          <w:szCs w:val="21"/>
        </w:rPr>
        <w:t xml:space="preserve"> </w:t>
      </w:r>
      <w:r>
        <w:rPr>
          <w:spacing w:val="-1"/>
          <w:sz w:val="21"/>
          <w:szCs w:val="21"/>
        </w:rPr>
        <w:t>以下各节点进度款支付需经发包人审核，由设计人提供相应</w:t>
      </w:r>
      <w:r>
        <w:rPr>
          <w:spacing w:val="-2"/>
          <w:sz w:val="21"/>
          <w:szCs w:val="21"/>
        </w:rPr>
        <w:t>的资料给发包人，经发包人审核通过后依进度支付设计费</w:t>
      </w:r>
      <w:r>
        <w:rPr>
          <w:rFonts w:hint="eastAsia"/>
          <w:spacing w:val="-2"/>
          <w:sz w:val="21"/>
          <w:szCs w:val="21"/>
          <w:lang w:eastAsia="zh-CN"/>
        </w:rPr>
        <w:t>，</w:t>
      </w:r>
      <w:r>
        <w:rPr>
          <w:rFonts w:hint="eastAsia" w:ascii="Times New Roman" w:hAnsi="Times New Roman" w:eastAsia="宋体" w:cs="Times New Roman"/>
          <w:sz w:val="21"/>
          <w:szCs w:val="21"/>
        </w:rPr>
        <w:t>发包人接到</w:t>
      </w:r>
      <w:r>
        <w:rPr>
          <w:rFonts w:hint="eastAsia" w:ascii="Times New Roman" w:hAnsi="Times New Roman" w:eastAsia="宋体" w:cs="Times New Roman"/>
          <w:sz w:val="21"/>
          <w:szCs w:val="21"/>
          <w:lang w:val="en-US" w:eastAsia="zh-CN"/>
        </w:rPr>
        <w:t>合格的请款</w:t>
      </w:r>
      <w:r>
        <w:rPr>
          <w:rFonts w:hint="eastAsia" w:ascii="Times New Roman" w:hAnsi="Times New Roman" w:eastAsia="宋体" w:cs="Times New Roman"/>
          <w:sz w:val="21"/>
          <w:szCs w:val="21"/>
        </w:rPr>
        <w:t>报送材料后向财政申请资金，财政拨款到位后14天内予以支付</w:t>
      </w:r>
      <w:r>
        <w:rPr>
          <w:spacing w:val="-2"/>
          <w:sz w:val="21"/>
          <w:szCs w:val="21"/>
        </w:rPr>
        <w:t>。</w:t>
      </w:r>
    </w:p>
    <w:p>
      <w:pPr>
        <w:pStyle w:val="11"/>
        <w:spacing w:before="29" w:line="219" w:lineRule="auto"/>
        <w:jc w:val="both"/>
        <w:rPr>
          <w:sz w:val="21"/>
          <w:szCs w:val="21"/>
        </w:rPr>
      </w:pPr>
      <w:r>
        <w:rPr>
          <w:spacing w:val="-4"/>
          <w:sz w:val="21"/>
          <w:szCs w:val="21"/>
        </w:rPr>
        <w:t>（1）设计人向发包人提交方案设计文件并获批复，发包人向设计人支付合同暂定价的</w:t>
      </w:r>
      <w:r>
        <w:rPr>
          <w:spacing w:val="-42"/>
          <w:sz w:val="21"/>
          <w:szCs w:val="21"/>
        </w:rPr>
        <w:t xml:space="preserve"> </w:t>
      </w:r>
      <w:r>
        <w:rPr>
          <w:spacing w:val="-4"/>
          <w:sz w:val="21"/>
          <w:szCs w:val="21"/>
        </w:rPr>
        <w:t>20%；</w:t>
      </w:r>
    </w:p>
    <w:p>
      <w:pPr>
        <w:pStyle w:val="11"/>
        <w:spacing w:before="82" w:line="256" w:lineRule="auto"/>
        <w:ind w:right="244"/>
        <w:rPr>
          <w:sz w:val="21"/>
          <w:szCs w:val="21"/>
        </w:rPr>
      </w:pPr>
      <w:r>
        <w:rPr>
          <w:spacing w:val="-1"/>
          <w:sz w:val="21"/>
          <w:szCs w:val="21"/>
        </w:rPr>
        <w:t>（2）完成初步设计并上报市发改委出具审核意见后，发包人向设计人支付合同暂定价的</w:t>
      </w:r>
      <w:r>
        <w:rPr>
          <w:spacing w:val="13"/>
          <w:sz w:val="21"/>
          <w:szCs w:val="21"/>
        </w:rPr>
        <w:t xml:space="preserve"> </w:t>
      </w:r>
      <w:r>
        <w:rPr>
          <w:spacing w:val="-3"/>
          <w:sz w:val="21"/>
          <w:szCs w:val="21"/>
        </w:rPr>
        <w:t>30%；</w:t>
      </w:r>
    </w:p>
    <w:p>
      <w:pPr>
        <w:pStyle w:val="11"/>
        <w:spacing w:before="78" w:line="219" w:lineRule="auto"/>
        <w:ind w:left="439" w:leftChars="-25" w:hanging="492" w:hangingChars="237"/>
        <w:rPr>
          <w:sz w:val="21"/>
          <w:szCs w:val="21"/>
        </w:rPr>
      </w:pPr>
      <w:r>
        <w:rPr>
          <w:spacing w:val="-1"/>
          <w:sz w:val="21"/>
          <w:szCs w:val="21"/>
        </w:rPr>
        <w:t>（3）发包人取得施工图纸审图合格书，发包人向设计人支付合同暂定价的30%；</w:t>
      </w:r>
    </w:p>
    <w:p>
      <w:pPr>
        <w:pStyle w:val="11"/>
        <w:keepNext w:val="0"/>
        <w:keepLines w:val="0"/>
        <w:pageBreakBefore w:val="0"/>
        <w:widowControl/>
        <w:kinsoku/>
        <w:wordWrap/>
        <w:overflowPunct/>
        <w:topLinePunct w:val="0"/>
        <w:autoSpaceDE/>
        <w:autoSpaceDN/>
        <w:bidi w:val="0"/>
        <w:adjustRightInd/>
        <w:snapToGrid/>
        <w:spacing w:before="79" w:line="240" w:lineRule="auto"/>
        <w:ind w:left="0" w:right="79" w:firstLine="0"/>
        <w:textAlignment w:val="auto"/>
        <w:rPr>
          <w:sz w:val="21"/>
          <w:szCs w:val="21"/>
        </w:rPr>
      </w:pPr>
      <w:r>
        <w:rPr>
          <w:spacing w:val="-2"/>
          <w:sz w:val="21"/>
          <w:szCs w:val="21"/>
        </w:rPr>
        <w:t>（4）工程竣工验收合格后，结算价经发包人或发包人委托第三方具有相应资质的机构审定</w:t>
      </w:r>
      <w:r>
        <w:rPr>
          <w:spacing w:val="10"/>
          <w:sz w:val="21"/>
          <w:szCs w:val="21"/>
        </w:rPr>
        <w:t xml:space="preserve"> </w:t>
      </w:r>
      <w:r>
        <w:rPr>
          <w:spacing w:val="-7"/>
          <w:sz w:val="21"/>
          <w:szCs w:val="21"/>
        </w:rPr>
        <w:t>后一次性支付完余款（不含履约保证金）。</w:t>
      </w:r>
    </w:p>
    <w:p>
      <w:pPr>
        <w:pStyle w:val="11"/>
        <w:keepNext w:val="0"/>
        <w:keepLines w:val="0"/>
        <w:pageBreakBefore w:val="0"/>
        <w:widowControl/>
        <w:kinsoku/>
        <w:wordWrap/>
        <w:overflowPunct/>
        <w:topLinePunct w:val="0"/>
        <w:autoSpaceDE/>
        <w:autoSpaceDN/>
        <w:bidi w:val="0"/>
        <w:adjustRightInd/>
        <w:snapToGrid/>
        <w:spacing w:before="0" w:line="257" w:lineRule="auto"/>
        <w:ind w:left="0" w:right="0" w:firstLine="0"/>
        <w:textAlignment w:val="auto"/>
        <w:rPr>
          <w:sz w:val="21"/>
          <w:szCs w:val="21"/>
        </w:rPr>
      </w:pPr>
      <w:r>
        <w:rPr>
          <w:spacing w:val="-1"/>
          <w:sz w:val="21"/>
          <w:szCs w:val="21"/>
        </w:rPr>
        <w:t>（5）设计人派驻的驻场代表发生的费用由设计人承担。发包人要求设计人进行外出考</w:t>
      </w:r>
      <w:r>
        <w:rPr>
          <w:spacing w:val="-2"/>
          <w:sz w:val="21"/>
          <w:szCs w:val="21"/>
        </w:rPr>
        <w:t>察、</w:t>
      </w:r>
      <w:r>
        <w:rPr>
          <w:sz w:val="21"/>
          <w:szCs w:val="21"/>
        </w:rPr>
        <w:t xml:space="preserve"> 专项咨询或专家评审、设计变更评审、设计人员派驻施工现场，相应费用均含在设计费之</w:t>
      </w:r>
      <w:r>
        <w:rPr>
          <w:spacing w:val="-1"/>
          <w:sz w:val="21"/>
          <w:szCs w:val="21"/>
        </w:rPr>
        <w:t>中，</w:t>
      </w:r>
      <w:r>
        <w:rPr>
          <w:spacing w:val="-3"/>
          <w:sz w:val="21"/>
          <w:szCs w:val="21"/>
        </w:rPr>
        <w:t>发包人不另行支付。</w:t>
      </w:r>
    </w:p>
    <w:p>
      <w:pPr>
        <w:pStyle w:val="11"/>
        <w:keepNext w:val="0"/>
        <w:keepLines w:val="0"/>
        <w:pageBreakBefore w:val="0"/>
        <w:widowControl/>
        <w:kinsoku/>
        <w:wordWrap/>
        <w:overflowPunct/>
        <w:topLinePunct w:val="0"/>
        <w:autoSpaceDE/>
        <w:autoSpaceDN/>
        <w:bidi w:val="0"/>
        <w:adjustRightInd/>
        <w:snapToGrid/>
        <w:spacing w:before="80" w:line="240" w:lineRule="auto"/>
        <w:ind w:left="0" w:leftChars="0" w:right="11" w:firstLine="0" w:firstLineChars="0"/>
        <w:jc w:val="both"/>
        <w:textAlignment w:val="auto"/>
        <w:rPr>
          <w:rFonts w:hint="eastAsia" w:eastAsia="宋体"/>
          <w:sz w:val="21"/>
          <w:szCs w:val="21"/>
          <w:lang w:eastAsia="zh-CN"/>
        </w:rPr>
      </w:pPr>
      <w:r>
        <w:rPr>
          <w:spacing w:val="-1"/>
          <w:sz w:val="21"/>
          <w:szCs w:val="21"/>
        </w:rPr>
        <w:t>10.4.2</w:t>
      </w:r>
      <w:r>
        <w:rPr>
          <w:spacing w:val="-31"/>
          <w:sz w:val="21"/>
          <w:szCs w:val="21"/>
        </w:rPr>
        <w:t xml:space="preserve"> </w:t>
      </w:r>
      <w:r>
        <w:rPr>
          <w:spacing w:val="-1"/>
          <w:sz w:val="21"/>
          <w:szCs w:val="21"/>
        </w:rPr>
        <w:t>双方委托银行代付代收有关费用，支付款项同时提供等额合法有效增值税</w:t>
      </w:r>
      <w:r>
        <w:rPr>
          <w:rFonts w:hint="eastAsia"/>
          <w:spacing w:val="-1"/>
          <w:sz w:val="21"/>
          <w:szCs w:val="21"/>
          <w:lang w:val="en-US" w:eastAsia="zh-CN"/>
        </w:rPr>
        <w:t>专用</w:t>
      </w:r>
      <w:r>
        <w:rPr>
          <w:spacing w:val="-1"/>
          <w:sz w:val="21"/>
          <w:szCs w:val="21"/>
        </w:rPr>
        <w:t>发票</w:t>
      </w:r>
      <w:r>
        <w:rPr>
          <w:sz w:val="21"/>
          <w:szCs w:val="21"/>
        </w:rPr>
        <w:t xml:space="preserve"> 至发包人，否则发包人有权延迟付款直至设计人提供发票为止，并不需要承担相应的损失</w:t>
      </w:r>
      <w:r>
        <w:rPr>
          <w:spacing w:val="-1"/>
          <w:sz w:val="21"/>
          <w:szCs w:val="21"/>
        </w:rPr>
        <w:t>及法</w:t>
      </w:r>
      <w:r>
        <w:rPr>
          <w:spacing w:val="-2"/>
          <w:sz w:val="21"/>
          <w:szCs w:val="21"/>
        </w:rPr>
        <w:t>律责任</w:t>
      </w:r>
      <w:r>
        <w:rPr>
          <w:rFonts w:hint="eastAsia"/>
          <w:spacing w:val="-2"/>
          <w:sz w:val="21"/>
          <w:szCs w:val="21"/>
          <w:lang w:eastAsia="zh-CN"/>
        </w:rPr>
        <w:t>。</w:t>
      </w:r>
    </w:p>
    <w:p>
      <w:pPr>
        <w:pStyle w:val="11"/>
        <w:spacing w:before="29" w:line="221" w:lineRule="auto"/>
        <w:ind w:left="458"/>
        <w:outlineLvl w:val="1"/>
        <w:rPr>
          <w:b/>
          <w:bCs/>
          <w:spacing w:val="-3"/>
          <w:sz w:val="21"/>
          <w:szCs w:val="21"/>
        </w:rPr>
      </w:pPr>
      <w:r>
        <w:rPr>
          <w:b/>
          <w:bCs/>
          <w:spacing w:val="-3"/>
          <w:sz w:val="21"/>
          <w:szCs w:val="21"/>
        </w:rPr>
        <w:t>11.</w:t>
      </w:r>
      <w:r>
        <w:rPr>
          <w:spacing w:val="-3"/>
          <w:sz w:val="21"/>
          <w:szCs w:val="21"/>
        </w:rPr>
        <w:t xml:space="preserve"> </w:t>
      </w:r>
      <w:r>
        <w:rPr>
          <w:b/>
          <w:bCs/>
          <w:spacing w:val="-3"/>
          <w:sz w:val="21"/>
          <w:szCs w:val="21"/>
        </w:rPr>
        <w:t>工程设计变更与索赔</w:t>
      </w:r>
    </w:p>
    <w:p>
      <w:pPr>
        <w:pStyle w:val="11"/>
        <w:keepNext w:val="0"/>
        <w:keepLines w:val="0"/>
        <w:pageBreakBefore w:val="0"/>
        <w:widowControl/>
        <w:kinsoku/>
        <w:wordWrap/>
        <w:overflowPunct/>
        <w:topLinePunct w:val="0"/>
        <w:autoSpaceDE/>
        <w:autoSpaceDN/>
        <w:bidi w:val="0"/>
        <w:adjustRightInd/>
        <w:snapToGrid/>
        <w:spacing w:before="29" w:line="221" w:lineRule="auto"/>
        <w:ind w:left="-249" w:right="-28" w:firstLine="0"/>
        <w:textAlignment w:val="auto"/>
        <w:outlineLvl w:val="1"/>
        <w:rPr>
          <w:sz w:val="21"/>
          <w:szCs w:val="21"/>
        </w:rPr>
      </w:pPr>
      <w:r>
        <w:rPr>
          <w:spacing w:val="1"/>
          <w:sz w:val="21"/>
          <w:szCs w:val="21"/>
        </w:rPr>
        <w:t>11.5 设计人应于认为有理由提出增加合同价款或延长设计周期的要求事项发生后</w:t>
      </w:r>
      <w:r>
        <w:rPr>
          <w:spacing w:val="1"/>
          <w:sz w:val="21"/>
          <w:szCs w:val="21"/>
          <w:u w:val="single" w:color="auto"/>
        </w:rPr>
        <w:t xml:space="preserve"> 7</w:t>
      </w:r>
      <w:r>
        <w:rPr>
          <w:sz w:val="21"/>
          <w:szCs w:val="21"/>
          <w:u w:val="single" w:color="auto"/>
        </w:rPr>
        <w:t xml:space="preserve"> </w:t>
      </w:r>
      <w:r>
        <w:rPr>
          <w:sz w:val="21"/>
          <w:szCs w:val="21"/>
        </w:rPr>
        <w:t xml:space="preserve">天内 </w:t>
      </w:r>
      <w:r>
        <w:rPr>
          <w:spacing w:val="-2"/>
          <w:sz w:val="21"/>
          <w:szCs w:val="21"/>
        </w:rPr>
        <w:t>书面通知发包人。</w:t>
      </w:r>
    </w:p>
    <w:p>
      <w:pPr>
        <w:pStyle w:val="11"/>
        <w:keepNext w:val="0"/>
        <w:keepLines w:val="0"/>
        <w:pageBreakBefore w:val="0"/>
        <w:widowControl/>
        <w:kinsoku/>
        <w:wordWrap/>
        <w:overflowPunct/>
        <w:topLinePunct w:val="0"/>
        <w:autoSpaceDE/>
        <w:autoSpaceDN/>
        <w:bidi w:val="0"/>
        <w:adjustRightInd/>
        <w:snapToGrid/>
        <w:spacing w:before="0" w:line="276" w:lineRule="auto"/>
        <w:ind w:left="-199" w:leftChars="-95" w:right="0" w:firstLine="0" w:firstLineChars="0"/>
        <w:jc w:val="left"/>
        <w:textAlignment w:val="auto"/>
        <w:rPr>
          <w:spacing w:val="-1"/>
          <w:sz w:val="21"/>
          <w:szCs w:val="21"/>
        </w:rPr>
      </w:pPr>
      <w:r>
        <w:rPr>
          <w:spacing w:val="-1"/>
          <w:sz w:val="21"/>
          <w:szCs w:val="21"/>
        </w:rPr>
        <w:t>设计人应在该事项发生后10天内向发包人提供证明设计人要求的书面声明。 发包人应在接到设计人书面声明后的 7 天内，予以书面答复。</w:t>
      </w:r>
    </w:p>
    <w:p>
      <w:pPr>
        <w:pStyle w:val="11"/>
        <w:spacing w:before="33" w:line="221" w:lineRule="auto"/>
        <w:ind w:left="458"/>
        <w:outlineLvl w:val="1"/>
        <w:rPr>
          <w:sz w:val="21"/>
          <w:szCs w:val="21"/>
        </w:rPr>
      </w:pPr>
      <w:r>
        <w:rPr>
          <w:b/>
          <w:bCs/>
          <w:spacing w:val="-4"/>
          <w:sz w:val="21"/>
          <w:szCs w:val="21"/>
        </w:rPr>
        <w:t>12.</w:t>
      </w:r>
      <w:r>
        <w:rPr>
          <w:spacing w:val="-4"/>
          <w:sz w:val="21"/>
          <w:szCs w:val="21"/>
        </w:rPr>
        <w:t xml:space="preserve"> </w:t>
      </w:r>
      <w:r>
        <w:rPr>
          <w:b/>
          <w:bCs/>
          <w:spacing w:val="-4"/>
          <w:sz w:val="21"/>
          <w:szCs w:val="21"/>
        </w:rPr>
        <w:t>专业责任与保险</w:t>
      </w:r>
    </w:p>
    <w:p>
      <w:pPr>
        <w:pStyle w:val="11"/>
        <w:spacing w:before="78" w:line="221" w:lineRule="auto"/>
        <w:ind w:left="455"/>
        <w:rPr>
          <w:sz w:val="21"/>
          <w:szCs w:val="21"/>
        </w:rPr>
      </w:pPr>
      <w:r>
        <w:rPr>
          <w:spacing w:val="-1"/>
          <w:sz w:val="21"/>
          <w:szCs w:val="21"/>
        </w:rPr>
        <w:t>12.2 设计人</w:t>
      </w:r>
      <w:r>
        <w:rPr>
          <w:spacing w:val="-1"/>
          <w:sz w:val="21"/>
          <w:szCs w:val="21"/>
          <w:u w:val="single" w:color="auto"/>
        </w:rPr>
        <w:t xml:space="preserve"> </w:t>
      </w:r>
      <w:r>
        <w:rPr>
          <w:spacing w:val="-1"/>
          <w:sz w:val="21"/>
          <w:szCs w:val="21"/>
          <w:u w:val="single"/>
        </w:rPr>
        <w:t>不需（需/不需）</w:t>
      </w:r>
      <w:r>
        <w:rPr>
          <w:spacing w:val="-1"/>
          <w:sz w:val="21"/>
          <w:szCs w:val="21"/>
        </w:rPr>
        <w:t>有发包人认可的工程设计责任</w:t>
      </w:r>
      <w:r>
        <w:rPr>
          <w:spacing w:val="-2"/>
          <w:sz w:val="21"/>
          <w:szCs w:val="21"/>
        </w:rPr>
        <w:t>保险。</w:t>
      </w:r>
    </w:p>
    <w:p>
      <w:pPr>
        <w:pStyle w:val="11"/>
        <w:spacing w:before="80" w:line="221" w:lineRule="auto"/>
        <w:ind w:left="458"/>
        <w:outlineLvl w:val="1"/>
        <w:rPr>
          <w:b/>
          <w:bCs/>
          <w:spacing w:val="-7"/>
          <w:sz w:val="21"/>
          <w:szCs w:val="21"/>
        </w:rPr>
      </w:pPr>
      <w:r>
        <w:rPr>
          <w:b/>
          <w:bCs/>
          <w:spacing w:val="-7"/>
          <w:sz w:val="21"/>
          <w:szCs w:val="21"/>
        </w:rPr>
        <w:t>13.</w:t>
      </w:r>
      <w:r>
        <w:rPr>
          <w:spacing w:val="17"/>
          <w:sz w:val="21"/>
          <w:szCs w:val="21"/>
        </w:rPr>
        <w:t xml:space="preserve"> </w:t>
      </w:r>
      <w:r>
        <w:rPr>
          <w:b/>
          <w:bCs/>
          <w:spacing w:val="-7"/>
          <w:sz w:val="21"/>
          <w:szCs w:val="21"/>
        </w:rPr>
        <w:t>知识产权</w:t>
      </w:r>
    </w:p>
    <w:p>
      <w:pPr>
        <w:pStyle w:val="11"/>
        <w:spacing w:before="80" w:line="221" w:lineRule="auto"/>
        <w:ind w:left="458"/>
        <w:outlineLvl w:val="1"/>
        <w:rPr>
          <w:sz w:val="21"/>
          <w:szCs w:val="21"/>
        </w:rPr>
      </w:pPr>
      <w:r>
        <w:rPr>
          <w:spacing w:val="-1"/>
          <w:sz w:val="21"/>
          <w:szCs w:val="21"/>
        </w:rPr>
        <w:t>13.1 关于发包人提供给设计人的图纸</w:t>
      </w:r>
      <w:r>
        <w:rPr>
          <w:spacing w:val="-2"/>
          <w:sz w:val="21"/>
          <w:szCs w:val="21"/>
        </w:rPr>
        <w:t>、发包人为实施工程自行编制或委托编制的技术规格</w:t>
      </w:r>
      <w:r>
        <w:rPr>
          <w:sz w:val="21"/>
          <w:szCs w:val="21"/>
        </w:rPr>
        <w:t xml:space="preserve"> </w:t>
      </w:r>
      <w:r>
        <w:rPr>
          <w:spacing w:val="-1"/>
          <w:sz w:val="21"/>
          <w:szCs w:val="21"/>
        </w:rPr>
        <w:t>以及反映发包人关于合同要求或其他类似性质的文件的著作权的归属：</w:t>
      </w:r>
      <w:r>
        <w:rPr>
          <w:spacing w:val="-1"/>
          <w:sz w:val="21"/>
          <w:szCs w:val="21"/>
          <w:u w:val="single" w:color="auto"/>
        </w:rPr>
        <w:t xml:space="preserve">  发包人  </w:t>
      </w:r>
      <w:r>
        <w:rPr>
          <w:spacing w:val="-1"/>
          <w:sz w:val="21"/>
          <w:szCs w:val="21"/>
        </w:rPr>
        <w:t>。</w:t>
      </w:r>
    </w:p>
    <w:p>
      <w:pPr>
        <w:pStyle w:val="11"/>
        <w:spacing w:before="28" w:line="281" w:lineRule="auto"/>
        <w:ind w:left="21" w:right="7" w:firstLine="422"/>
        <w:rPr>
          <w:sz w:val="21"/>
          <w:szCs w:val="21"/>
        </w:rPr>
      </w:pPr>
      <w:r>
        <w:rPr>
          <w:spacing w:val="1"/>
          <w:sz w:val="21"/>
          <w:szCs w:val="21"/>
        </w:rPr>
        <w:t>关于发包人提供的上述文件的使用限制的要求：</w:t>
      </w:r>
      <w:r>
        <w:rPr>
          <w:spacing w:val="1"/>
          <w:sz w:val="21"/>
          <w:szCs w:val="21"/>
          <w:u w:val="single" w:color="auto"/>
        </w:rPr>
        <w:t>设计人可</w:t>
      </w:r>
      <w:r>
        <w:rPr>
          <w:sz w:val="21"/>
          <w:szCs w:val="21"/>
          <w:u w:val="single" w:color="auto"/>
        </w:rPr>
        <w:t>以为实现合同目的而复制、使用</w:t>
      </w:r>
      <w:r>
        <w:rPr>
          <w:sz w:val="21"/>
          <w:szCs w:val="21"/>
        </w:rPr>
        <w:t xml:space="preserve"> </w:t>
      </w:r>
      <w:r>
        <w:rPr>
          <w:spacing w:val="1"/>
          <w:sz w:val="21"/>
          <w:szCs w:val="21"/>
          <w:u w:val="single" w:color="auto"/>
        </w:rPr>
        <w:t>此类文件，但不能用于与合同无关的其他事项。未经发包人书面同意，设计人不得为了合同以</w:t>
      </w:r>
      <w:r>
        <w:rPr>
          <w:spacing w:val="8"/>
          <w:sz w:val="21"/>
          <w:szCs w:val="21"/>
        </w:rPr>
        <w:t xml:space="preserve"> </w:t>
      </w:r>
      <w:r>
        <w:rPr>
          <w:sz w:val="21"/>
          <w:szCs w:val="21"/>
        </w:rPr>
        <w:t>外的目的而复制、使用上述文件或将之提供给任何第三</w:t>
      </w:r>
      <w:r>
        <w:rPr>
          <w:spacing w:val="-1"/>
          <w:sz w:val="21"/>
          <w:szCs w:val="21"/>
        </w:rPr>
        <w:t>方发包人。</w:t>
      </w:r>
    </w:p>
    <w:p>
      <w:pPr>
        <w:pStyle w:val="11"/>
        <w:spacing w:before="32" w:line="221" w:lineRule="auto"/>
        <w:ind w:left="455"/>
        <w:rPr>
          <w:sz w:val="21"/>
          <w:szCs w:val="21"/>
        </w:rPr>
      </w:pPr>
      <w:r>
        <w:rPr>
          <w:spacing w:val="-1"/>
          <w:sz w:val="21"/>
          <w:szCs w:val="21"/>
        </w:rPr>
        <w:t>13.2 关于设计人为实施工程所编制文件的著作权的归属：</w:t>
      </w:r>
      <w:r>
        <w:rPr>
          <w:spacing w:val="-1"/>
          <w:sz w:val="21"/>
          <w:szCs w:val="21"/>
          <w:u w:val="single" w:color="auto"/>
        </w:rPr>
        <w:t xml:space="preserve">  发包人 </w:t>
      </w:r>
      <w:r>
        <w:rPr>
          <w:spacing w:val="-1"/>
          <w:sz w:val="21"/>
          <w:szCs w:val="21"/>
        </w:rPr>
        <w:t>。</w:t>
      </w:r>
    </w:p>
    <w:p>
      <w:pPr>
        <w:pStyle w:val="11"/>
        <w:spacing w:before="78" w:line="277" w:lineRule="auto"/>
        <w:ind w:left="41" w:right="59" w:firstLine="402"/>
        <w:rPr>
          <w:spacing w:val="-1"/>
          <w:sz w:val="21"/>
          <w:szCs w:val="21"/>
        </w:rPr>
      </w:pPr>
      <w:r>
        <w:rPr>
          <w:sz w:val="21"/>
          <w:szCs w:val="21"/>
        </w:rPr>
        <w:t>关于设计人提供的上述文件的使用限制的要求：</w:t>
      </w:r>
      <w:r>
        <w:rPr>
          <w:sz w:val="21"/>
          <w:szCs w:val="21"/>
          <w:u w:val="single" w:color="auto"/>
        </w:rPr>
        <w:t>未经发包人书面同意，设计</w:t>
      </w:r>
      <w:r>
        <w:rPr>
          <w:spacing w:val="-1"/>
          <w:sz w:val="21"/>
          <w:szCs w:val="21"/>
          <w:u w:val="single" w:color="auto"/>
        </w:rPr>
        <w:t>人不得为了合</w:t>
      </w:r>
      <w:r>
        <w:rPr>
          <w:sz w:val="21"/>
          <w:szCs w:val="21"/>
        </w:rPr>
        <w:t xml:space="preserve"> </w:t>
      </w:r>
      <w:r>
        <w:rPr>
          <w:spacing w:val="-1"/>
          <w:sz w:val="21"/>
          <w:szCs w:val="21"/>
        </w:rPr>
        <w:t>同以外的目的而复制、使用上述文件或将之提供给任何第三方。</w:t>
      </w:r>
    </w:p>
    <w:p>
      <w:pPr>
        <w:pStyle w:val="11"/>
        <w:spacing w:before="78" w:line="277" w:lineRule="auto"/>
        <w:ind w:left="420" w:leftChars="0" w:right="59" w:hanging="709" w:firstLineChars="0"/>
        <w:rPr>
          <w:sz w:val="21"/>
          <w:szCs w:val="21"/>
        </w:rPr>
      </w:pPr>
      <w:r>
        <w:rPr>
          <w:spacing w:val="1"/>
          <w:sz w:val="21"/>
          <w:szCs w:val="21"/>
        </w:rPr>
        <w:t>13.5 设计人在设计过程中所采用的专利、专有技术的使用费的承担方式：</w:t>
      </w:r>
      <w:r>
        <w:rPr>
          <w:spacing w:val="1"/>
          <w:sz w:val="21"/>
          <w:szCs w:val="21"/>
          <w:u w:val="single" w:color="auto"/>
        </w:rPr>
        <w:t xml:space="preserve"> 设</w:t>
      </w:r>
      <w:r>
        <w:rPr>
          <w:sz w:val="21"/>
          <w:szCs w:val="21"/>
          <w:u w:val="single" w:color="auto"/>
        </w:rPr>
        <w:t>计人自行承</w:t>
      </w:r>
      <w:r>
        <w:rPr>
          <w:spacing w:val="-3"/>
          <w:sz w:val="21"/>
          <w:szCs w:val="21"/>
          <w:u w:val="single" w:color="auto"/>
        </w:rPr>
        <w:t>担</w:t>
      </w:r>
      <w:r>
        <w:rPr>
          <w:spacing w:val="-3"/>
          <w:sz w:val="21"/>
          <w:szCs w:val="21"/>
        </w:rPr>
        <w:t>。</w:t>
      </w:r>
    </w:p>
    <w:p>
      <w:pPr>
        <w:pStyle w:val="11"/>
        <w:spacing w:before="76" w:line="256" w:lineRule="auto"/>
        <w:ind w:left="21" w:leftChars="0" w:hanging="221" w:firstLineChars="0"/>
        <w:rPr>
          <w:sz w:val="21"/>
          <w:szCs w:val="21"/>
        </w:rPr>
      </w:pPr>
      <w:r>
        <w:rPr>
          <w:spacing w:val="-1"/>
          <w:sz w:val="21"/>
          <w:szCs w:val="21"/>
        </w:rPr>
        <w:t>13.6</w:t>
      </w:r>
      <w:r>
        <w:rPr>
          <w:spacing w:val="-22"/>
          <w:sz w:val="21"/>
          <w:szCs w:val="21"/>
        </w:rPr>
        <w:t xml:space="preserve"> </w:t>
      </w:r>
      <w:r>
        <w:rPr>
          <w:spacing w:val="-1"/>
          <w:sz w:val="21"/>
          <w:szCs w:val="21"/>
        </w:rPr>
        <w:t>设计人在设计过程中因侵犯他人的专利权或其他知识产权所引起的责任，由设计人承</w:t>
      </w:r>
      <w:r>
        <w:rPr>
          <w:sz w:val="21"/>
          <w:szCs w:val="21"/>
        </w:rPr>
        <w:t xml:space="preserve"> </w:t>
      </w:r>
      <w:r>
        <w:rPr>
          <w:spacing w:val="-1"/>
          <w:sz w:val="21"/>
          <w:szCs w:val="21"/>
        </w:rPr>
        <w:t>担，并承担因侵权行为给发包人造成的损失。</w:t>
      </w:r>
    </w:p>
    <w:p>
      <w:pPr>
        <w:pStyle w:val="11"/>
        <w:spacing w:before="78" w:line="221" w:lineRule="auto"/>
        <w:ind w:left="458"/>
        <w:outlineLvl w:val="1"/>
        <w:rPr>
          <w:sz w:val="21"/>
          <w:szCs w:val="21"/>
        </w:rPr>
      </w:pPr>
      <w:r>
        <w:rPr>
          <w:b/>
          <w:bCs/>
          <w:spacing w:val="-4"/>
          <w:sz w:val="21"/>
          <w:szCs w:val="21"/>
        </w:rPr>
        <w:t>14.</w:t>
      </w:r>
      <w:r>
        <w:rPr>
          <w:spacing w:val="-4"/>
          <w:sz w:val="21"/>
          <w:szCs w:val="21"/>
        </w:rPr>
        <w:t xml:space="preserve"> </w:t>
      </w:r>
      <w:r>
        <w:rPr>
          <w:b/>
          <w:bCs/>
          <w:spacing w:val="-4"/>
          <w:sz w:val="21"/>
          <w:szCs w:val="21"/>
        </w:rPr>
        <w:t>违约责任</w:t>
      </w:r>
    </w:p>
    <w:p>
      <w:pPr>
        <w:pStyle w:val="11"/>
        <w:spacing w:before="80" w:line="221" w:lineRule="auto"/>
        <w:ind w:left="455"/>
        <w:outlineLvl w:val="2"/>
        <w:rPr>
          <w:sz w:val="21"/>
          <w:szCs w:val="21"/>
        </w:rPr>
      </w:pPr>
      <w:r>
        <w:rPr>
          <w:spacing w:val="-2"/>
          <w:sz w:val="21"/>
          <w:szCs w:val="21"/>
        </w:rPr>
        <w:t>14.1 发包人违约责任</w:t>
      </w:r>
    </w:p>
    <w:p>
      <w:pPr>
        <w:pStyle w:val="11"/>
        <w:spacing w:before="77" w:line="221" w:lineRule="auto"/>
        <w:ind w:left="455"/>
        <w:rPr>
          <w:sz w:val="21"/>
          <w:szCs w:val="21"/>
        </w:rPr>
      </w:pPr>
      <w:r>
        <w:rPr>
          <w:spacing w:val="-1"/>
          <w:sz w:val="21"/>
          <w:szCs w:val="21"/>
        </w:rPr>
        <w:t>14.1.1 发包人支付设计人的违约金：</w:t>
      </w:r>
      <w:r>
        <w:rPr>
          <w:spacing w:val="-1"/>
          <w:sz w:val="21"/>
          <w:szCs w:val="21"/>
          <w:u w:val="single" w:color="auto"/>
        </w:rPr>
        <w:t xml:space="preserve">   无   </w:t>
      </w:r>
      <w:r>
        <w:rPr>
          <w:spacing w:val="-1"/>
          <w:sz w:val="21"/>
          <w:szCs w:val="21"/>
        </w:rPr>
        <w:t>。</w:t>
      </w:r>
    </w:p>
    <w:p>
      <w:pPr>
        <w:pStyle w:val="11"/>
        <w:spacing w:before="80" w:line="221" w:lineRule="auto"/>
        <w:ind w:left="455"/>
        <w:rPr>
          <w:sz w:val="21"/>
          <w:szCs w:val="21"/>
        </w:rPr>
      </w:pPr>
      <w:r>
        <w:rPr>
          <w:spacing w:val="-1"/>
          <w:sz w:val="21"/>
          <w:szCs w:val="21"/>
        </w:rPr>
        <w:t>14.1.2 发包人逾期支付设计费的违约金：</w:t>
      </w:r>
      <w:r>
        <w:rPr>
          <w:spacing w:val="-1"/>
          <w:sz w:val="21"/>
          <w:szCs w:val="21"/>
          <w:u w:val="single" w:color="auto"/>
        </w:rPr>
        <w:t xml:space="preserve">  无      </w:t>
      </w:r>
      <w:r>
        <w:rPr>
          <w:spacing w:val="-1"/>
          <w:sz w:val="21"/>
          <w:szCs w:val="21"/>
        </w:rPr>
        <w:t>。</w:t>
      </w:r>
    </w:p>
    <w:p>
      <w:pPr>
        <w:pStyle w:val="11"/>
        <w:spacing w:before="77" w:line="221" w:lineRule="auto"/>
        <w:ind w:left="455"/>
        <w:outlineLvl w:val="2"/>
        <w:rPr>
          <w:sz w:val="21"/>
          <w:szCs w:val="21"/>
        </w:rPr>
      </w:pPr>
      <w:r>
        <w:rPr>
          <w:spacing w:val="-2"/>
          <w:sz w:val="21"/>
          <w:szCs w:val="21"/>
        </w:rPr>
        <w:t>14.2 设计人违约责任</w:t>
      </w:r>
    </w:p>
    <w:p>
      <w:pPr>
        <w:pStyle w:val="11"/>
        <w:spacing w:before="80" w:line="220" w:lineRule="auto"/>
        <w:ind w:left="455"/>
        <w:rPr>
          <w:spacing w:val="-1"/>
          <w:sz w:val="21"/>
          <w:szCs w:val="21"/>
        </w:rPr>
      </w:pPr>
      <w:r>
        <w:rPr>
          <w:spacing w:val="-1"/>
          <w:sz w:val="21"/>
          <w:szCs w:val="21"/>
        </w:rPr>
        <w:t>14.2.1 设计人支付发包人的违约金：</w:t>
      </w:r>
      <w:r>
        <w:rPr>
          <w:spacing w:val="-1"/>
          <w:sz w:val="21"/>
          <w:szCs w:val="21"/>
          <w:u w:val="single" w:color="auto"/>
        </w:rPr>
        <w:t xml:space="preserve">   按本专用合同条款的</w:t>
      </w:r>
      <w:r>
        <w:rPr>
          <w:spacing w:val="-26"/>
          <w:sz w:val="21"/>
          <w:szCs w:val="21"/>
          <w:u w:val="single" w:color="auto"/>
        </w:rPr>
        <w:t xml:space="preserve"> </w:t>
      </w:r>
      <w:r>
        <w:rPr>
          <w:spacing w:val="-1"/>
          <w:sz w:val="21"/>
          <w:szCs w:val="21"/>
          <w:u w:val="single" w:color="auto"/>
        </w:rPr>
        <w:t xml:space="preserve">14.2.2             </w:t>
      </w:r>
      <w:r>
        <w:rPr>
          <w:spacing w:val="-1"/>
          <w:sz w:val="21"/>
          <w:szCs w:val="21"/>
        </w:rPr>
        <w:t>。</w:t>
      </w:r>
    </w:p>
    <w:p>
      <w:pPr>
        <w:pStyle w:val="11"/>
        <w:spacing w:before="80" w:line="220" w:lineRule="auto"/>
        <w:ind w:left="-200" w:leftChars="0" w:hanging="69" w:firstLineChars="0"/>
        <w:rPr>
          <w:spacing w:val="-10"/>
          <w:sz w:val="21"/>
          <w:szCs w:val="21"/>
          <w:u w:val="single" w:color="auto"/>
        </w:rPr>
      </w:pPr>
      <w:r>
        <w:rPr>
          <w:spacing w:val="-1"/>
          <w:sz w:val="21"/>
          <w:szCs w:val="21"/>
        </w:rPr>
        <w:t>14.2.2 设计人逾期交付工程设计文件的违约金：</w:t>
      </w:r>
      <w:r>
        <w:rPr>
          <w:spacing w:val="-39"/>
          <w:sz w:val="21"/>
          <w:szCs w:val="21"/>
        </w:rPr>
        <w:t xml:space="preserve"> </w:t>
      </w:r>
      <w:r>
        <w:rPr>
          <w:spacing w:val="-1"/>
          <w:sz w:val="21"/>
          <w:szCs w:val="21"/>
          <w:u w:val="single" w:color="auto"/>
        </w:rPr>
        <w:t>合同</w:t>
      </w:r>
      <w:r>
        <w:rPr>
          <w:spacing w:val="-2"/>
          <w:sz w:val="21"/>
          <w:szCs w:val="21"/>
          <w:u w:val="single" w:color="auto"/>
        </w:rPr>
        <w:t>生效后，设计人因自身原因要求终</w:t>
      </w:r>
      <w:r>
        <w:rPr>
          <w:sz w:val="21"/>
          <w:szCs w:val="21"/>
        </w:rPr>
        <w:t xml:space="preserve"> </w:t>
      </w:r>
      <w:r>
        <w:rPr>
          <w:spacing w:val="-2"/>
          <w:sz w:val="21"/>
          <w:szCs w:val="21"/>
          <w:u w:val="single" w:color="auto"/>
        </w:rPr>
        <w:t>止或解除合同的，视为违约。设计人除双倍返还发包人已支付的设计费外发包人有权没收设计</w:t>
      </w:r>
      <w:r>
        <w:rPr>
          <w:spacing w:val="9"/>
          <w:sz w:val="21"/>
          <w:szCs w:val="21"/>
        </w:rPr>
        <w:t xml:space="preserve"> </w:t>
      </w:r>
      <w:r>
        <w:rPr>
          <w:spacing w:val="-10"/>
          <w:sz w:val="21"/>
          <w:szCs w:val="21"/>
          <w:u w:val="single" w:color="auto"/>
        </w:rPr>
        <w:t>人的履约保证金及低价风险保证金（如有</w:t>
      </w:r>
      <w:r>
        <w:rPr>
          <w:spacing w:val="-54"/>
          <w:sz w:val="21"/>
          <w:szCs w:val="21"/>
          <w:u w:val="single" w:color="auto"/>
        </w:rPr>
        <w:t>），</w:t>
      </w:r>
      <w:r>
        <w:rPr>
          <w:spacing w:val="-10"/>
          <w:sz w:val="21"/>
          <w:szCs w:val="21"/>
          <w:u w:val="single" w:color="auto"/>
        </w:rPr>
        <w:t>设计人承担违约给发包人造成的一切损失及责任。</w:t>
      </w:r>
    </w:p>
    <w:p>
      <w:pPr>
        <w:pStyle w:val="11"/>
        <w:spacing w:before="80" w:line="220" w:lineRule="auto"/>
        <w:ind w:left="-200" w:leftChars="0" w:hanging="69" w:firstLineChars="0"/>
        <w:rPr>
          <w:spacing w:val="-10"/>
          <w:sz w:val="21"/>
          <w:szCs w:val="21"/>
          <w:u w:val="single" w:color="auto"/>
        </w:rPr>
      </w:pPr>
      <w:r>
        <w:rPr>
          <w:spacing w:val="-2"/>
          <w:sz w:val="21"/>
          <w:szCs w:val="21"/>
          <w:u w:val="single" w:color="auto"/>
        </w:rPr>
        <w:t>14.2.3由于设计人原因，未按合同约定时间交付设计资料的视为违约。每延误一天</w:t>
      </w:r>
      <w:r>
        <w:rPr>
          <w:spacing w:val="-3"/>
          <w:sz w:val="21"/>
          <w:szCs w:val="21"/>
          <w:u w:val="single" w:color="auto"/>
        </w:rPr>
        <w:t>，应减</w:t>
      </w:r>
      <w:r>
        <w:rPr>
          <w:sz w:val="21"/>
          <w:szCs w:val="21"/>
        </w:rPr>
        <w:t xml:space="preserve"> </w:t>
      </w:r>
      <w:r>
        <w:rPr>
          <w:spacing w:val="-6"/>
          <w:sz w:val="21"/>
          <w:szCs w:val="21"/>
          <w:u w:val="single" w:color="auto"/>
        </w:rPr>
        <w:t>收设计费的万分之五。逾期超过10天的，</w:t>
      </w:r>
      <w:r>
        <w:rPr>
          <w:spacing w:val="-7"/>
          <w:sz w:val="21"/>
          <w:szCs w:val="21"/>
          <w:u w:val="single" w:color="auto"/>
        </w:rPr>
        <w:t>发包人有权解除合同并没收设计人的履约保证金。因设</w:t>
      </w:r>
      <w:r>
        <w:rPr>
          <w:sz w:val="21"/>
          <w:szCs w:val="21"/>
        </w:rPr>
        <w:t xml:space="preserve"> </w:t>
      </w:r>
      <w:r>
        <w:rPr>
          <w:spacing w:val="-1"/>
          <w:sz w:val="21"/>
          <w:szCs w:val="21"/>
          <w:u w:val="single" w:color="auto"/>
        </w:rPr>
        <w:t>计人原因导致发包人解除合同的，设计人应向发包人支</w:t>
      </w:r>
      <w:r>
        <w:rPr>
          <w:spacing w:val="-2"/>
          <w:sz w:val="21"/>
          <w:szCs w:val="21"/>
          <w:u w:val="single" w:color="auto"/>
        </w:rPr>
        <w:t>付合同暂定金额 20%的违约金，如违约</w:t>
      </w:r>
      <w:r>
        <w:rPr>
          <w:sz w:val="21"/>
          <w:szCs w:val="21"/>
        </w:rPr>
        <w:t xml:space="preserve"> </w:t>
      </w:r>
      <w:r>
        <w:rPr>
          <w:spacing w:val="-10"/>
          <w:sz w:val="21"/>
          <w:szCs w:val="21"/>
          <w:u w:val="single" w:color="auto"/>
        </w:rPr>
        <w:t>金不足以弥补发包人损失的，设计人按实际损失额赔偿。</w:t>
      </w:r>
    </w:p>
    <w:p>
      <w:pPr>
        <w:pStyle w:val="11"/>
        <w:spacing w:before="80" w:line="220" w:lineRule="auto"/>
        <w:ind w:left="-200" w:leftChars="0" w:hanging="69" w:firstLineChars="0"/>
        <w:rPr>
          <w:spacing w:val="1"/>
          <w:sz w:val="21"/>
          <w:szCs w:val="21"/>
          <w:u w:val="single" w:color="auto"/>
        </w:rPr>
      </w:pPr>
      <w:r>
        <w:rPr>
          <w:spacing w:val="-4"/>
          <w:sz w:val="21"/>
          <w:szCs w:val="21"/>
          <w:u w:val="single" w:color="auto"/>
        </w:rPr>
        <w:t>14.2.4设计人对工程设计文件出现的遗漏或错误负责修改或补充。由于设计人原</w:t>
      </w:r>
      <w:r>
        <w:rPr>
          <w:spacing w:val="-5"/>
          <w:sz w:val="21"/>
          <w:szCs w:val="21"/>
          <w:u w:val="single" w:color="auto"/>
        </w:rPr>
        <w:t>因产生的</w:t>
      </w:r>
      <w:r>
        <w:rPr>
          <w:sz w:val="21"/>
          <w:szCs w:val="21"/>
        </w:rPr>
        <w:t xml:space="preserve"> </w:t>
      </w:r>
      <w:r>
        <w:rPr>
          <w:spacing w:val="-6"/>
          <w:sz w:val="21"/>
          <w:szCs w:val="21"/>
          <w:u w:val="single" w:color="auto"/>
        </w:rPr>
        <w:t>设计问题造成工程质量事故或其他事故的，视为违约。设计人除负责</w:t>
      </w:r>
      <w:r>
        <w:rPr>
          <w:spacing w:val="-7"/>
          <w:sz w:val="21"/>
          <w:szCs w:val="21"/>
          <w:u w:val="single" w:color="auto"/>
        </w:rPr>
        <w:t>采取补救措施外，应免收受</w:t>
      </w:r>
      <w:r>
        <w:rPr>
          <w:sz w:val="21"/>
          <w:szCs w:val="21"/>
        </w:rPr>
        <w:t xml:space="preserve"> </w:t>
      </w:r>
      <w:r>
        <w:rPr>
          <w:spacing w:val="-6"/>
          <w:sz w:val="21"/>
          <w:szCs w:val="21"/>
          <w:u w:val="single" w:color="auto"/>
        </w:rPr>
        <w:t>损失部分的设计费，损失严重的根据损失的程度和设计人责任</w:t>
      </w:r>
      <w:r>
        <w:rPr>
          <w:spacing w:val="-7"/>
          <w:sz w:val="21"/>
          <w:szCs w:val="21"/>
          <w:u w:val="single" w:color="auto"/>
        </w:rPr>
        <w:t>大小向发包人支付赔偿金，赔偿金</w:t>
      </w:r>
      <w:r>
        <w:rPr>
          <w:spacing w:val="1"/>
          <w:sz w:val="21"/>
          <w:szCs w:val="21"/>
          <w:u w:val="single" w:color="auto"/>
        </w:rPr>
        <w:t>由双方商定为实际损失的100%。</w:t>
      </w:r>
    </w:p>
    <w:p>
      <w:pPr>
        <w:pStyle w:val="11"/>
        <w:spacing w:before="80" w:line="220" w:lineRule="auto"/>
        <w:ind w:left="-200" w:leftChars="0" w:hanging="69" w:firstLineChars="0"/>
        <w:rPr>
          <w:spacing w:val="-6"/>
          <w:sz w:val="21"/>
          <w:szCs w:val="21"/>
          <w:u w:val="single" w:color="auto"/>
        </w:rPr>
      </w:pPr>
      <w:r>
        <w:rPr>
          <w:spacing w:val="-4"/>
          <w:sz w:val="21"/>
          <w:szCs w:val="21"/>
          <w:u w:val="single" w:color="auto"/>
        </w:rPr>
        <w:t>14.2.5 设计人提交的工作成果深度未达到要求</w:t>
      </w:r>
      <w:r>
        <w:rPr>
          <w:spacing w:val="-5"/>
          <w:sz w:val="21"/>
          <w:szCs w:val="21"/>
          <w:u w:val="single" w:color="auto"/>
        </w:rPr>
        <w:t>，视为违约。设计人除无条件在发包人指定</w:t>
      </w:r>
      <w:r>
        <w:rPr>
          <w:sz w:val="21"/>
          <w:szCs w:val="21"/>
        </w:rPr>
        <w:t xml:space="preserve"> </w:t>
      </w:r>
      <w:r>
        <w:rPr>
          <w:spacing w:val="-4"/>
          <w:sz w:val="21"/>
          <w:szCs w:val="21"/>
          <w:u w:val="single" w:color="auto"/>
        </w:rPr>
        <w:t>时间内返工</w:t>
      </w:r>
      <w:r>
        <w:rPr>
          <w:spacing w:val="-6"/>
          <w:sz w:val="21"/>
          <w:szCs w:val="21"/>
          <w:u w:val="single" w:color="auto"/>
        </w:rPr>
        <w:t>完毕并达到深度要求外，费用结算时还应扣减该部分合同暂定价 40%的违约金。以上有关违约处罚，所有违约金全部从设计人履约保证金中扣除。在本合同期内，履约保证金因设计人违约扣除罚金后而不足额的，设计人应在接收到发包人通知后5个工作日内补足 履约保证金。</w:t>
      </w:r>
    </w:p>
    <w:p>
      <w:pPr>
        <w:pStyle w:val="11"/>
        <w:spacing w:before="80" w:line="220" w:lineRule="auto"/>
        <w:ind w:left="-200" w:leftChars="0" w:hanging="69" w:firstLineChars="0"/>
        <w:rPr>
          <w:rFonts w:hint="eastAsia"/>
          <w:spacing w:val="-6"/>
          <w:sz w:val="21"/>
          <w:szCs w:val="21"/>
          <w:u w:val="single" w:color="auto"/>
          <w:lang w:val="en-US" w:eastAsia="zh-CN"/>
        </w:rPr>
      </w:pPr>
      <w:r>
        <w:rPr>
          <w:rFonts w:hint="eastAsia"/>
          <w:spacing w:val="-6"/>
          <w:sz w:val="21"/>
          <w:szCs w:val="21"/>
          <w:u w:val="single" w:color="auto"/>
          <w:lang w:val="en-US" w:eastAsia="zh-CN"/>
        </w:rPr>
        <w:t>14.2.6设计人因违约而应向甲方支付的违约金、损失赔偿金等款项，发包人有权在应付未付款项、履约保证金中直接扣除；不足部分，发包人有权继续追偿。</w:t>
      </w:r>
    </w:p>
    <w:p>
      <w:pPr>
        <w:pStyle w:val="11"/>
        <w:spacing w:before="80" w:line="220" w:lineRule="auto"/>
        <w:ind w:left="-200" w:leftChars="0" w:hanging="69" w:firstLineChars="0"/>
        <w:rPr>
          <w:rFonts w:hint="default"/>
          <w:spacing w:val="-6"/>
          <w:sz w:val="21"/>
          <w:szCs w:val="21"/>
          <w:u w:val="single" w:color="auto"/>
          <w:lang w:val="en-US" w:eastAsia="zh-CN"/>
        </w:rPr>
      </w:pPr>
      <w:r>
        <w:rPr>
          <w:rFonts w:hint="eastAsia"/>
          <w:spacing w:val="-6"/>
          <w:sz w:val="21"/>
          <w:szCs w:val="21"/>
          <w:u w:val="single" w:color="auto"/>
          <w:lang w:val="en-US" w:eastAsia="zh-CN"/>
        </w:rPr>
        <w:t>14.2.7设计人因违约而应向发包人支付的违约金、损失赔偿金等款项，发包人有权在应付未付款项、工程质量保证金和履约保证金中直接扣除；不足部分，发包人有权继续追偿。 因设计人违约而应向发包人赔偿损失的范围包括但不限于诉讼费、保全费、保全保险费、守约方聘请律师的费用、差旅费、鉴定费、公证费、发包人向第三方赔偿的款项、行政罚款、补开发票产生的税款等。</w:t>
      </w:r>
    </w:p>
    <w:p>
      <w:pPr>
        <w:pStyle w:val="11"/>
        <w:spacing w:before="30" w:line="221" w:lineRule="auto"/>
        <w:ind w:left="458"/>
        <w:outlineLvl w:val="1"/>
        <w:rPr>
          <w:sz w:val="21"/>
          <w:szCs w:val="21"/>
        </w:rPr>
      </w:pPr>
      <w:r>
        <w:rPr>
          <w:b/>
          <w:bCs/>
          <w:spacing w:val="-7"/>
          <w:sz w:val="21"/>
          <w:szCs w:val="21"/>
        </w:rPr>
        <w:t>15.</w:t>
      </w:r>
      <w:r>
        <w:rPr>
          <w:spacing w:val="17"/>
          <w:sz w:val="21"/>
          <w:szCs w:val="21"/>
        </w:rPr>
        <w:t xml:space="preserve"> </w:t>
      </w:r>
      <w:r>
        <w:rPr>
          <w:b/>
          <w:bCs/>
          <w:spacing w:val="-7"/>
          <w:sz w:val="21"/>
          <w:szCs w:val="21"/>
        </w:rPr>
        <w:t>不可抗力</w:t>
      </w:r>
    </w:p>
    <w:p>
      <w:pPr>
        <w:pStyle w:val="11"/>
        <w:spacing w:before="77" w:line="221" w:lineRule="auto"/>
        <w:ind w:left="455"/>
        <w:outlineLvl w:val="2"/>
        <w:rPr>
          <w:sz w:val="21"/>
          <w:szCs w:val="21"/>
        </w:rPr>
      </w:pPr>
      <w:r>
        <w:rPr>
          <w:spacing w:val="-2"/>
          <w:sz w:val="21"/>
          <w:szCs w:val="21"/>
        </w:rPr>
        <w:t>15.1 不可抗力的确认</w:t>
      </w:r>
    </w:p>
    <w:p>
      <w:pPr>
        <w:pStyle w:val="11"/>
        <w:spacing w:before="76" w:line="287" w:lineRule="auto"/>
        <w:ind w:left="20" w:firstLine="432"/>
        <w:jc w:val="both"/>
        <w:rPr>
          <w:sz w:val="21"/>
          <w:szCs w:val="21"/>
        </w:rPr>
      </w:pPr>
      <w:r>
        <w:rPr>
          <w:spacing w:val="-2"/>
          <w:sz w:val="21"/>
          <w:szCs w:val="21"/>
        </w:rPr>
        <w:t>除通用合同条款约定的不可抗力事件之外，视为不可抗力的其他情形：</w:t>
      </w:r>
      <w:r>
        <w:rPr>
          <w:spacing w:val="-2"/>
          <w:sz w:val="21"/>
          <w:szCs w:val="21"/>
          <w:u w:val="single" w:color="auto"/>
        </w:rPr>
        <w:t xml:space="preserve"> 因政府或相关主管</w:t>
      </w:r>
      <w:r>
        <w:rPr>
          <w:spacing w:val="18"/>
          <w:sz w:val="21"/>
          <w:szCs w:val="21"/>
        </w:rPr>
        <w:t xml:space="preserve"> </w:t>
      </w:r>
      <w:r>
        <w:rPr>
          <w:spacing w:val="-1"/>
          <w:sz w:val="21"/>
          <w:szCs w:val="21"/>
          <w:u w:val="single" w:color="auto"/>
        </w:rPr>
        <w:t>部门要求导致项目中断设计。1、不可抗力是指不能预见、不能避免并不能克</w:t>
      </w:r>
      <w:r>
        <w:rPr>
          <w:spacing w:val="-2"/>
          <w:sz w:val="21"/>
          <w:szCs w:val="21"/>
          <w:u w:val="single" w:color="auto"/>
        </w:rPr>
        <w:t>服的客观情况，包</w:t>
      </w:r>
      <w:r>
        <w:rPr>
          <w:sz w:val="21"/>
          <w:szCs w:val="21"/>
        </w:rPr>
        <w:t xml:space="preserve"> </w:t>
      </w:r>
      <w:r>
        <w:rPr>
          <w:sz w:val="21"/>
          <w:szCs w:val="21"/>
          <w:u w:val="single" w:color="auto"/>
        </w:rPr>
        <w:t>括洪水、地震、疫情等自然原因，战争、政变、政府行为等社会及政府行为原因等。2、</w:t>
      </w:r>
      <w:r>
        <w:rPr>
          <w:spacing w:val="-1"/>
          <w:sz w:val="21"/>
          <w:szCs w:val="21"/>
          <w:u w:val="single" w:color="auto"/>
        </w:rPr>
        <w:t>主张</w:t>
      </w:r>
      <w:r>
        <w:rPr>
          <w:sz w:val="21"/>
          <w:szCs w:val="21"/>
          <w:u w:val="single" w:color="auto"/>
        </w:rPr>
        <w:t>发生不可抗力的一方应在不可抗力事件发生后及时书面通知其他各方，并在其后的十五(15</w:t>
      </w:r>
      <w:r>
        <w:rPr>
          <w:spacing w:val="-1"/>
          <w:sz w:val="21"/>
          <w:szCs w:val="21"/>
          <w:u w:val="single" w:color="auto"/>
        </w:rPr>
        <w:t>)天</w:t>
      </w:r>
      <w:r>
        <w:rPr>
          <w:spacing w:val="-2"/>
          <w:sz w:val="21"/>
          <w:szCs w:val="21"/>
          <w:u w:val="single" w:color="auto"/>
        </w:rPr>
        <w:t>内提供证明不可抗力发生及其持续时间的足够证据。3、 不可抗力事件，各方</w:t>
      </w:r>
      <w:r>
        <w:rPr>
          <w:spacing w:val="-3"/>
          <w:sz w:val="21"/>
          <w:szCs w:val="21"/>
          <w:u w:val="single" w:color="auto"/>
        </w:rPr>
        <w:t>应立即互相协商，</w:t>
      </w:r>
      <w:r>
        <w:rPr>
          <w:sz w:val="21"/>
          <w:szCs w:val="21"/>
          <w:u w:val="single" w:color="auto"/>
        </w:rPr>
        <w:t>以找到公平的解决办法，并且应尽一切合理努力将不可抗力的影响减少到最低限度。如不</w:t>
      </w:r>
      <w:r>
        <w:rPr>
          <w:spacing w:val="-1"/>
          <w:sz w:val="21"/>
          <w:szCs w:val="21"/>
          <w:u w:val="single" w:color="auto"/>
        </w:rPr>
        <w:t>可抗</w:t>
      </w:r>
      <w:r>
        <w:rPr>
          <w:sz w:val="21"/>
          <w:szCs w:val="21"/>
          <w:u w:val="single" w:color="auto"/>
        </w:rPr>
        <w:t>力的发生或后果对合同的履行造成重大妨碍，时间超过六个月，并且各方没有找到公平的</w:t>
      </w:r>
      <w:r>
        <w:rPr>
          <w:spacing w:val="-1"/>
          <w:sz w:val="21"/>
          <w:szCs w:val="21"/>
          <w:u w:val="single" w:color="auto"/>
        </w:rPr>
        <w:t>解决</w:t>
      </w:r>
      <w:r>
        <w:rPr>
          <w:sz w:val="21"/>
          <w:szCs w:val="21"/>
          <w:u w:val="single" w:color="auto"/>
        </w:rPr>
        <w:t>办法，则任何一方可终止本协议的程序，但条件是该方已履行其在本条项下的义务。</w:t>
      </w:r>
    </w:p>
    <w:p>
      <w:pPr>
        <w:pStyle w:val="11"/>
        <w:spacing w:before="152" w:line="221" w:lineRule="auto"/>
        <w:ind w:left="458"/>
        <w:rPr>
          <w:sz w:val="21"/>
          <w:szCs w:val="21"/>
        </w:rPr>
      </w:pPr>
      <w:r>
        <w:rPr>
          <w:b/>
          <w:bCs/>
          <w:spacing w:val="-6"/>
          <w:sz w:val="21"/>
          <w:szCs w:val="21"/>
        </w:rPr>
        <w:t>16.</w:t>
      </w:r>
      <w:r>
        <w:rPr>
          <w:spacing w:val="9"/>
          <w:sz w:val="21"/>
          <w:szCs w:val="21"/>
        </w:rPr>
        <w:t xml:space="preserve"> </w:t>
      </w:r>
      <w:r>
        <w:rPr>
          <w:b/>
          <w:bCs/>
          <w:spacing w:val="-6"/>
          <w:sz w:val="21"/>
          <w:szCs w:val="21"/>
        </w:rPr>
        <w:t>合同解除</w:t>
      </w:r>
    </w:p>
    <w:p>
      <w:pPr>
        <w:pStyle w:val="11"/>
        <w:spacing w:before="77" w:line="221" w:lineRule="auto"/>
        <w:ind w:left="455"/>
        <w:rPr>
          <w:sz w:val="21"/>
          <w:szCs w:val="21"/>
        </w:rPr>
      </w:pPr>
      <w:r>
        <w:rPr>
          <w:spacing w:val="-3"/>
          <w:sz w:val="21"/>
          <w:szCs w:val="21"/>
        </w:rPr>
        <w:t>16.1</w:t>
      </w:r>
      <w:r>
        <w:rPr>
          <w:spacing w:val="-39"/>
          <w:sz w:val="21"/>
          <w:szCs w:val="21"/>
        </w:rPr>
        <w:t xml:space="preserve"> </w:t>
      </w:r>
      <w:r>
        <w:rPr>
          <w:spacing w:val="-3"/>
          <w:sz w:val="21"/>
          <w:szCs w:val="21"/>
        </w:rPr>
        <w:t>有下列情形之一的，可以解除合同：</w:t>
      </w:r>
    </w:p>
    <w:p>
      <w:pPr>
        <w:pStyle w:val="11"/>
        <w:spacing w:before="81" w:line="221" w:lineRule="auto"/>
        <w:ind w:left="446"/>
        <w:rPr>
          <w:spacing w:val="-4"/>
          <w:sz w:val="21"/>
          <w:szCs w:val="21"/>
        </w:rPr>
      </w:pPr>
      <w:r>
        <w:rPr>
          <w:spacing w:val="-4"/>
          <w:sz w:val="21"/>
          <w:szCs w:val="21"/>
        </w:rPr>
        <w:t>（1）暂停设计期限已连续超过</w:t>
      </w:r>
      <w:r>
        <w:rPr>
          <w:spacing w:val="-12"/>
          <w:sz w:val="21"/>
          <w:szCs w:val="21"/>
        </w:rPr>
        <w:t xml:space="preserve"> </w:t>
      </w:r>
      <w:r>
        <w:rPr>
          <w:spacing w:val="-4"/>
          <w:sz w:val="21"/>
          <w:szCs w:val="21"/>
          <w:u w:val="single" w:color="auto"/>
        </w:rPr>
        <w:t>180</w:t>
      </w:r>
      <w:r>
        <w:rPr>
          <w:spacing w:val="-40"/>
          <w:sz w:val="21"/>
          <w:szCs w:val="21"/>
          <w:u w:val="single" w:color="auto"/>
        </w:rPr>
        <w:t xml:space="preserve"> </w:t>
      </w:r>
      <w:r>
        <w:rPr>
          <w:spacing w:val="-4"/>
          <w:sz w:val="21"/>
          <w:szCs w:val="21"/>
        </w:rPr>
        <w:t>天。</w:t>
      </w:r>
    </w:p>
    <w:p>
      <w:pPr>
        <w:pStyle w:val="11"/>
        <w:spacing w:before="81" w:line="221" w:lineRule="auto"/>
        <w:ind w:left="446"/>
        <w:rPr>
          <w:spacing w:val="-4"/>
          <w:sz w:val="21"/>
          <w:szCs w:val="21"/>
        </w:rPr>
      </w:pPr>
      <w:r>
        <w:rPr>
          <w:spacing w:val="-2"/>
          <w:sz w:val="21"/>
          <w:szCs w:val="21"/>
        </w:rPr>
        <w:t>（2）因设计人原因造成设计文件不合格致使审查无法通过达到</w:t>
      </w:r>
      <w:r>
        <w:rPr>
          <w:spacing w:val="-40"/>
          <w:sz w:val="21"/>
          <w:szCs w:val="21"/>
        </w:rPr>
        <w:t xml:space="preserve"> </w:t>
      </w:r>
      <w:r>
        <w:rPr>
          <w:spacing w:val="-2"/>
          <w:sz w:val="21"/>
          <w:szCs w:val="21"/>
        </w:rPr>
        <w:t>3</w:t>
      </w:r>
      <w:r>
        <w:rPr>
          <w:spacing w:val="-38"/>
          <w:sz w:val="21"/>
          <w:szCs w:val="21"/>
        </w:rPr>
        <w:t xml:space="preserve"> </w:t>
      </w:r>
      <w:r>
        <w:rPr>
          <w:spacing w:val="-2"/>
          <w:sz w:val="21"/>
          <w:szCs w:val="21"/>
        </w:rPr>
        <w:t>次的，发包人有权</w:t>
      </w:r>
      <w:r>
        <w:rPr>
          <w:spacing w:val="-3"/>
          <w:sz w:val="21"/>
          <w:szCs w:val="21"/>
        </w:rPr>
        <w:t>单方面</w:t>
      </w:r>
      <w:r>
        <w:rPr>
          <w:sz w:val="21"/>
          <w:szCs w:val="21"/>
        </w:rPr>
        <w:t xml:space="preserve"> </w:t>
      </w:r>
      <w:r>
        <w:rPr>
          <w:spacing w:val="-4"/>
          <w:sz w:val="21"/>
          <w:szCs w:val="21"/>
        </w:rPr>
        <w:t>解除合同。</w:t>
      </w:r>
    </w:p>
    <w:p>
      <w:pPr>
        <w:pStyle w:val="11"/>
        <w:keepNext w:val="0"/>
        <w:keepLines w:val="0"/>
        <w:pageBreakBefore w:val="0"/>
        <w:widowControl/>
        <w:kinsoku/>
        <w:wordWrap/>
        <w:overflowPunct/>
        <w:topLinePunct w:val="0"/>
        <w:autoSpaceDE/>
        <w:autoSpaceDN/>
        <w:bidi w:val="0"/>
        <w:adjustRightInd/>
        <w:snapToGrid/>
        <w:spacing w:before="0" w:line="240" w:lineRule="auto"/>
        <w:ind w:left="-261" w:right="-28" w:firstLine="0"/>
        <w:textAlignment w:val="auto"/>
        <w:rPr>
          <w:spacing w:val="-1"/>
          <w:sz w:val="21"/>
          <w:szCs w:val="21"/>
        </w:rPr>
      </w:pPr>
      <w:r>
        <w:rPr>
          <w:spacing w:val="-3"/>
          <w:sz w:val="21"/>
          <w:szCs w:val="21"/>
        </w:rPr>
        <w:t>（3）设计人应按专用合同条款第</w:t>
      </w:r>
      <w:r>
        <w:rPr>
          <w:spacing w:val="-36"/>
          <w:sz w:val="21"/>
          <w:szCs w:val="21"/>
        </w:rPr>
        <w:t xml:space="preserve"> </w:t>
      </w:r>
      <w:r>
        <w:rPr>
          <w:spacing w:val="-3"/>
          <w:sz w:val="21"/>
          <w:szCs w:val="21"/>
        </w:rPr>
        <w:t>7.2</w:t>
      </w:r>
      <w:r>
        <w:rPr>
          <w:spacing w:val="-45"/>
          <w:sz w:val="21"/>
          <w:szCs w:val="21"/>
        </w:rPr>
        <w:t xml:space="preserve"> </w:t>
      </w:r>
      <w:r>
        <w:rPr>
          <w:spacing w:val="-3"/>
          <w:sz w:val="21"/>
          <w:szCs w:val="21"/>
        </w:rPr>
        <w:t>条、附件</w:t>
      </w:r>
      <w:r>
        <w:rPr>
          <w:spacing w:val="-39"/>
          <w:sz w:val="21"/>
          <w:szCs w:val="21"/>
        </w:rPr>
        <w:t xml:space="preserve"> </w:t>
      </w:r>
      <w:r>
        <w:rPr>
          <w:spacing w:val="-3"/>
          <w:sz w:val="21"/>
          <w:szCs w:val="21"/>
        </w:rPr>
        <w:t>3</w:t>
      </w:r>
      <w:r>
        <w:rPr>
          <w:spacing w:val="-23"/>
          <w:sz w:val="21"/>
          <w:szCs w:val="21"/>
        </w:rPr>
        <w:t xml:space="preserve"> </w:t>
      </w:r>
      <w:r>
        <w:rPr>
          <w:spacing w:val="-3"/>
          <w:sz w:val="21"/>
          <w:szCs w:val="21"/>
        </w:rPr>
        <w:t>以及发包人根据工程进展情况要求的期限</w:t>
      </w:r>
      <w:r>
        <w:rPr>
          <w:sz w:val="21"/>
          <w:szCs w:val="21"/>
        </w:rPr>
        <w:t xml:space="preserve"> </w:t>
      </w:r>
      <w:r>
        <w:rPr>
          <w:spacing w:val="-2"/>
          <w:sz w:val="21"/>
          <w:szCs w:val="21"/>
        </w:rPr>
        <w:t>交付设计文件，单次交付阶段逾期超过</w:t>
      </w:r>
      <w:r>
        <w:rPr>
          <w:spacing w:val="-26"/>
          <w:sz w:val="21"/>
          <w:szCs w:val="21"/>
        </w:rPr>
        <w:t xml:space="preserve"> </w:t>
      </w:r>
      <w:r>
        <w:rPr>
          <w:spacing w:val="-2"/>
          <w:sz w:val="21"/>
          <w:szCs w:val="21"/>
        </w:rPr>
        <w:t>15 日历天的，发包人有权单方面解除</w:t>
      </w:r>
      <w:r>
        <w:rPr>
          <w:spacing w:val="-3"/>
          <w:sz w:val="21"/>
          <w:szCs w:val="21"/>
        </w:rPr>
        <w:t>合同。设计人有</w:t>
      </w:r>
      <w:r>
        <w:rPr>
          <w:spacing w:val="-39"/>
          <w:sz w:val="21"/>
          <w:szCs w:val="21"/>
        </w:rPr>
        <w:t xml:space="preserve"> </w:t>
      </w:r>
      <w:r>
        <w:rPr>
          <w:spacing w:val="-3"/>
          <w:sz w:val="21"/>
          <w:szCs w:val="21"/>
        </w:rPr>
        <w:t>2</w:t>
      </w:r>
      <w:r>
        <w:rPr>
          <w:sz w:val="21"/>
          <w:szCs w:val="21"/>
        </w:rPr>
        <w:t xml:space="preserve"> </w:t>
      </w:r>
      <w:r>
        <w:rPr>
          <w:spacing w:val="-1"/>
          <w:sz w:val="21"/>
          <w:szCs w:val="21"/>
        </w:rPr>
        <w:t>次（含</w:t>
      </w:r>
      <w:r>
        <w:rPr>
          <w:spacing w:val="-40"/>
          <w:sz w:val="21"/>
          <w:szCs w:val="21"/>
        </w:rPr>
        <w:t xml:space="preserve"> </w:t>
      </w:r>
      <w:r>
        <w:rPr>
          <w:spacing w:val="-1"/>
          <w:sz w:val="21"/>
          <w:szCs w:val="21"/>
        </w:rPr>
        <w:t>2</w:t>
      </w:r>
      <w:r>
        <w:rPr>
          <w:spacing w:val="-38"/>
          <w:sz w:val="21"/>
          <w:szCs w:val="21"/>
        </w:rPr>
        <w:t xml:space="preserve"> </w:t>
      </w:r>
      <w:r>
        <w:rPr>
          <w:spacing w:val="-1"/>
          <w:sz w:val="21"/>
          <w:szCs w:val="21"/>
        </w:rPr>
        <w:t>次）以上不依据发包人的通知或函告执行，发包人有权解除本合同。</w:t>
      </w:r>
    </w:p>
    <w:p>
      <w:pPr>
        <w:pStyle w:val="11"/>
        <w:keepNext w:val="0"/>
        <w:keepLines w:val="0"/>
        <w:pageBreakBefore w:val="0"/>
        <w:widowControl/>
        <w:kinsoku/>
        <w:wordWrap/>
        <w:overflowPunct/>
        <w:topLinePunct w:val="0"/>
        <w:autoSpaceDE/>
        <w:autoSpaceDN/>
        <w:bidi w:val="0"/>
        <w:adjustRightInd/>
        <w:snapToGrid/>
        <w:spacing w:before="0" w:line="240" w:lineRule="auto"/>
        <w:ind w:left="-261" w:right="-28" w:firstLine="0"/>
        <w:textAlignment w:val="auto"/>
        <w:rPr>
          <w:spacing w:val="-1"/>
          <w:sz w:val="21"/>
          <w:szCs w:val="21"/>
        </w:rPr>
      </w:pPr>
      <w:r>
        <w:rPr>
          <w:rFonts w:hint="eastAsia"/>
          <w:spacing w:val="-1"/>
          <w:sz w:val="21"/>
          <w:szCs w:val="21"/>
          <w:lang w:eastAsia="zh-CN"/>
        </w:rPr>
        <w:t>（</w:t>
      </w:r>
      <w:r>
        <w:rPr>
          <w:rFonts w:hint="eastAsia"/>
          <w:spacing w:val="-1"/>
          <w:sz w:val="21"/>
          <w:szCs w:val="21"/>
          <w:lang w:val="en-US" w:eastAsia="zh-CN"/>
        </w:rPr>
        <w:t>4）</w:t>
      </w:r>
      <w:r>
        <w:rPr>
          <w:spacing w:val="-1"/>
          <w:sz w:val="21"/>
          <w:szCs w:val="21"/>
        </w:rPr>
        <w:t>设计人需按发包人要求及合同约定时间按质履行合同，如果设计人存在不符合合同约定的违约行为，发包人有权将该部分工作直接分割，分包给第三方完成，所需费用由设计人承担，发包人有权从合同款中予以扣除，同时设计人所需承担责任不免除。</w:t>
      </w:r>
    </w:p>
    <w:p>
      <w:pPr>
        <w:pStyle w:val="11"/>
        <w:spacing w:before="28" w:line="221" w:lineRule="auto"/>
        <w:ind w:left="458"/>
        <w:outlineLvl w:val="1"/>
        <w:rPr>
          <w:sz w:val="21"/>
          <w:szCs w:val="21"/>
        </w:rPr>
      </w:pPr>
      <w:r>
        <w:rPr>
          <w:b/>
          <w:bCs/>
          <w:spacing w:val="-7"/>
          <w:sz w:val="21"/>
          <w:szCs w:val="21"/>
        </w:rPr>
        <w:t>17.</w:t>
      </w:r>
      <w:r>
        <w:rPr>
          <w:spacing w:val="17"/>
          <w:sz w:val="21"/>
          <w:szCs w:val="21"/>
        </w:rPr>
        <w:t xml:space="preserve"> </w:t>
      </w:r>
      <w:r>
        <w:rPr>
          <w:b/>
          <w:bCs/>
          <w:spacing w:val="-7"/>
          <w:sz w:val="21"/>
          <w:szCs w:val="21"/>
        </w:rPr>
        <w:t>争议解决</w:t>
      </w:r>
    </w:p>
    <w:p>
      <w:pPr>
        <w:pStyle w:val="11"/>
        <w:spacing w:before="80" w:line="221" w:lineRule="auto"/>
        <w:ind w:left="455"/>
        <w:outlineLvl w:val="2"/>
        <w:rPr>
          <w:sz w:val="21"/>
          <w:szCs w:val="21"/>
        </w:rPr>
      </w:pPr>
      <w:r>
        <w:rPr>
          <w:spacing w:val="-3"/>
          <w:sz w:val="21"/>
          <w:szCs w:val="21"/>
        </w:rPr>
        <w:t>17.4 仲裁或诉讼</w:t>
      </w:r>
    </w:p>
    <w:p>
      <w:pPr>
        <w:pStyle w:val="11"/>
        <w:spacing w:before="77" w:line="221" w:lineRule="auto"/>
        <w:ind w:left="456"/>
        <w:outlineLvl w:val="1"/>
        <w:rPr>
          <w:sz w:val="21"/>
          <w:szCs w:val="21"/>
        </w:rPr>
      </w:pPr>
      <w:r>
        <w:rPr>
          <w:spacing w:val="-1"/>
          <w:sz w:val="21"/>
          <w:szCs w:val="21"/>
        </w:rPr>
        <w:t>因合同及合同有关事项发生的争议，按下列第（1）种方式解决：</w:t>
      </w:r>
    </w:p>
    <w:p>
      <w:pPr>
        <w:pStyle w:val="11"/>
        <w:spacing w:before="80" w:line="220" w:lineRule="auto"/>
        <w:ind w:left="26"/>
        <w:outlineLvl w:val="1"/>
        <w:rPr>
          <w:sz w:val="21"/>
          <w:szCs w:val="21"/>
        </w:rPr>
      </w:pPr>
      <w:r>
        <w:rPr>
          <w:spacing w:val="-1"/>
          <w:sz w:val="21"/>
          <w:szCs w:val="21"/>
        </w:rPr>
        <w:t>（1）因本协议及本协议在履行过程中发生的争议，由各方友好协商解决，协商不成的</w:t>
      </w:r>
      <w:r>
        <w:rPr>
          <w:spacing w:val="-2"/>
          <w:sz w:val="21"/>
          <w:szCs w:val="21"/>
        </w:rPr>
        <w:t>，任何一</w:t>
      </w:r>
    </w:p>
    <w:p>
      <w:pPr>
        <w:pStyle w:val="11"/>
        <w:spacing w:before="79" w:line="220" w:lineRule="auto"/>
        <w:ind w:left="21"/>
        <w:rPr>
          <w:sz w:val="21"/>
          <w:szCs w:val="21"/>
        </w:rPr>
      </w:pPr>
      <w:r>
        <w:rPr>
          <w:spacing w:val="-1"/>
          <w:sz w:val="21"/>
          <w:szCs w:val="21"/>
        </w:rPr>
        <w:t>方均有权向发包人所在地有管辖权的人民法院起诉。</w:t>
      </w:r>
    </w:p>
    <w:p>
      <w:pPr>
        <w:pStyle w:val="11"/>
        <w:spacing w:before="81" w:line="220" w:lineRule="auto"/>
        <w:ind w:left="26"/>
        <w:outlineLvl w:val="1"/>
        <w:rPr>
          <w:sz w:val="21"/>
          <w:szCs w:val="21"/>
        </w:rPr>
      </w:pPr>
      <w:r>
        <w:rPr>
          <w:spacing w:val="-1"/>
          <w:sz w:val="21"/>
          <w:szCs w:val="21"/>
        </w:rPr>
        <w:t>（2）提请南宁仲裁委员会按照该会仲裁规则进行仲裁，仲裁裁决</w:t>
      </w:r>
      <w:r>
        <w:rPr>
          <w:spacing w:val="-2"/>
          <w:sz w:val="21"/>
          <w:szCs w:val="21"/>
        </w:rPr>
        <w:t>是终局的，对合同双方均有约</w:t>
      </w:r>
      <w:r>
        <w:rPr>
          <w:spacing w:val="-9"/>
          <w:sz w:val="21"/>
          <w:szCs w:val="21"/>
        </w:rPr>
        <w:t>束力。</w:t>
      </w:r>
    </w:p>
    <w:p>
      <w:pPr>
        <w:pStyle w:val="11"/>
        <w:spacing w:before="80" w:line="221" w:lineRule="auto"/>
        <w:ind w:left="458"/>
        <w:outlineLvl w:val="1"/>
        <w:rPr>
          <w:b/>
          <w:bCs/>
          <w:spacing w:val="-8"/>
          <w:sz w:val="21"/>
          <w:szCs w:val="21"/>
        </w:rPr>
      </w:pPr>
      <w:r>
        <w:rPr>
          <w:b/>
          <w:bCs/>
          <w:spacing w:val="-8"/>
          <w:sz w:val="21"/>
          <w:szCs w:val="21"/>
        </w:rPr>
        <w:t>18.</w:t>
      </w:r>
      <w:r>
        <w:rPr>
          <w:spacing w:val="12"/>
          <w:sz w:val="21"/>
          <w:szCs w:val="21"/>
        </w:rPr>
        <w:t xml:space="preserve"> </w:t>
      </w:r>
      <w:r>
        <w:rPr>
          <w:b/>
          <w:bCs/>
          <w:spacing w:val="-8"/>
          <w:sz w:val="21"/>
          <w:szCs w:val="21"/>
        </w:rPr>
        <w:t>其他</w:t>
      </w:r>
    </w:p>
    <w:p>
      <w:pPr>
        <w:pStyle w:val="11"/>
        <w:spacing w:before="80" w:line="221" w:lineRule="auto"/>
        <w:ind w:left="458"/>
        <w:outlineLvl w:val="1"/>
        <w:rPr>
          <w:sz w:val="21"/>
          <w:szCs w:val="21"/>
        </w:rPr>
      </w:pPr>
      <w:r>
        <w:rPr>
          <w:spacing w:val="-4"/>
          <w:sz w:val="21"/>
          <w:szCs w:val="21"/>
        </w:rPr>
        <w:t>18.1</w:t>
      </w:r>
      <w:r>
        <w:rPr>
          <w:spacing w:val="-43"/>
          <w:sz w:val="21"/>
          <w:szCs w:val="21"/>
        </w:rPr>
        <w:t xml:space="preserve"> </w:t>
      </w:r>
      <w:r>
        <w:rPr>
          <w:spacing w:val="-4"/>
          <w:sz w:val="21"/>
          <w:szCs w:val="21"/>
        </w:rPr>
        <w:t>设计人应利用利用本项目已完成的设计成果，如因设计成果未能满</w:t>
      </w:r>
      <w:r>
        <w:rPr>
          <w:spacing w:val="-5"/>
          <w:sz w:val="21"/>
          <w:szCs w:val="21"/>
        </w:rPr>
        <w:t>足本次设计目标时，</w:t>
      </w:r>
      <w:r>
        <w:rPr>
          <w:sz w:val="21"/>
          <w:szCs w:val="21"/>
        </w:rPr>
        <w:t xml:space="preserve"> 应按照相关部门的要求，对发生部分内容给</w:t>
      </w:r>
      <w:r>
        <w:rPr>
          <w:spacing w:val="-1"/>
          <w:sz w:val="21"/>
          <w:szCs w:val="21"/>
        </w:rPr>
        <w:t>予计列。</w:t>
      </w:r>
    </w:p>
    <w:p>
      <w:pPr>
        <w:pStyle w:val="11"/>
        <w:spacing w:before="77" w:line="221" w:lineRule="auto"/>
        <w:ind w:left="455"/>
        <w:rPr>
          <w:sz w:val="21"/>
          <w:szCs w:val="21"/>
        </w:rPr>
      </w:pPr>
      <w:r>
        <w:rPr>
          <w:spacing w:val="-4"/>
          <w:sz w:val="21"/>
          <w:szCs w:val="21"/>
        </w:rPr>
        <w:t>18.2</w:t>
      </w:r>
      <w:r>
        <w:rPr>
          <w:spacing w:val="-41"/>
          <w:sz w:val="21"/>
          <w:szCs w:val="21"/>
        </w:rPr>
        <w:t xml:space="preserve"> </w:t>
      </w:r>
      <w:r>
        <w:rPr>
          <w:spacing w:val="-4"/>
          <w:sz w:val="21"/>
          <w:szCs w:val="21"/>
        </w:rPr>
        <w:t>总体协调单位主要责任：</w:t>
      </w:r>
    </w:p>
    <w:p>
      <w:pPr>
        <w:pStyle w:val="11"/>
        <w:spacing w:before="80" w:line="220" w:lineRule="auto"/>
        <w:ind w:left="446"/>
        <w:rPr>
          <w:sz w:val="21"/>
          <w:szCs w:val="21"/>
        </w:rPr>
      </w:pPr>
      <w:r>
        <w:rPr>
          <w:spacing w:val="-2"/>
          <w:sz w:val="21"/>
          <w:szCs w:val="21"/>
        </w:rPr>
        <w:t>（1）组织各设计人研究建设项目的总体设计方案；</w:t>
      </w:r>
    </w:p>
    <w:p>
      <w:pPr>
        <w:pStyle w:val="11"/>
        <w:spacing w:before="80" w:line="221" w:lineRule="auto"/>
        <w:ind w:left="446"/>
        <w:rPr>
          <w:sz w:val="21"/>
          <w:szCs w:val="21"/>
        </w:rPr>
      </w:pPr>
      <w:r>
        <w:rPr>
          <w:spacing w:val="-1"/>
          <w:sz w:val="21"/>
          <w:szCs w:val="21"/>
        </w:rPr>
        <w:t>（2）确定统一的工程设计标准、规范、深度和要求；</w:t>
      </w:r>
    </w:p>
    <w:p>
      <w:pPr>
        <w:pStyle w:val="11"/>
        <w:spacing w:before="78" w:line="221" w:lineRule="auto"/>
        <w:ind w:left="446"/>
        <w:rPr>
          <w:sz w:val="21"/>
          <w:szCs w:val="21"/>
        </w:rPr>
      </w:pPr>
      <w:r>
        <w:rPr>
          <w:spacing w:val="-1"/>
          <w:sz w:val="21"/>
          <w:szCs w:val="21"/>
        </w:rPr>
        <w:t>（3）组织编制建设项目工程设计总说明、总图和总概算等；</w:t>
      </w:r>
    </w:p>
    <w:p>
      <w:pPr>
        <w:pStyle w:val="11"/>
        <w:spacing w:before="78" w:line="221" w:lineRule="auto"/>
        <w:ind w:left="446"/>
        <w:rPr>
          <w:rFonts w:ascii="Arial"/>
          <w:sz w:val="21"/>
        </w:rPr>
      </w:pPr>
      <w:r>
        <w:rPr>
          <w:sz w:val="21"/>
          <w:szCs w:val="21"/>
        </w:rPr>
        <w:t>（4）协调工程设计进度，组织各设计人按照</w:t>
      </w:r>
      <w:r>
        <w:rPr>
          <w:spacing w:val="-1"/>
          <w:sz w:val="21"/>
          <w:szCs w:val="21"/>
        </w:rPr>
        <w:t>要求提交工程设计文件；</w:t>
      </w:r>
    </w:p>
    <w:p>
      <w:pPr>
        <w:pStyle w:val="11"/>
        <w:spacing w:before="69" w:line="221" w:lineRule="auto"/>
        <w:ind w:left="446"/>
        <w:rPr>
          <w:spacing w:val="-2"/>
          <w:sz w:val="21"/>
          <w:szCs w:val="21"/>
        </w:rPr>
      </w:pPr>
      <w:r>
        <w:rPr>
          <w:spacing w:val="-1"/>
          <w:sz w:val="21"/>
          <w:szCs w:val="21"/>
        </w:rPr>
        <w:t>（5）负责协调、完成各工程设计文件的衔接设计</w:t>
      </w:r>
      <w:r>
        <w:rPr>
          <w:spacing w:val="-2"/>
          <w:sz w:val="21"/>
          <w:szCs w:val="21"/>
        </w:rPr>
        <w:t>工作。</w:t>
      </w:r>
    </w:p>
    <w:p>
      <w:pPr>
        <w:pStyle w:val="11"/>
        <w:keepNext w:val="0"/>
        <w:keepLines w:val="0"/>
        <w:pageBreakBefore w:val="0"/>
        <w:widowControl/>
        <w:kinsoku/>
        <w:wordWrap/>
        <w:overflowPunct/>
        <w:topLinePunct w:val="0"/>
        <w:autoSpaceDE/>
        <w:autoSpaceDN/>
        <w:bidi w:val="0"/>
        <w:adjustRightInd/>
        <w:snapToGrid/>
        <w:spacing w:before="69" w:line="221" w:lineRule="auto"/>
        <w:ind w:left="-261" w:right="-28" w:firstLine="0"/>
        <w:textAlignment w:val="auto"/>
        <w:rPr>
          <w:rFonts w:ascii="Arial"/>
          <w:sz w:val="21"/>
        </w:rPr>
      </w:pPr>
      <w:r>
        <w:rPr>
          <w:spacing w:val="-4"/>
          <w:sz w:val="21"/>
          <w:szCs w:val="21"/>
        </w:rPr>
        <w:t>18.3</w:t>
      </w:r>
      <w:r>
        <w:rPr>
          <w:spacing w:val="-36"/>
          <w:sz w:val="21"/>
          <w:szCs w:val="21"/>
        </w:rPr>
        <w:t xml:space="preserve"> </w:t>
      </w:r>
      <w:r>
        <w:rPr>
          <w:spacing w:val="-4"/>
          <w:sz w:val="21"/>
          <w:szCs w:val="21"/>
        </w:rPr>
        <w:t>本合同载明的通讯地址为双方指定收件地址，今后凡与本合同相关的任何通知、函件、</w:t>
      </w:r>
      <w:r>
        <w:rPr>
          <w:sz w:val="21"/>
          <w:szCs w:val="21"/>
        </w:rPr>
        <w:t xml:space="preserve"> </w:t>
      </w:r>
      <w:r>
        <w:rPr>
          <w:spacing w:val="1"/>
          <w:sz w:val="21"/>
          <w:szCs w:val="21"/>
        </w:rPr>
        <w:t>法律文书（包括但不限于律师函、起诉状、应诉通知、传票、判决书、裁定书等）均送达至该</w:t>
      </w:r>
      <w:r>
        <w:rPr>
          <w:spacing w:val="9"/>
          <w:sz w:val="21"/>
          <w:szCs w:val="21"/>
        </w:rPr>
        <w:t xml:space="preserve"> </w:t>
      </w:r>
      <w:r>
        <w:rPr>
          <w:spacing w:val="-1"/>
          <w:sz w:val="21"/>
          <w:szCs w:val="21"/>
        </w:rPr>
        <w:t>地址，自 EMS 邮件加盖邮戳之日起第三日起视为送达，任一方有变更应书面通知对方</w:t>
      </w:r>
      <w:r>
        <w:rPr>
          <w:spacing w:val="-2"/>
          <w:sz w:val="21"/>
          <w:szCs w:val="21"/>
        </w:rPr>
        <w:t>，否则均</w:t>
      </w:r>
      <w:r>
        <w:rPr>
          <w:sz w:val="21"/>
          <w:szCs w:val="21"/>
        </w:rPr>
        <w:t xml:space="preserve"> </w:t>
      </w:r>
      <w:r>
        <w:rPr>
          <w:spacing w:val="-1"/>
          <w:sz w:val="21"/>
          <w:szCs w:val="21"/>
        </w:rPr>
        <w:t>为有效送达，未及时告知的不良后果由该方承担。</w:t>
      </w:r>
    </w:p>
    <w:p>
      <w:pPr>
        <w:pStyle w:val="11"/>
        <w:spacing w:before="68" w:line="220" w:lineRule="auto"/>
        <w:ind w:left="36"/>
        <w:rPr>
          <w:sz w:val="21"/>
          <w:szCs w:val="21"/>
        </w:rPr>
      </w:pPr>
      <w:r>
        <w:rPr>
          <w:b/>
          <w:bCs/>
          <w:spacing w:val="-8"/>
          <w:sz w:val="21"/>
          <w:szCs w:val="21"/>
        </w:rPr>
        <w:t>附件</w:t>
      </w:r>
    </w:p>
    <w:p>
      <w:pPr>
        <w:pStyle w:val="11"/>
        <w:spacing w:before="80" w:line="220" w:lineRule="auto"/>
        <w:ind w:left="36"/>
        <w:rPr>
          <w:sz w:val="21"/>
          <w:szCs w:val="21"/>
        </w:rPr>
      </w:pPr>
      <w:r>
        <w:rPr>
          <w:spacing w:val="-3"/>
          <w:sz w:val="21"/>
          <w:szCs w:val="21"/>
        </w:rPr>
        <w:t>附件</w:t>
      </w:r>
      <w:r>
        <w:rPr>
          <w:spacing w:val="-25"/>
          <w:sz w:val="21"/>
          <w:szCs w:val="21"/>
        </w:rPr>
        <w:t xml:space="preserve"> </w:t>
      </w:r>
      <w:r>
        <w:rPr>
          <w:spacing w:val="-3"/>
          <w:sz w:val="21"/>
          <w:szCs w:val="21"/>
        </w:rPr>
        <w:t>1：工程设计范围、阶段与服务内容</w:t>
      </w:r>
    </w:p>
    <w:p>
      <w:pPr>
        <w:pStyle w:val="11"/>
        <w:spacing w:before="79" w:line="220" w:lineRule="auto"/>
        <w:ind w:left="36"/>
        <w:rPr>
          <w:sz w:val="21"/>
          <w:szCs w:val="21"/>
        </w:rPr>
      </w:pPr>
      <w:r>
        <w:rPr>
          <w:spacing w:val="-2"/>
          <w:sz w:val="21"/>
          <w:szCs w:val="21"/>
        </w:rPr>
        <w:t>附件</w:t>
      </w:r>
      <w:r>
        <w:rPr>
          <w:spacing w:val="-26"/>
          <w:sz w:val="21"/>
          <w:szCs w:val="21"/>
        </w:rPr>
        <w:t xml:space="preserve"> </w:t>
      </w:r>
      <w:r>
        <w:rPr>
          <w:spacing w:val="-2"/>
          <w:sz w:val="21"/>
          <w:szCs w:val="21"/>
        </w:rPr>
        <w:t>2：发包人向设计人提交的有关资料及文件一览表</w:t>
      </w:r>
    </w:p>
    <w:p>
      <w:pPr>
        <w:pStyle w:val="11"/>
        <w:spacing w:before="80" w:line="220" w:lineRule="auto"/>
        <w:ind w:left="36"/>
        <w:rPr>
          <w:sz w:val="21"/>
          <w:szCs w:val="21"/>
        </w:rPr>
      </w:pPr>
      <w:r>
        <w:rPr>
          <w:spacing w:val="-2"/>
          <w:sz w:val="21"/>
          <w:szCs w:val="21"/>
        </w:rPr>
        <w:t>附件</w:t>
      </w:r>
      <w:r>
        <w:rPr>
          <w:spacing w:val="-35"/>
          <w:sz w:val="21"/>
          <w:szCs w:val="21"/>
        </w:rPr>
        <w:t xml:space="preserve"> </w:t>
      </w:r>
      <w:r>
        <w:rPr>
          <w:spacing w:val="-2"/>
          <w:sz w:val="21"/>
          <w:szCs w:val="21"/>
        </w:rPr>
        <w:t>3：设计人向发包人交付的工程设计文件目录</w:t>
      </w:r>
    </w:p>
    <w:p>
      <w:pPr>
        <w:pStyle w:val="11"/>
        <w:spacing w:before="80" w:line="220" w:lineRule="auto"/>
        <w:ind w:left="36"/>
        <w:rPr>
          <w:sz w:val="21"/>
          <w:szCs w:val="21"/>
        </w:rPr>
      </w:pPr>
      <w:r>
        <w:rPr>
          <w:spacing w:val="-3"/>
          <w:sz w:val="21"/>
          <w:szCs w:val="21"/>
        </w:rPr>
        <w:t>附件</w:t>
      </w:r>
      <w:r>
        <w:rPr>
          <w:spacing w:val="-39"/>
          <w:sz w:val="21"/>
          <w:szCs w:val="21"/>
        </w:rPr>
        <w:t xml:space="preserve"> </w:t>
      </w:r>
      <w:r>
        <w:rPr>
          <w:spacing w:val="-3"/>
          <w:sz w:val="21"/>
          <w:szCs w:val="21"/>
        </w:rPr>
        <w:t>4：设计人主要设计人员表</w:t>
      </w:r>
    </w:p>
    <w:p>
      <w:pPr>
        <w:pStyle w:val="11"/>
        <w:spacing w:before="81" w:line="220" w:lineRule="auto"/>
        <w:ind w:left="36"/>
        <w:rPr>
          <w:sz w:val="21"/>
          <w:szCs w:val="21"/>
        </w:rPr>
      </w:pPr>
      <w:r>
        <w:rPr>
          <w:spacing w:val="-4"/>
          <w:sz w:val="21"/>
          <w:szCs w:val="21"/>
        </w:rPr>
        <w:t>附件</w:t>
      </w:r>
      <w:r>
        <w:rPr>
          <w:spacing w:val="-35"/>
          <w:sz w:val="21"/>
          <w:szCs w:val="21"/>
        </w:rPr>
        <w:t xml:space="preserve"> </w:t>
      </w:r>
      <w:r>
        <w:rPr>
          <w:spacing w:val="-4"/>
          <w:sz w:val="21"/>
          <w:szCs w:val="21"/>
        </w:rPr>
        <w:t>5: 设计进度表</w:t>
      </w:r>
    </w:p>
    <w:p>
      <w:pPr>
        <w:pStyle w:val="11"/>
        <w:spacing w:before="78" w:line="220" w:lineRule="auto"/>
        <w:ind w:left="36"/>
        <w:rPr>
          <w:sz w:val="21"/>
          <w:szCs w:val="21"/>
        </w:rPr>
      </w:pPr>
      <w:r>
        <w:rPr>
          <w:spacing w:val="-3"/>
          <w:sz w:val="21"/>
          <w:szCs w:val="21"/>
        </w:rPr>
        <w:t>附件</w:t>
      </w:r>
      <w:r>
        <w:rPr>
          <w:spacing w:val="-29"/>
          <w:sz w:val="21"/>
          <w:szCs w:val="21"/>
        </w:rPr>
        <w:t xml:space="preserve"> </w:t>
      </w:r>
      <w:r>
        <w:rPr>
          <w:spacing w:val="-3"/>
          <w:sz w:val="21"/>
          <w:szCs w:val="21"/>
        </w:rPr>
        <w:t>6: 设计费明细及支付方式</w:t>
      </w:r>
    </w:p>
    <w:p>
      <w:pPr>
        <w:pStyle w:val="11"/>
        <w:spacing w:before="81" w:line="220" w:lineRule="auto"/>
        <w:ind w:left="36"/>
        <w:rPr>
          <w:sz w:val="21"/>
          <w:szCs w:val="21"/>
        </w:rPr>
      </w:pPr>
      <w:r>
        <w:rPr>
          <w:spacing w:val="-3"/>
          <w:sz w:val="21"/>
          <w:szCs w:val="21"/>
        </w:rPr>
        <w:t>附件</w:t>
      </w:r>
      <w:r>
        <w:rPr>
          <w:spacing w:val="-26"/>
          <w:sz w:val="21"/>
          <w:szCs w:val="21"/>
        </w:rPr>
        <w:t xml:space="preserve"> </w:t>
      </w:r>
      <w:r>
        <w:rPr>
          <w:spacing w:val="-3"/>
          <w:sz w:val="21"/>
          <w:szCs w:val="21"/>
        </w:rPr>
        <w:t>7: 设计变更计费依据和方法</w:t>
      </w:r>
    </w:p>
    <w:p>
      <w:pPr>
        <w:spacing w:before="92" w:line="222" w:lineRule="auto"/>
        <w:ind w:left="38"/>
        <w:rPr>
          <w:rFonts w:ascii="黑体" w:hAnsi="黑体" w:eastAsia="黑体" w:cs="黑体"/>
          <w:b/>
          <w:bCs/>
          <w:spacing w:val="-15"/>
          <w:sz w:val="28"/>
          <w:szCs w:val="28"/>
        </w:rPr>
      </w:pPr>
    </w:p>
    <w:p>
      <w:pPr>
        <w:spacing w:before="92" w:line="222" w:lineRule="auto"/>
        <w:ind w:left="38"/>
        <w:rPr>
          <w:rFonts w:ascii="黑体" w:hAnsi="黑体" w:eastAsia="黑体" w:cs="黑体"/>
          <w:b/>
          <w:bCs/>
          <w:spacing w:val="-15"/>
          <w:sz w:val="28"/>
          <w:szCs w:val="28"/>
        </w:rPr>
      </w:pPr>
    </w:p>
    <w:p>
      <w:pPr>
        <w:spacing w:before="92" w:line="222" w:lineRule="auto"/>
        <w:ind w:left="38"/>
        <w:rPr>
          <w:rFonts w:ascii="黑体" w:hAnsi="黑体" w:eastAsia="黑体" w:cs="黑体"/>
          <w:b/>
          <w:bCs/>
          <w:spacing w:val="-15"/>
          <w:sz w:val="28"/>
          <w:szCs w:val="28"/>
        </w:rPr>
      </w:pPr>
    </w:p>
    <w:p>
      <w:pPr>
        <w:spacing w:before="92" w:line="222" w:lineRule="auto"/>
        <w:ind w:left="38"/>
        <w:rPr>
          <w:rFonts w:ascii="黑体" w:hAnsi="黑体" w:eastAsia="黑体" w:cs="黑体"/>
          <w:b/>
          <w:bCs/>
          <w:spacing w:val="-15"/>
          <w:sz w:val="28"/>
          <w:szCs w:val="28"/>
        </w:rPr>
      </w:pPr>
    </w:p>
    <w:p>
      <w:pPr>
        <w:spacing w:before="92" w:line="222" w:lineRule="auto"/>
        <w:ind w:left="38"/>
        <w:rPr>
          <w:rFonts w:ascii="黑体" w:hAnsi="黑体" w:eastAsia="黑体" w:cs="黑体"/>
          <w:b/>
          <w:bCs/>
          <w:spacing w:val="-15"/>
          <w:sz w:val="28"/>
          <w:szCs w:val="28"/>
        </w:rPr>
      </w:pPr>
    </w:p>
    <w:p>
      <w:pPr>
        <w:spacing w:before="92" w:line="222" w:lineRule="auto"/>
        <w:ind w:left="38"/>
        <w:rPr>
          <w:rFonts w:ascii="黑体" w:hAnsi="黑体" w:eastAsia="黑体" w:cs="黑体"/>
          <w:sz w:val="28"/>
          <w:szCs w:val="28"/>
        </w:rPr>
      </w:pPr>
      <w:r>
        <w:rPr>
          <w:rFonts w:ascii="黑体" w:hAnsi="黑体" w:eastAsia="黑体" w:cs="黑体"/>
          <w:b/>
          <w:bCs/>
          <w:spacing w:val="-15"/>
          <w:sz w:val="28"/>
          <w:szCs w:val="28"/>
        </w:rPr>
        <w:t>附件</w:t>
      </w:r>
      <w:r>
        <w:rPr>
          <w:rFonts w:ascii="黑体" w:hAnsi="黑体" w:eastAsia="黑体" w:cs="黑体"/>
          <w:spacing w:val="-46"/>
          <w:sz w:val="28"/>
          <w:szCs w:val="28"/>
        </w:rPr>
        <w:t xml:space="preserve"> </w:t>
      </w:r>
      <w:r>
        <w:rPr>
          <w:rFonts w:ascii="黑体" w:hAnsi="黑体" w:eastAsia="黑体" w:cs="黑体"/>
          <w:b/>
          <w:bCs/>
          <w:spacing w:val="-15"/>
          <w:sz w:val="28"/>
          <w:szCs w:val="28"/>
        </w:rPr>
        <w:t>1：</w:t>
      </w:r>
    </w:p>
    <w:p>
      <w:pPr>
        <w:spacing w:line="260" w:lineRule="auto"/>
        <w:rPr>
          <w:rFonts w:ascii="Arial"/>
          <w:sz w:val="21"/>
        </w:rPr>
      </w:pPr>
    </w:p>
    <w:p>
      <w:pPr>
        <w:spacing w:line="261" w:lineRule="auto"/>
        <w:rPr>
          <w:rFonts w:ascii="Arial"/>
          <w:sz w:val="21"/>
        </w:rPr>
      </w:pPr>
    </w:p>
    <w:p>
      <w:pPr>
        <w:spacing w:before="91" w:line="219" w:lineRule="auto"/>
        <w:ind w:left="2679"/>
        <w:rPr>
          <w:rFonts w:ascii="黑体" w:hAnsi="黑体" w:eastAsia="黑体" w:cs="黑体"/>
          <w:sz w:val="28"/>
          <w:szCs w:val="28"/>
        </w:rPr>
      </w:pPr>
      <w:r>
        <w:rPr>
          <w:rFonts w:ascii="黑体" w:hAnsi="黑体" w:eastAsia="黑体" w:cs="黑体"/>
          <w:spacing w:val="-1"/>
          <w:sz w:val="28"/>
          <w:szCs w:val="28"/>
        </w:rPr>
        <w:t>工程设计范围、阶段与服务内容</w:t>
      </w:r>
    </w:p>
    <w:p>
      <w:pPr>
        <w:spacing w:line="271" w:lineRule="auto"/>
        <w:ind w:left="0" w:leftChars="0" w:firstLine="0" w:firstLineChars="0"/>
        <w:rPr>
          <w:rFonts w:ascii="Arial"/>
          <w:sz w:val="21"/>
        </w:rPr>
      </w:pPr>
    </w:p>
    <w:p>
      <w:pPr>
        <w:pStyle w:val="11"/>
        <w:spacing w:before="68" w:line="220" w:lineRule="auto"/>
        <w:ind w:left="446"/>
        <w:rPr>
          <w:sz w:val="21"/>
          <w:szCs w:val="21"/>
        </w:rPr>
      </w:pPr>
      <w:r>
        <w:rPr>
          <w:b/>
          <w:bCs/>
          <w:spacing w:val="-5"/>
          <w:sz w:val="21"/>
          <w:szCs w:val="21"/>
        </w:rPr>
        <w:t>一、本工程设计范围</w:t>
      </w:r>
    </w:p>
    <w:p>
      <w:pPr>
        <w:pStyle w:val="11"/>
        <w:spacing w:before="160" w:line="221" w:lineRule="auto"/>
        <w:ind w:left="442"/>
        <w:rPr>
          <w:sz w:val="21"/>
          <w:szCs w:val="21"/>
        </w:rPr>
      </w:pPr>
      <w:r>
        <w:rPr>
          <w:spacing w:val="-4"/>
          <w:sz w:val="21"/>
          <w:szCs w:val="21"/>
        </w:rPr>
        <w:t>工程设计范围：方案设计、初步设计（含概算）、施工图设计及施工图预算编制。</w:t>
      </w:r>
    </w:p>
    <w:p>
      <w:pPr>
        <w:pStyle w:val="11"/>
        <w:spacing w:before="157" w:line="220" w:lineRule="auto"/>
        <w:ind w:left="446"/>
        <w:rPr>
          <w:sz w:val="21"/>
          <w:szCs w:val="21"/>
        </w:rPr>
      </w:pPr>
      <w:r>
        <w:rPr>
          <w:b/>
          <w:bCs/>
          <w:spacing w:val="-3"/>
          <w:sz w:val="21"/>
          <w:szCs w:val="21"/>
        </w:rPr>
        <w:t>二、本工程设计阶段划分</w:t>
      </w:r>
    </w:p>
    <w:p>
      <w:pPr>
        <w:pStyle w:val="11"/>
        <w:spacing w:before="158" w:line="345" w:lineRule="auto"/>
        <w:ind w:left="20" w:right="71" w:firstLine="422"/>
        <w:rPr>
          <w:sz w:val="21"/>
          <w:szCs w:val="21"/>
        </w:rPr>
      </w:pPr>
      <w:r>
        <w:rPr>
          <w:spacing w:val="-4"/>
          <w:sz w:val="21"/>
          <w:szCs w:val="21"/>
        </w:rPr>
        <w:t>工程设计服务阶段：方案设计、初步设计（含概算）、施工图设计及施工图预算编制及项目</w:t>
      </w:r>
      <w:r>
        <w:rPr>
          <w:sz w:val="21"/>
          <w:szCs w:val="21"/>
        </w:rPr>
        <w:t>全过程的技术服务、施工阶段至竣工验收期间的设计</w:t>
      </w:r>
      <w:r>
        <w:rPr>
          <w:spacing w:val="-1"/>
          <w:sz w:val="21"/>
          <w:szCs w:val="21"/>
        </w:rPr>
        <w:t>服务。</w:t>
      </w:r>
    </w:p>
    <w:p>
      <w:pPr>
        <w:pStyle w:val="11"/>
        <w:spacing w:before="34" w:line="221" w:lineRule="auto"/>
        <w:ind w:left="442"/>
        <w:rPr>
          <w:sz w:val="21"/>
          <w:szCs w:val="21"/>
        </w:rPr>
      </w:pPr>
      <w:r>
        <w:rPr>
          <w:b/>
          <w:bCs/>
          <w:spacing w:val="-2"/>
          <w:sz w:val="21"/>
          <w:szCs w:val="21"/>
        </w:rPr>
        <w:t>三、各阶段服务内容</w:t>
      </w:r>
    </w:p>
    <w:p>
      <w:pPr>
        <w:pStyle w:val="11"/>
        <w:spacing w:before="156" w:line="345" w:lineRule="auto"/>
        <w:ind w:left="19" w:right="129" w:firstLine="436"/>
        <w:rPr>
          <w:sz w:val="21"/>
          <w:szCs w:val="21"/>
        </w:rPr>
      </w:pPr>
      <w:r>
        <w:rPr>
          <w:sz w:val="21"/>
          <w:szCs w:val="21"/>
        </w:rPr>
        <w:t>1.工程方案设计阶段：编制工程方案设计文本，</w:t>
      </w:r>
      <w:r>
        <w:rPr>
          <w:spacing w:val="-1"/>
          <w:sz w:val="21"/>
          <w:szCs w:val="21"/>
        </w:rPr>
        <w:t>工程方案设计审查会汇报，根据方案审查</w:t>
      </w:r>
      <w:r>
        <w:rPr>
          <w:sz w:val="21"/>
          <w:szCs w:val="21"/>
        </w:rPr>
        <w:t xml:space="preserve"> </w:t>
      </w:r>
      <w:r>
        <w:rPr>
          <w:spacing w:val="-1"/>
          <w:sz w:val="21"/>
          <w:szCs w:val="21"/>
        </w:rPr>
        <w:t>会议纪要完善修改工程设计方案报审批。</w:t>
      </w:r>
    </w:p>
    <w:p>
      <w:pPr>
        <w:pStyle w:val="11"/>
        <w:spacing w:before="33" w:line="351" w:lineRule="auto"/>
        <w:ind w:left="19" w:right="128" w:firstLine="423"/>
        <w:jc w:val="both"/>
        <w:rPr>
          <w:sz w:val="21"/>
          <w:szCs w:val="21"/>
        </w:rPr>
      </w:pPr>
      <w:r>
        <w:rPr>
          <w:sz w:val="21"/>
          <w:szCs w:val="21"/>
        </w:rPr>
        <w:t>2.工程初步设计阶段：根据项目前期方案、工程可行性研究报告（如有）等的</w:t>
      </w:r>
      <w:r>
        <w:rPr>
          <w:spacing w:val="-1"/>
          <w:sz w:val="21"/>
          <w:szCs w:val="21"/>
        </w:rPr>
        <w:t>批复、勘查</w:t>
      </w:r>
      <w:r>
        <w:rPr>
          <w:sz w:val="21"/>
          <w:szCs w:val="21"/>
        </w:rPr>
        <w:t xml:space="preserve"> 资料，编制初步设计文本，初步设计审查会汇报，根据初步设计审查会议纪要修改完善文件报 </w:t>
      </w:r>
      <w:r>
        <w:rPr>
          <w:spacing w:val="-10"/>
          <w:sz w:val="21"/>
          <w:szCs w:val="21"/>
        </w:rPr>
        <w:t>批。</w:t>
      </w:r>
    </w:p>
    <w:p>
      <w:pPr>
        <w:pStyle w:val="11"/>
        <w:spacing w:before="27" w:line="345" w:lineRule="auto"/>
        <w:ind w:left="22" w:right="129" w:firstLine="421"/>
        <w:rPr>
          <w:sz w:val="21"/>
          <w:szCs w:val="21"/>
        </w:rPr>
      </w:pPr>
      <w:r>
        <w:rPr>
          <w:sz w:val="21"/>
          <w:szCs w:val="21"/>
        </w:rPr>
        <w:t>3.工程施工图设计阶段：根据初步设计批复、详勘资料，编制施工图文件</w:t>
      </w:r>
      <w:r>
        <w:rPr>
          <w:spacing w:val="-1"/>
          <w:sz w:val="21"/>
          <w:szCs w:val="21"/>
        </w:rPr>
        <w:t>，根据施工图审</w:t>
      </w:r>
      <w:r>
        <w:rPr>
          <w:sz w:val="21"/>
          <w:szCs w:val="21"/>
        </w:rPr>
        <w:t xml:space="preserve"> </w:t>
      </w:r>
      <w:r>
        <w:rPr>
          <w:spacing w:val="-1"/>
          <w:sz w:val="21"/>
          <w:szCs w:val="21"/>
        </w:rPr>
        <w:t>查机构的意见，完善施工图修订报建设管理部门备案。</w:t>
      </w:r>
    </w:p>
    <w:p>
      <w:pPr>
        <w:pStyle w:val="11"/>
        <w:spacing w:before="31" w:line="221" w:lineRule="auto"/>
        <w:ind w:left="0" w:leftChars="0" w:firstLine="420" w:firstLineChars="200"/>
        <w:rPr>
          <w:sz w:val="21"/>
          <w:szCs w:val="21"/>
        </w:rPr>
        <w:sectPr>
          <w:footerReference r:id="rId12" w:type="default"/>
          <w:pgSz w:w="11907" w:h="16841"/>
          <w:pgMar w:top="400" w:right="1538" w:bottom="1015" w:left="1785" w:header="0" w:footer="851" w:gutter="0"/>
          <w:cols w:space="720" w:num="1"/>
        </w:sectPr>
      </w:pPr>
      <w:r>
        <w:rPr>
          <w:sz w:val="21"/>
          <w:szCs w:val="21"/>
        </w:rPr>
        <w:t>4.工程施工后期服务：项目施工开工前进行技术交底，对施工单位施工前提出的问题进</w:t>
      </w:r>
      <w:r>
        <w:rPr>
          <w:rFonts w:hint="eastAsia"/>
          <w:sz w:val="21"/>
          <w:szCs w:val="21"/>
          <w:lang w:val="en-US" w:eastAsia="zh-CN"/>
        </w:rPr>
        <w:t>行</w:t>
      </w:r>
      <w:r>
        <w:rPr>
          <w:sz w:val="21"/>
          <w:szCs w:val="21"/>
        </w:rPr>
        <w:t>答复，施工期间负责合同范围内的变更设计工作，参与分项工程和重要分部工程的验收工作， 编写竣工设计报告。</w:t>
      </w:r>
    </w:p>
    <w:p>
      <w:pPr>
        <w:spacing w:line="245" w:lineRule="auto"/>
        <w:ind w:left="0" w:leftChars="0" w:firstLine="0" w:firstLineChars="0"/>
        <w:rPr>
          <w:rFonts w:ascii="Arial"/>
          <w:sz w:val="21"/>
        </w:rPr>
      </w:pPr>
    </w:p>
    <w:p>
      <w:pPr>
        <w:spacing w:before="91" w:line="222" w:lineRule="auto"/>
        <w:ind w:left="453"/>
        <w:rPr>
          <w:rFonts w:hint="default" w:ascii="黑体" w:hAnsi="黑体" w:eastAsia="黑体" w:cs="黑体"/>
          <w:sz w:val="28"/>
          <w:szCs w:val="28"/>
          <w:lang w:val="en-US" w:eastAsia="zh-CN"/>
        </w:rPr>
      </w:pPr>
      <w:r>
        <w:rPr>
          <w:rFonts w:hint="eastAsia" w:ascii="黑体" w:hAnsi="黑体" w:eastAsia="黑体" w:cs="黑体"/>
          <w:sz w:val="28"/>
          <w:szCs w:val="28"/>
          <w:lang w:val="en-US" w:eastAsia="zh-CN"/>
        </w:rPr>
        <w:t>附件2：</w:t>
      </w:r>
    </w:p>
    <w:p>
      <w:pPr>
        <w:spacing w:before="204" w:line="218" w:lineRule="auto"/>
        <w:ind w:left="1093"/>
        <w:rPr>
          <w:rFonts w:ascii="黑体" w:hAnsi="黑体" w:eastAsia="黑体" w:cs="黑体"/>
          <w:sz w:val="24"/>
          <w:szCs w:val="24"/>
        </w:rPr>
      </w:pPr>
      <w:r>
        <w:rPr>
          <w:rFonts w:ascii="黑体" w:hAnsi="黑体" w:eastAsia="黑体" w:cs="黑体"/>
          <w:spacing w:val="-1"/>
          <w:sz w:val="24"/>
          <w:szCs w:val="24"/>
        </w:rPr>
        <w:t>发包人向设计人提交的有关资料及文件一览表（适用</w:t>
      </w:r>
      <w:r>
        <w:rPr>
          <w:rFonts w:ascii="黑体" w:hAnsi="黑体" w:eastAsia="黑体" w:cs="黑体"/>
          <w:spacing w:val="-2"/>
          <w:sz w:val="24"/>
          <w:szCs w:val="24"/>
        </w:rPr>
        <w:t>于市政工程）</w:t>
      </w:r>
    </w:p>
    <w:p>
      <w:pPr>
        <w:spacing w:line="148" w:lineRule="exact"/>
      </w:pPr>
    </w:p>
    <w:tbl>
      <w:tblPr>
        <w:tblStyle w:val="88"/>
        <w:tblW w:w="890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7"/>
        <w:gridCol w:w="3586"/>
        <w:gridCol w:w="684"/>
        <w:gridCol w:w="2876"/>
        <w:gridCol w:w="114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8" w:hRule="atLeast"/>
        </w:trPr>
        <w:tc>
          <w:tcPr>
            <w:tcW w:w="607" w:type="dxa"/>
            <w:textDirection w:val="tbRlV"/>
            <w:vAlign w:val="top"/>
          </w:tcPr>
          <w:p>
            <w:pPr>
              <w:pStyle w:val="87"/>
              <w:keepNext w:val="0"/>
              <w:keepLines w:val="0"/>
              <w:pageBreakBefore w:val="0"/>
              <w:widowControl/>
              <w:kinsoku/>
              <w:wordWrap/>
              <w:overflowPunct/>
              <w:topLinePunct w:val="0"/>
              <w:autoSpaceDE/>
              <w:autoSpaceDN/>
              <w:bidi w:val="0"/>
              <w:adjustRightInd/>
              <w:snapToGrid/>
              <w:spacing w:before="0" w:line="240" w:lineRule="auto"/>
              <w:ind w:left="0" w:right="0" w:firstLine="0"/>
              <w:jc w:val="center"/>
              <w:textAlignment w:val="auto"/>
              <w:rPr>
                <w:sz w:val="21"/>
                <w:szCs w:val="21"/>
              </w:rPr>
            </w:pPr>
            <w:r>
              <w:rPr>
                <w:b/>
                <w:bCs/>
                <w:spacing w:val="-2"/>
                <w:sz w:val="21"/>
                <w:szCs w:val="21"/>
              </w:rPr>
              <w:t>序号</w:t>
            </w:r>
          </w:p>
        </w:tc>
        <w:tc>
          <w:tcPr>
            <w:tcW w:w="3586" w:type="dxa"/>
            <w:vAlign w:val="top"/>
          </w:tcPr>
          <w:p>
            <w:pPr>
              <w:spacing w:line="428" w:lineRule="auto"/>
              <w:rPr>
                <w:rFonts w:ascii="Arial"/>
                <w:sz w:val="21"/>
              </w:rPr>
            </w:pPr>
          </w:p>
          <w:p>
            <w:pPr>
              <w:pStyle w:val="87"/>
              <w:spacing w:before="68" w:line="221" w:lineRule="auto"/>
              <w:ind w:left="1068"/>
              <w:rPr>
                <w:sz w:val="21"/>
                <w:szCs w:val="21"/>
              </w:rPr>
            </w:pPr>
            <w:r>
              <w:rPr>
                <w:b/>
                <w:bCs/>
                <w:spacing w:val="-4"/>
                <w:sz w:val="21"/>
                <w:szCs w:val="21"/>
              </w:rPr>
              <w:t>资料及文件名称</w:t>
            </w:r>
          </w:p>
        </w:tc>
        <w:tc>
          <w:tcPr>
            <w:tcW w:w="684" w:type="dxa"/>
            <w:vAlign w:val="top"/>
          </w:tcPr>
          <w:p>
            <w:pPr>
              <w:keepNext w:val="0"/>
              <w:keepLines w:val="0"/>
              <w:pageBreakBefore w:val="0"/>
              <w:widowControl/>
              <w:kinsoku/>
              <w:wordWrap/>
              <w:overflowPunct/>
              <w:topLinePunct w:val="0"/>
              <w:autoSpaceDE/>
              <w:autoSpaceDN/>
              <w:bidi w:val="0"/>
              <w:adjustRightInd/>
              <w:snapToGrid/>
              <w:spacing w:before="0" w:line="240" w:lineRule="auto"/>
              <w:ind w:left="0" w:right="0" w:firstLine="0"/>
              <w:jc w:val="center"/>
              <w:textAlignment w:val="auto"/>
              <w:rPr>
                <w:rFonts w:ascii="Arial"/>
                <w:sz w:val="21"/>
              </w:rPr>
            </w:pPr>
          </w:p>
          <w:p>
            <w:pPr>
              <w:pStyle w:val="87"/>
              <w:keepNext w:val="0"/>
              <w:keepLines w:val="0"/>
              <w:pageBreakBefore w:val="0"/>
              <w:widowControl/>
              <w:kinsoku/>
              <w:wordWrap/>
              <w:overflowPunct/>
              <w:topLinePunct w:val="0"/>
              <w:autoSpaceDE/>
              <w:autoSpaceDN/>
              <w:bidi w:val="0"/>
              <w:adjustRightInd/>
              <w:snapToGrid/>
              <w:spacing w:before="68" w:line="240" w:lineRule="auto"/>
              <w:ind w:left="135" w:firstLine="0"/>
              <w:jc w:val="center"/>
              <w:textAlignment w:val="auto"/>
              <w:rPr>
                <w:sz w:val="21"/>
                <w:szCs w:val="21"/>
              </w:rPr>
            </w:pPr>
            <w:r>
              <w:rPr>
                <w:b/>
                <w:bCs/>
                <w:spacing w:val="-4"/>
                <w:sz w:val="21"/>
                <w:szCs w:val="21"/>
              </w:rPr>
              <w:t>份数</w:t>
            </w:r>
          </w:p>
        </w:tc>
        <w:tc>
          <w:tcPr>
            <w:tcW w:w="2876" w:type="dxa"/>
            <w:vAlign w:val="top"/>
          </w:tcPr>
          <w:p>
            <w:pPr>
              <w:spacing w:line="429" w:lineRule="auto"/>
              <w:rPr>
                <w:rFonts w:ascii="Arial"/>
                <w:sz w:val="21"/>
              </w:rPr>
            </w:pPr>
          </w:p>
          <w:p>
            <w:pPr>
              <w:pStyle w:val="87"/>
              <w:spacing w:before="68" w:line="221" w:lineRule="auto"/>
              <w:ind w:left="1022"/>
              <w:rPr>
                <w:sz w:val="21"/>
                <w:szCs w:val="21"/>
              </w:rPr>
            </w:pPr>
            <w:r>
              <w:rPr>
                <w:b/>
                <w:bCs/>
                <w:spacing w:val="-4"/>
                <w:sz w:val="21"/>
                <w:szCs w:val="21"/>
              </w:rPr>
              <w:t>提交日期</w:t>
            </w:r>
          </w:p>
        </w:tc>
        <w:tc>
          <w:tcPr>
            <w:tcW w:w="1149" w:type="dxa"/>
            <w:vAlign w:val="top"/>
          </w:tcPr>
          <w:p>
            <w:pPr>
              <w:keepNext w:val="0"/>
              <w:keepLines w:val="0"/>
              <w:pageBreakBefore w:val="0"/>
              <w:widowControl/>
              <w:kinsoku/>
              <w:wordWrap/>
              <w:overflowPunct/>
              <w:topLinePunct w:val="0"/>
              <w:autoSpaceDE/>
              <w:autoSpaceDN/>
              <w:bidi w:val="0"/>
              <w:adjustRightInd/>
              <w:snapToGrid/>
              <w:spacing w:line="429" w:lineRule="auto"/>
              <w:ind w:right="0" w:firstLine="0"/>
              <w:textAlignment w:val="auto"/>
              <w:rPr>
                <w:rFonts w:ascii="Arial"/>
                <w:sz w:val="21"/>
              </w:rPr>
            </w:pPr>
          </w:p>
          <w:p>
            <w:pPr>
              <w:pStyle w:val="87"/>
              <w:keepNext w:val="0"/>
              <w:keepLines w:val="0"/>
              <w:pageBreakBefore w:val="0"/>
              <w:widowControl/>
              <w:kinsoku/>
              <w:wordWrap/>
              <w:overflowPunct/>
              <w:topLinePunct w:val="0"/>
              <w:autoSpaceDE/>
              <w:autoSpaceDN/>
              <w:bidi w:val="0"/>
              <w:adjustRightInd/>
              <w:snapToGrid/>
              <w:spacing w:before="68" w:line="221" w:lineRule="auto"/>
              <w:ind w:left="160" w:right="0" w:firstLine="0"/>
              <w:textAlignment w:val="auto"/>
              <w:rPr>
                <w:sz w:val="21"/>
                <w:szCs w:val="21"/>
              </w:rPr>
            </w:pPr>
            <w:r>
              <w:rPr>
                <w:b/>
                <w:bCs/>
                <w:spacing w:val="-4"/>
                <w:sz w:val="21"/>
                <w:szCs w:val="21"/>
              </w:rPr>
              <w:t>有关事宜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607" w:type="dxa"/>
            <w:vAlign w:val="top"/>
          </w:tcPr>
          <w:p>
            <w:pPr>
              <w:spacing w:before="146" w:line="179" w:lineRule="auto"/>
              <w:ind w:left="264"/>
              <w:rPr>
                <w:rFonts w:ascii="Calibri" w:hAnsi="Calibri" w:eastAsia="Calibri" w:cs="Calibri"/>
                <w:sz w:val="21"/>
                <w:szCs w:val="21"/>
              </w:rPr>
            </w:pPr>
            <w:r>
              <w:rPr>
                <w:rFonts w:ascii="Calibri" w:hAnsi="Calibri" w:eastAsia="Calibri" w:cs="Calibri"/>
                <w:sz w:val="21"/>
                <w:szCs w:val="21"/>
              </w:rPr>
              <w:t>1</w:t>
            </w:r>
          </w:p>
        </w:tc>
        <w:tc>
          <w:tcPr>
            <w:tcW w:w="3586" w:type="dxa"/>
            <w:vAlign w:val="top"/>
          </w:tcPr>
          <w:p>
            <w:pPr>
              <w:pStyle w:val="87"/>
              <w:spacing w:before="99" w:line="219" w:lineRule="auto"/>
              <w:ind w:left="114"/>
              <w:rPr>
                <w:sz w:val="21"/>
                <w:szCs w:val="21"/>
              </w:rPr>
            </w:pPr>
            <w:r>
              <w:rPr>
                <w:spacing w:val="-1"/>
                <w:sz w:val="21"/>
                <w:szCs w:val="21"/>
              </w:rPr>
              <w:t>项目立项报告和审批文件</w:t>
            </w:r>
          </w:p>
        </w:tc>
        <w:tc>
          <w:tcPr>
            <w:tcW w:w="684" w:type="dxa"/>
            <w:vAlign w:val="top"/>
          </w:tcPr>
          <w:p>
            <w:pPr>
              <w:pStyle w:val="87"/>
              <w:spacing w:before="100" w:line="221" w:lineRule="auto"/>
              <w:ind w:left="116"/>
              <w:rPr>
                <w:rFonts w:ascii="Calibri" w:hAnsi="Calibri" w:eastAsia="Calibri" w:cs="Calibri"/>
                <w:sz w:val="21"/>
                <w:szCs w:val="21"/>
              </w:rPr>
            </w:pPr>
            <w:r>
              <w:rPr>
                <w:spacing w:val="-5"/>
                <w:sz w:val="21"/>
                <w:szCs w:val="21"/>
              </w:rPr>
              <w:t>各</w:t>
            </w:r>
            <w:r>
              <w:rPr>
                <w:spacing w:val="-35"/>
                <w:sz w:val="21"/>
                <w:szCs w:val="21"/>
              </w:rPr>
              <w:t xml:space="preserve"> </w:t>
            </w:r>
            <w:r>
              <w:rPr>
                <w:rFonts w:ascii="Calibri" w:hAnsi="Calibri" w:eastAsia="Calibri" w:cs="Calibri"/>
                <w:spacing w:val="-5"/>
                <w:sz w:val="21"/>
                <w:szCs w:val="21"/>
              </w:rPr>
              <w:t>1</w:t>
            </w:r>
          </w:p>
        </w:tc>
        <w:tc>
          <w:tcPr>
            <w:tcW w:w="2876" w:type="dxa"/>
            <w:vAlign w:val="top"/>
          </w:tcPr>
          <w:p>
            <w:pPr>
              <w:pStyle w:val="87"/>
              <w:spacing w:before="100" w:line="221" w:lineRule="auto"/>
              <w:ind w:left="112"/>
              <w:rPr>
                <w:sz w:val="21"/>
                <w:szCs w:val="21"/>
              </w:rPr>
            </w:pPr>
            <w:r>
              <w:rPr>
                <w:spacing w:val="-3"/>
                <w:sz w:val="21"/>
                <w:szCs w:val="21"/>
              </w:rPr>
              <w:t>方案设计开始</w:t>
            </w:r>
            <w:r>
              <w:rPr>
                <w:spacing w:val="-41"/>
                <w:sz w:val="21"/>
                <w:szCs w:val="21"/>
              </w:rPr>
              <w:t xml:space="preserve"> </w:t>
            </w:r>
            <w:r>
              <w:rPr>
                <w:rFonts w:ascii="Calibri" w:hAnsi="Calibri" w:eastAsia="Calibri" w:cs="Calibri"/>
                <w:spacing w:val="-3"/>
                <w:sz w:val="21"/>
                <w:szCs w:val="21"/>
              </w:rPr>
              <w:t>3</w:t>
            </w:r>
            <w:r>
              <w:rPr>
                <w:rFonts w:ascii="Calibri" w:hAnsi="Calibri" w:eastAsia="Calibri" w:cs="Calibri"/>
                <w:spacing w:val="18"/>
                <w:w w:val="101"/>
                <w:sz w:val="21"/>
                <w:szCs w:val="21"/>
              </w:rPr>
              <w:t xml:space="preserve"> </w:t>
            </w:r>
            <w:r>
              <w:rPr>
                <w:spacing w:val="-3"/>
                <w:sz w:val="21"/>
                <w:szCs w:val="21"/>
              </w:rPr>
              <w:t>天前</w:t>
            </w:r>
          </w:p>
        </w:tc>
        <w:tc>
          <w:tcPr>
            <w:tcW w:w="1149" w:type="dxa"/>
            <w:vMerge w:val="restart"/>
            <w:tcBorders>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1" w:hRule="atLeast"/>
        </w:trPr>
        <w:tc>
          <w:tcPr>
            <w:tcW w:w="607" w:type="dxa"/>
            <w:vAlign w:val="top"/>
          </w:tcPr>
          <w:p>
            <w:pPr>
              <w:spacing w:before="279" w:line="180" w:lineRule="auto"/>
              <w:ind w:left="258"/>
              <w:rPr>
                <w:rFonts w:ascii="Calibri" w:hAnsi="Calibri" w:eastAsia="Calibri" w:cs="Calibri"/>
                <w:sz w:val="21"/>
                <w:szCs w:val="21"/>
              </w:rPr>
            </w:pPr>
            <w:r>
              <w:rPr>
                <w:rFonts w:ascii="Calibri" w:hAnsi="Calibri" w:eastAsia="Calibri" w:cs="Calibri"/>
                <w:sz w:val="21"/>
                <w:szCs w:val="21"/>
              </w:rPr>
              <w:t>2</w:t>
            </w:r>
          </w:p>
        </w:tc>
        <w:tc>
          <w:tcPr>
            <w:tcW w:w="3586" w:type="dxa"/>
            <w:vAlign w:val="top"/>
          </w:tcPr>
          <w:p>
            <w:pPr>
              <w:pStyle w:val="87"/>
              <w:spacing w:before="30" w:line="343" w:lineRule="auto"/>
              <w:ind w:left="112" w:right="28" w:firstLine="2"/>
              <w:rPr>
                <w:sz w:val="21"/>
                <w:szCs w:val="21"/>
              </w:rPr>
            </w:pPr>
            <w:r>
              <w:rPr>
                <w:spacing w:val="-8"/>
                <w:sz w:val="21"/>
                <w:szCs w:val="21"/>
              </w:rPr>
              <w:t>发包人要求即设计任务书（含对工艺、</w:t>
            </w:r>
            <w:r>
              <w:rPr>
                <w:spacing w:val="2"/>
                <w:sz w:val="21"/>
                <w:szCs w:val="21"/>
              </w:rPr>
              <w:t xml:space="preserve"> </w:t>
            </w:r>
            <w:r>
              <w:rPr>
                <w:spacing w:val="-2"/>
                <w:sz w:val="21"/>
                <w:szCs w:val="21"/>
              </w:rPr>
              <w:t>土建、设备等专业的具体要求）</w:t>
            </w:r>
          </w:p>
        </w:tc>
        <w:tc>
          <w:tcPr>
            <w:tcW w:w="684" w:type="dxa"/>
            <w:vAlign w:val="top"/>
          </w:tcPr>
          <w:p>
            <w:pPr>
              <w:spacing w:before="281" w:line="179" w:lineRule="auto"/>
              <w:ind w:left="123"/>
              <w:rPr>
                <w:rFonts w:ascii="Calibri" w:hAnsi="Calibri" w:eastAsia="Calibri" w:cs="Calibri"/>
                <w:sz w:val="21"/>
                <w:szCs w:val="21"/>
              </w:rPr>
            </w:pPr>
            <w:r>
              <w:rPr>
                <w:rFonts w:ascii="Calibri" w:hAnsi="Calibri" w:eastAsia="Calibri" w:cs="Calibri"/>
                <w:sz w:val="21"/>
                <w:szCs w:val="21"/>
              </w:rPr>
              <w:t>1</w:t>
            </w:r>
          </w:p>
        </w:tc>
        <w:tc>
          <w:tcPr>
            <w:tcW w:w="2876" w:type="dxa"/>
            <w:vAlign w:val="top"/>
          </w:tcPr>
          <w:p>
            <w:pPr>
              <w:pStyle w:val="87"/>
              <w:spacing w:before="233" w:line="221" w:lineRule="auto"/>
              <w:ind w:left="111"/>
              <w:rPr>
                <w:sz w:val="21"/>
                <w:szCs w:val="21"/>
              </w:rPr>
            </w:pPr>
            <w:r>
              <w:rPr>
                <w:spacing w:val="-3"/>
                <w:sz w:val="21"/>
                <w:szCs w:val="21"/>
              </w:rPr>
              <w:t>初步设计开始</w:t>
            </w:r>
            <w:r>
              <w:rPr>
                <w:spacing w:val="-40"/>
                <w:sz w:val="21"/>
                <w:szCs w:val="21"/>
              </w:rPr>
              <w:t xml:space="preserve"> </w:t>
            </w:r>
            <w:r>
              <w:rPr>
                <w:rFonts w:ascii="Calibri" w:hAnsi="Calibri" w:eastAsia="Calibri" w:cs="Calibri"/>
                <w:spacing w:val="-3"/>
                <w:sz w:val="21"/>
                <w:szCs w:val="21"/>
              </w:rPr>
              <w:t>3</w:t>
            </w:r>
            <w:r>
              <w:rPr>
                <w:rFonts w:ascii="Calibri" w:hAnsi="Calibri" w:eastAsia="Calibri" w:cs="Calibri"/>
                <w:spacing w:val="19"/>
                <w:w w:val="101"/>
                <w:sz w:val="21"/>
                <w:szCs w:val="21"/>
              </w:rPr>
              <w:t xml:space="preserve"> </w:t>
            </w:r>
            <w:r>
              <w:rPr>
                <w:spacing w:val="-3"/>
                <w:sz w:val="21"/>
                <w:szCs w:val="21"/>
              </w:rPr>
              <w:t>天前</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2" w:hRule="atLeast"/>
        </w:trPr>
        <w:tc>
          <w:tcPr>
            <w:tcW w:w="607" w:type="dxa"/>
            <w:vAlign w:val="top"/>
          </w:tcPr>
          <w:p>
            <w:pPr>
              <w:spacing w:before="283" w:line="179" w:lineRule="auto"/>
              <w:ind w:left="257"/>
              <w:rPr>
                <w:rFonts w:ascii="Calibri" w:hAnsi="Calibri" w:eastAsia="Calibri" w:cs="Calibri"/>
                <w:sz w:val="21"/>
                <w:szCs w:val="21"/>
              </w:rPr>
            </w:pPr>
            <w:r>
              <w:rPr>
                <w:rFonts w:ascii="Calibri" w:hAnsi="Calibri" w:eastAsia="Calibri" w:cs="Calibri"/>
                <w:sz w:val="21"/>
                <w:szCs w:val="21"/>
              </w:rPr>
              <w:t>3</w:t>
            </w:r>
          </w:p>
        </w:tc>
        <w:tc>
          <w:tcPr>
            <w:tcW w:w="3586" w:type="dxa"/>
            <w:vAlign w:val="top"/>
          </w:tcPr>
          <w:p>
            <w:pPr>
              <w:pStyle w:val="87"/>
              <w:spacing w:before="31" w:line="343" w:lineRule="auto"/>
              <w:ind w:left="115" w:right="103" w:hanging="2"/>
              <w:rPr>
                <w:sz w:val="21"/>
                <w:szCs w:val="21"/>
              </w:rPr>
            </w:pPr>
            <w:r>
              <w:rPr>
                <w:sz w:val="21"/>
                <w:szCs w:val="21"/>
              </w:rPr>
              <w:t>厂址选择报告、土地使用协议、建筑</w:t>
            </w:r>
            <w:r>
              <w:rPr>
                <w:spacing w:val="2"/>
                <w:sz w:val="21"/>
                <w:szCs w:val="21"/>
              </w:rPr>
              <w:t xml:space="preserve"> </w:t>
            </w:r>
            <w:r>
              <w:rPr>
                <w:spacing w:val="-2"/>
                <w:sz w:val="21"/>
                <w:szCs w:val="21"/>
              </w:rPr>
              <w:t>红线图，建筑钉桩图</w:t>
            </w:r>
          </w:p>
        </w:tc>
        <w:tc>
          <w:tcPr>
            <w:tcW w:w="684" w:type="dxa"/>
            <w:vAlign w:val="top"/>
          </w:tcPr>
          <w:p>
            <w:pPr>
              <w:pStyle w:val="87"/>
              <w:spacing w:before="237" w:line="221" w:lineRule="auto"/>
              <w:ind w:left="116"/>
              <w:rPr>
                <w:rFonts w:ascii="Calibri" w:hAnsi="Calibri" w:eastAsia="Calibri" w:cs="Calibri"/>
                <w:sz w:val="21"/>
                <w:szCs w:val="21"/>
              </w:rPr>
            </w:pPr>
            <w:r>
              <w:rPr>
                <w:spacing w:val="-5"/>
                <w:sz w:val="21"/>
                <w:szCs w:val="21"/>
              </w:rPr>
              <w:t>各</w:t>
            </w:r>
            <w:r>
              <w:rPr>
                <w:spacing w:val="-35"/>
                <w:sz w:val="21"/>
                <w:szCs w:val="21"/>
              </w:rPr>
              <w:t xml:space="preserve"> </w:t>
            </w:r>
            <w:r>
              <w:rPr>
                <w:rFonts w:ascii="Calibri" w:hAnsi="Calibri" w:eastAsia="Calibri" w:cs="Calibri"/>
                <w:spacing w:val="-5"/>
                <w:sz w:val="21"/>
                <w:szCs w:val="21"/>
              </w:rPr>
              <w:t>1</w:t>
            </w:r>
          </w:p>
        </w:tc>
        <w:tc>
          <w:tcPr>
            <w:tcW w:w="2876" w:type="dxa"/>
            <w:vAlign w:val="top"/>
          </w:tcPr>
          <w:p>
            <w:pPr>
              <w:pStyle w:val="87"/>
              <w:spacing w:before="236" w:line="221" w:lineRule="auto"/>
              <w:ind w:left="111"/>
              <w:rPr>
                <w:sz w:val="21"/>
                <w:szCs w:val="21"/>
              </w:rPr>
            </w:pPr>
            <w:r>
              <w:rPr>
                <w:spacing w:val="-3"/>
                <w:sz w:val="21"/>
                <w:szCs w:val="21"/>
              </w:rPr>
              <w:t>初步设计开始</w:t>
            </w:r>
            <w:r>
              <w:rPr>
                <w:spacing w:val="-40"/>
                <w:sz w:val="21"/>
                <w:szCs w:val="21"/>
              </w:rPr>
              <w:t xml:space="preserve"> </w:t>
            </w:r>
            <w:r>
              <w:rPr>
                <w:rFonts w:ascii="Calibri" w:hAnsi="Calibri" w:eastAsia="Calibri" w:cs="Calibri"/>
                <w:spacing w:val="-3"/>
                <w:sz w:val="21"/>
                <w:szCs w:val="21"/>
              </w:rPr>
              <w:t>3</w:t>
            </w:r>
            <w:r>
              <w:rPr>
                <w:rFonts w:ascii="Calibri" w:hAnsi="Calibri" w:eastAsia="Calibri" w:cs="Calibri"/>
                <w:spacing w:val="19"/>
                <w:w w:val="101"/>
                <w:sz w:val="21"/>
                <w:szCs w:val="21"/>
              </w:rPr>
              <w:t xml:space="preserve"> </w:t>
            </w:r>
            <w:r>
              <w:rPr>
                <w:spacing w:val="-3"/>
                <w:sz w:val="21"/>
                <w:szCs w:val="21"/>
              </w:rPr>
              <w:t>天前</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607" w:type="dxa"/>
            <w:vAlign w:val="top"/>
          </w:tcPr>
          <w:p>
            <w:pPr>
              <w:spacing w:before="148" w:line="178" w:lineRule="auto"/>
              <w:ind w:left="251"/>
              <w:rPr>
                <w:rFonts w:ascii="Calibri" w:hAnsi="Calibri" w:eastAsia="Calibri" w:cs="Calibri"/>
                <w:sz w:val="21"/>
                <w:szCs w:val="21"/>
              </w:rPr>
            </w:pPr>
            <w:r>
              <w:rPr>
                <w:rFonts w:ascii="Calibri" w:hAnsi="Calibri" w:eastAsia="Calibri" w:cs="Calibri"/>
                <w:sz w:val="21"/>
                <w:szCs w:val="21"/>
              </w:rPr>
              <w:t>4</w:t>
            </w:r>
          </w:p>
        </w:tc>
        <w:tc>
          <w:tcPr>
            <w:tcW w:w="3586" w:type="dxa"/>
            <w:vAlign w:val="top"/>
          </w:tcPr>
          <w:p>
            <w:pPr>
              <w:pStyle w:val="87"/>
              <w:keepNext w:val="0"/>
              <w:keepLines w:val="0"/>
              <w:pageBreakBefore w:val="0"/>
              <w:widowControl/>
              <w:kinsoku/>
              <w:wordWrap/>
              <w:overflowPunct/>
              <w:topLinePunct w:val="0"/>
              <w:autoSpaceDE/>
              <w:autoSpaceDN/>
              <w:bidi w:val="0"/>
              <w:adjustRightInd/>
              <w:snapToGrid/>
              <w:spacing w:before="0" w:after="0" w:afterAutospacing="0" w:line="221" w:lineRule="auto"/>
              <w:ind w:left="0" w:right="0" w:firstLine="0"/>
              <w:jc w:val="both"/>
              <w:textAlignment w:val="auto"/>
              <w:rPr>
                <w:spacing w:val="-2"/>
                <w:sz w:val="21"/>
                <w:szCs w:val="21"/>
              </w:rPr>
            </w:pPr>
          </w:p>
          <w:p>
            <w:pPr>
              <w:pStyle w:val="87"/>
              <w:keepNext w:val="0"/>
              <w:keepLines w:val="0"/>
              <w:pageBreakBefore w:val="0"/>
              <w:widowControl/>
              <w:kinsoku/>
              <w:wordWrap/>
              <w:overflowPunct/>
              <w:topLinePunct w:val="0"/>
              <w:autoSpaceDE/>
              <w:autoSpaceDN/>
              <w:bidi w:val="0"/>
              <w:adjustRightInd/>
              <w:snapToGrid/>
              <w:spacing w:before="0" w:after="0" w:afterAutospacing="0" w:line="221" w:lineRule="auto"/>
              <w:ind w:left="0" w:right="0" w:firstLine="0"/>
              <w:jc w:val="both"/>
              <w:textAlignment w:val="auto"/>
              <w:rPr>
                <w:sz w:val="21"/>
                <w:szCs w:val="21"/>
              </w:rPr>
            </w:pPr>
            <w:r>
              <w:rPr>
                <w:spacing w:val="-2"/>
                <w:sz w:val="21"/>
                <w:szCs w:val="21"/>
              </w:rPr>
              <w:t>当地规划部门的规划意见书</w:t>
            </w:r>
          </w:p>
        </w:tc>
        <w:tc>
          <w:tcPr>
            <w:tcW w:w="684" w:type="dxa"/>
            <w:vAlign w:val="top"/>
          </w:tcPr>
          <w:p>
            <w:pPr>
              <w:spacing w:before="147" w:line="179" w:lineRule="auto"/>
              <w:ind w:left="123"/>
              <w:rPr>
                <w:rFonts w:ascii="Calibri" w:hAnsi="Calibri" w:eastAsia="Calibri" w:cs="Calibri"/>
                <w:sz w:val="21"/>
                <w:szCs w:val="21"/>
              </w:rPr>
            </w:pPr>
            <w:r>
              <w:rPr>
                <w:rFonts w:ascii="Calibri" w:hAnsi="Calibri" w:eastAsia="Calibri" w:cs="Calibri"/>
                <w:sz w:val="21"/>
                <w:szCs w:val="21"/>
              </w:rPr>
              <w:t>1</w:t>
            </w:r>
          </w:p>
        </w:tc>
        <w:tc>
          <w:tcPr>
            <w:tcW w:w="2876" w:type="dxa"/>
            <w:vAlign w:val="top"/>
          </w:tcPr>
          <w:p>
            <w:pPr>
              <w:pStyle w:val="87"/>
              <w:spacing w:before="100" w:line="221" w:lineRule="auto"/>
              <w:ind w:left="111"/>
              <w:rPr>
                <w:sz w:val="21"/>
                <w:szCs w:val="21"/>
              </w:rPr>
            </w:pPr>
            <w:r>
              <w:rPr>
                <w:spacing w:val="-3"/>
                <w:sz w:val="21"/>
                <w:szCs w:val="21"/>
              </w:rPr>
              <w:t>初步设计开始</w:t>
            </w:r>
            <w:r>
              <w:rPr>
                <w:spacing w:val="-40"/>
                <w:sz w:val="21"/>
                <w:szCs w:val="21"/>
              </w:rPr>
              <w:t xml:space="preserve"> </w:t>
            </w:r>
            <w:r>
              <w:rPr>
                <w:rFonts w:ascii="Calibri" w:hAnsi="Calibri" w:eastAsia="Calibri" w:cs="Calibri"/>
                <w:spacing w:val="-3"/>
                <w:sz w:val="21"/>
                <w:szCs w:val="21"/>
              </w:rPr>
              <w:t>3</w:t>
            </w:r>
            <w:r>
              <w:rPr>
                <w:rFonts w:ascii="Calibri" w:hAnsi="Calibri" w:eastAsia="Calibri" w:cs="Calibri"/>
                <w:spacing w:val="19"/>
                <w:w w:val="101"/>
                <w:sz w:val="21"/>
                <w:szCs w:val="21"/>
              </w:rPr>
              <w:t xml:space="preserve"> </w:t>
            </w:r>
            <w:r>
              <w:rPr>
                <w:spacing w:val="-3"/>
                <w:sz w:val="21"/>
                <w:szCs w:val="21"/>
              </w:rPr>
              <w:t>天前</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0" w:hRule="atLeast"/>
        </w:trPr>
        <w:tc>
          <w:tcPr>
            <w:tcW w:w="607" w:type="dxa"/>
            <w:vAlign w:val="top"/>
          </w:tcPr>
          <w:p>
            <w:pPr>
              <w:spacing w:before="283" w:line="178" w:lineRule="auto"/>
              <w:ind w:left="257"/>
              <w:rPr>
                <w:rFonts w:ascii="Calibri" w:hAnsi="Calibri" w:eastAsia="Calibri" w:cs="Calibri"/>
                <w:sz w:val="21"/>
                <w:szCs w:val="21"/>
              </w:rPr>
            </w:pPr>
            <w:r>
              <w:rPr>
                <w:rFonts w:ascii="Calibri" w:hAnsi="Calibri" w:eastAsia="Calibri" w:cs="Calibri"/>
                <w:sz w:val="21"/>
                <w:szCs w:val="21"/>
              </w:rPr>
              <w:t>5</w:t>
            </w:r>
          </w:p>
        </w:tc>
        <w:tc>
          <w:tcPr>
            <w:tcW w:w="3586" w:type="dxa"/>
            <w:vAlign w:val="top"/>
          </w:tcPr>
          <w:p>
            <w:pPr>
              <w:pStyle w:val="87"/>
              <w:spacing w:before="31" w:line="342" w:lineRule="auto"/>
              <w:ind w:left="113" w:right="103" w:firstLine="32"/>
              <w:rPr>
                <w:sz w:val="21"/>
                <w:szCs w:val="21"/>
              </w:rPr>
            </w:pPr>
            <w:r>
              <w:rPr>
                <w:spacing w:val="-2"/>
                <w:sz w:val="21"/>
                <w:szCs w:val="21"/>
              </w:rPr>
              <w:t>自然资源、气象条件、地形地貌、水</w:t>
            </w:r>
            <w:r>
              <w:rPr>
                <w:spacing w:val="2"/>
                <w:sz w:val="21"/>
                <w:szCs w:val="21"/>
              </w:rPr>
              <w:t xml:space="preserve"> </w:t>
            </w:r>
            <w:r>
              <w:rPr>
                <w:spacing w:val="-1"/>
                <w:sz w:val="21"/>
                <w:szCs w:val="21"/>
              </w:rPr>
              <w:t>文及工程详细地质勘察报告</w:t>
            </w:r>
          </w:p>
        </w:tc>
        <w:tc>
          <w:tcPr>
            <w:tcW w:w="684" w:type="dxa"/>
            <w:vAlign w:val="top"/>
          </w:tcPr>
          <w:p>
            <w:pPr>
              <w:pStyle w:val="87"/>
              <w:spacing w:before="236" w:line="221" w:lineRule="auto"/>
              <w:ind w:left="116"/>
              <w:rPr>
                <w:rFonts w:ascii="Calibri" w:hAnsi="Calibri" w:eastAsia="Calibri" w:cs="Calibri"/>
                <w:sz w:val="21"/>
                <w:szCs w:val="21"/>
              </w:rPr>
            </w:pPr>
            <w:r>
              <w:rPr>
                <w:spacing w:val="-5"/>
                <w:sz w:val="21"/>
                <w:szCs w:val="21"/>
              </w:rPr>
              <w:t>各</w:t>
            </w:r>
            <w:r>
              <w:rPr>
                <w:spacing w:val="-35"/>
                <w:sz w:val="21"/>
                <w:szCs w:val="21"/>
              </w:rPr>
              <w:t xml:space="preserve"> </w:t>
            </w:r>
            <w:r>
              <w:rPr>
                <w:rFonts w:ascii="Calibri" w:hAnsi="Calibri" w:eastAsia="Calibri" w:cs="Calibri"/>
                <w:spacing w:val="-5"/>
                <w:sz w:val="21"/>
                <w:szCs w:val="21"/>
              </w:rPr>
              <w:t>1</w:t>
            </w:r>
          </w:p>
        </w:tc>
        <w:tc>
          <w:tcPr>
            <w:tcW w:w="2876" w:type="dxa"/>
            <w:vAlign w:val="top"/>
          </w:tcPr>
          <w:p>
            <w:pPr>
              <w:pStyle w:val="87"/>
              <w:spacing w:before="235" w:line="221" w:lineRule="auto"/>
              <w:ind w:left="111"/>
              <w:rPr>
                <w:sz w:val="21"/>
                <w:szCs w:val="21"/>
              </w:rPr>
            </w:pPr>
            <w:r>
              <w:rPr>
                <w:spacing w:val="-3"/>
                <w:sz w:val="21"/>
                <w:szCs w:val="21"/>
              </w:rPr>
              <w:t>初步设计开始</w:t>
            </w:r>
            <w:r>
              <w:rPr>
                <w:spacing w:val="-40"/>
                <w:sz w:val="21"/>
                <w:szCs w:val="21"/>
              </w:rPr>
              <w:t xml:space="preserve"> </w:t>
            </w:r>
            <w:r>
              <w:rPr>
                <w:rFonts w:ascii="Calibri" w:hAnsi="Calibri" w:eastAsia="Calibri" w:cs="Calibri"/>
                <w:spacing w:val="-3"/>
                <w:sz w:val="21"/>
                <w:szCs w:val="21"/>
              </w:rPr>
              <w:t>3</w:t>
            </w:r>
            <w:r>
              <w:rPr>
                <w:rFonts w:ascii="Calibri" w:hAnsi="Calibri" w:eastAsia="Calibri" w:cs="Calibri"/>
                <w:spacing w:val="19"/>
                <w:w w:val="101"/>
                <w:sz w:val="21"/>
                <w:szCs w:val="21"/>
              </w:rPr>
              <w:t xml:space="preserve"> </w:t>
            </w:r>
            <w:r>
              <w:rPr>
                <w:spacing w:val="-3"/>
                <w:sz w:val="21"/>
                <w:szCs w:val="21"/>
              </w:rPr>
              <w:t>天前</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trPr>
        <w:tc>
          <w:tcPr>
            <w:tcW w:w="607" w:type="dxa"/>
            <w:vAlign w:val="top"/>
          </w:tcPr>
          <w:p>
            <w:pPr>
              <w:spacing w:before="285" w:line="179" w:lineRule="auto"/>
              <w:ind w:left="257"/>
              <w:rPr>
                <w:rFonts w:ascii="Calibri" w:hAnsi="Calibri" w:eastAsia="Calibri" w:cs="Calibri"/>
                <w:sz w:val="21"/>
                <w:szCs w:val="21"/>
              </w:rPr>
            </w:pPr>
            <w:r>
              <w:rPr>
                <w:rFonts w:ascii="Calibri" w:hAnsi="Calibri" w:eastAsia="Calibri" w:cs="Calibri"/>
                <w:sz w:val="21"/>
                <w:szCs w:val="21"/>
              </w:rPr>
              <w:t>6</w:t>
            </w:r>
          </w:p>
        </w:tc>
        <w:tc>
          <w:tcPr>
            <w:tcW w:w="3586" w:type="dxa"/>
            <w:vAlign w:val="top"/>
          </w:tcPr>
          <w:p>
            <w:pPr>
              <w:pStyle w:val="87"/>
              <w:spacing w:before="238" w:line="221" w:lineRule="auto"/>
              <w:ind w:left="113"/>
              <w:rPr>
                <w:sz w:val="21"/>
                <w:szCs w:val="21"/>
              </w:rPr>
            </w:pPr>
            <w:r>
              <w:rPr>
                <w:spacing w:val="-1"/>
                <w:sz w:val="21"/>
                <w:szCs w:val="21"/>
              </w:rPr>
              <w:t>各阶段主管部门的审批意见</w:t>
            </w:r>
          </w:p>
        </w:tc>
        <w:tc>
          <w:tcPr>
            <w:tcW w:w="684" w:type="dxa"/>
            <w:vAlign w:val="top"/>
          </w:tcPr>
          <w:p>
            <w:pPr>
              <w:pStyle w:val="87"/>
              <w:spacing w:before="239" w:line="221" w:lineRule="auto"/>
              <w:ind w:left="116"/>
              <w:rPr>
                <w:rFonts w:ascii="Calibri" w:hAnsi="Calibri" w:eastAsia="Calibri" w:cs="Calibri"/>
                <w:sz w:val="21"/>
                <w:szCs w:val="21"/>
              </w:rPr>
            </w:pPr>
            <w:r>
              <w:rPr>
                <w:spacing w:val="-5"/>
                <w:sz w:val="21"/>
                <w:szCs w:val="21"/>
              </w:rPr>
              <w:t>各</w:t>
            </w:r>
            <w:r>
              <w:rPr>
                <w:spacing w:val="-35"/>
                <w:sz w:val="21"/>
                <w:szCs w:val="21"/>
              </w:rPr>
              <w:t xml:space="preserve"> </w:t>
            </w:r>
            <w:r>
              <w:rPr>
                <w:rFonts w:ascii="Calibri" w:hAnsi="Calibri" w:eastAsia="Calibri" w:cs="Calibri"/>
                <w:spacing w:val="-5"/>
                <w:sz w:val="21"/>
                <w:szCs w:val="21"/>
              </w:rPr>
              <w:t>1</w:t>
            </w:r>
          </w:p>
        </w:tc>
        <w:tc>
          <w:tcPr>
            <w:tcW w:w="2876" w:type="dxa"/>
            <w:vAlign w:val="top"/>
          </w:tcPr>
          <w:p>
            <w:pPr>
              <w:pStyle w:val="87"/>
              <w:spacing w:before="34" w:line="342" w:lineRule="auto"/>
              <w:ind w:left="112" w:right="102" w:firstLine="5"/>
              <w:rPr>
                <w:sz w:val="21"/>
                <w:szCs w:val="21"/>
              </w:rPr>
            </w:pPr>
            <w:r>
              <w:rPr>
                <w:sz w:val="21"/>
                <w:szCs w:val="21"/>
              </w:rPr>
              <w:t xml:space="preserve">下一个阶段设计开始 </w:t>
            </w:r>
            <w:r>
              <w:rPr>
                <w:rFonts w:ascii="Calibri" w:hAnsi="Calibri" w:eastAsia="Calibri" w:cs="Calibri"/>
                <w:sz w:val="21"/>
                <w:szCs w:val="21"/>
              </w:rPr>
              <w:t>3</w:t>
            </w:r>
            <w:r>
              <w:rPr>
                <w:rFonts w:ascii="Calibri" w:hAnsi="Calibri" w:eastAsia="Calibri" w:cs="Calibri"/>
                <w:spacing w:val="16"/>
                <w:sz w:val="21"/>
                <w:szCs w:val="21"/>
              </w:rPr>
              <w:t xml:space="preserve">  </w:t>
            </w:r>
            <w:r>
              <w:rPr>
                <w:sz w:val="21"/>
                <w:szCs w:val="21"/>
              </w:rPr>
              <w:t xml:space="preserve">天前 </w:t>
            </w:r>
            <w:r>
              <w:rPr>
                <w:spacing w:val="-1"/>
                <w:sz w:val="21"/>
                <w:szCs w:val="21"/>
              </w:rPr>
              <w:t>提供上一个阶段审批意见</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trPr>
        <w:tc>
          <w:tcPr>
            <w:tcW w:w="607" w:type="dxa"/>
            <w:vAlign w:val="top"/>
          </w:tcPr>
          <w:p>
            <w:pPr>
              <w:spacing w:before="284" w:line="178" w:lineRule="auto"/>
              <w:ind w:left="257"/>
              <w:rPr>
                <w:rFonts w:ascii="Calibri" w:hAnsi="Calibri" w:eastAsia="Calibri" w:cs="Calibri"/>
                <w:sz w:val="21"/>
                <w:szCs w:val="21"/>
              </w:rPr>
            </w:pPr>
            <w:r>
              <w:rPr>
                <w:rFonts w:ascii="Calibri" w:hAnsi="Calibri" w:eastAsia="Calibri" w:cs="Calibri"/>
                <w:sz w:val="21"/>
                <w:szCs w:val="21"/>
              </w:rPr>
              <w:t>7</w:t>
            </w:r>
          </w:p>
        </w:tc>
        <w:tc>
          <w:tcPr>
            <w:tcW w:w="3586" w:type="dxa"/>
            <w:vAlign w:val="top"/>
          </w:tcPr>
          <w:p>
            <w:pPr>
              <w:pStyle w:val="87"/>
              <w:spacing w:before="32" w:line="343" w:lineRule="auto"/>
              <w:ind w:left="131" w:right="103" w:hanging="21"/>
              <w:rPr>
                <w:sz w:val="21"/>
                <w:szCs w:val="21"/>
              </w:rPr>
            </w:pPr>
            <w:r>
              <w:rPr>
                <w:sz w:val="21"/>
                <w:szCs w:val="21"/>
              </w:rPr>
              <w:t>初步设计确认单（含非标准设备设计</w:t>
            </w:r>
            <w:r>
              <w:rPr>
                <w:spacing w:val="6"/>
                <w:sz w:val="21"/>
                <w:szCs w:val="21"/>
              </w:rPr>
              <w:t xml:space="preserve"> </w:t>
            </w:r>
            <w:r>
              <w:rPr>
                <w:spacing w:val="-7"/>
                <w:sz w:val="21"/>
                <w:szCs w:val="21"/>
              </w:rPr>
              <w:t>图开工令）</w:t>
            </w:r>
          </w:p>
        </w:tc>
        <w:tc>
          <w:tcPr>
            <w:tcW w:w="684" w:type="dxa"/>
            <w:vAlign w:val="top"/>
          </w:tcPr>
          <w:p>
            <w:pPr>
              <w:spacing w:before="283" w:line="179" w:lineRule="auto"/>
              <w:ind w:left="123"/>
              <w:rPr>
                <w:rFonts w:ascii="Calibri" w:hAnsi="Calibri" w:eastAsia="Calibri" w:cs="Calibri"/>
                <w:sz w:val="21"/>
                <w:szCs w:val="21"/>
              </w:rPr>
            </w:pPr>
            <w:r>
              <w:rPr>
                <w:rFonts w:ascii="Calibri" w:hAnsi="Calibri" w:eastAsia="Calibri" w:cs="Calibri"/>
                <w:sz w:val="21"/>
                <w:szCs w:val="21"/>
              </w:rPr>
              <w:t>1</w:t>
            </w:r>
          </w:p>
        </w:tc>
        <w:tc>
          <w:tcPr>
            <w:tcW w:w="2876" w:type="dxa"/>
            <w:vAlign w:val="top"/>
          </w:tcPr>
          <w:p>
            <w:pPr>
              <w:pStyle w:val="87"/>
              <w:spacing w:before="237" w:line="221" w:lineRule="auto"/>
              <w:ind w:left="111"/>
              <w:rPr>
                <w:sz w:val="21"/>
                <w:szCs w:val="21"/>
              </w:rPr>
            </w:pPr>
            <w:r>
              <w:rPr>
                <w:spacing w:val="-3"/>
                <w:sz w:val="21"/>
                <w:szCs w:val="21"/>
              </w:rPr>
              <w:t>施工图设计开始</w:t>
            </w:r>
            <w:r>
              <w:rPr>
                <w:spacing w:val="-34"/>
                <w:sz w:val="21"/>
                <w:szCs w:val="21"/>
              </w:rPr>
              <w:t xml:space="preserve"> </w:t>
            </w:r>
            <w:r>
              <w:rPr>
                <w:rFonts w:ascii="Calibri" w:hAnsi="Calibri" w:eastAsia="Calibri" w:cs="Calibri"/>
                <w:spacing w:val="-3"/>
                <w:sz w:val="21"/>
                <w:szCs w:val="21"/>
              </w:rPr>
              <w:t>3</w:t>
            </w:r>
            <w:r>
              <w:rPr>
                <w:rFonts w:ascii="Calibri" w:hAnsi="Calibri" w:eastAsia="Calibri" w:cs="Calibri"/>
                <w:spacing w:val="16"/>
                <w:w w:val="101"/>
                <w:sz w:val="21"/>
                <w:szCs w:val="21"/>
              </w:rPr>
              <w:t xml:space="preserve"> </w:t>
            </w:r>
            <w:r>
              <w:rPr>
                <w:spacing w:val="-3"/>
                <w:sz w:val="21"/>
                <w:szCs w:val="21"/>
              </w:rPr>
              <w:t>天前</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0" w:hRule="atLeast"/>
        </w:trPr>
        <w:tc>
          <w:tcPr>
            <w:tcW w:w="607" w:type="dxa"/>
            <w:vAlign w:val="top"/>
          </w:tcPr>
          <w:p>
            <w:pPr>
              <w:spacing w:before="283" w:line="179" w:lineRule="auto"/>
              <w:ind w:left="255"/>
              <w:rPr>
                <w:rFonts w:ascii="Calibri" w:hAnsi="Calibri" w:eastAsia="Calibri" w:cs="Calibri"/>
                <w:sz w:val="21"/>
                <w:szCs w:val="21"/>
              </w:rPr>
            </w:pPr>
            <w:r>
              <w:rPr>
                <w:rFonts w:ascii="Calibri" w:hAnsi="Calibri" w:eastAsia="Calibri" w:cs="Calibri"/>
                <w:sz w:val="21"/>
                <w:szCs w:val="21"/>
              </w:rPr>
              <w:t>8</w:t>
            </w:r>
          </w:p>
        </w:tc>
        <w:tc>
          <w:tcPr>
            <w:tcW w:w="3586" w:type="dxa"/>
            <w:vAlign w:val="top"/>
          </w:tcPr>
          <w:p>
            <w:pPr>
              <w:pStyle w:val="87"/>
              <w:spacing w:before="31" w:line="342" w:lineRule="auto"/>
              <w:ind w:left="111" w:right="103" w:firstLine="3"/>
              <w:rPr>
                <w:sz w:val="21"/>
                <w:szCs w:val="21"/>
              </w:rPr>
            </w:pPr>
            <w:r>
              <w:rPr>
                <w:sz w:val="21"/>
                <w:szCs w:val="21"/>
              </w:rPr>
              <w:t>非标准设备设计确认单（含施工图设</w:t>
            </w:r>
            <w:r>
              <w:rPr>
                <w:spacing w:val="1"/>
                <w:sz w:val="21"/>
                <w:szCs w:val="21"/>
              </w:rPr>
              <w:t xml:space="preserve"> </w:t>
            </w:r>
            <w:r>
              <w:rPr>
                <w:spacing w:val="-3"/>
                <w:sz w:val="21"/>
                <w:szCs w:val="21"/>
              </w:rPr>
              <w:t>计开工令）</w:t>
            </w:r>
          </w:p>
        </w:tc>
        <w:tc>
          <w:tcPr>
            <w:tcW w:w="684" w:type="dxa"/>
            <w:vAlign w:val="top"/>
          </w:tcPr>
          <w:p>
            <w:pPr>
              <w:spacing w:before="283" w:line="179" w:lineRule="auto"/>
              <w:ind w:left="123"/>
              <w:rPr>
                <w:rFonts w:ascii="Calibri" w:hAnsi="Calibri" w:eastAsia="Calibri" w:cs="Calibri"/>
                <w:sz w:val="21"/>
                <w:szCs w:val="21"/>
              </w:rPr>
            </w:pPr>
            <w:r>
              <w:rPr>
                <w:rFonts w:ascii="Calibri" w:hAnsi="Calibri" w:eastAsia="Calibri" w:cs="Calibri"/>
                <w:sz w:val="21"/>
                <w:szCs w:val="21"/>
              </w:rPr>
              <w:t>1</w:t>
            </w:r>
          </w:p>
        </w:tc>
        <w:tc>
          <w:tcPr>
            <w:tcW w:w="2876" w:type="dxa"/>
            <w:vAlign w:val="top"/>
          </w:tcPr>
          <w:p>
            <w:pPr>
              <w:pStyle w:val="87"/>
              <w:spacing w:before="237" w:line="221" w:lineRule="auto"/>
              <w:ind w:left="111"/>
              <w:rPr>
                <w:sz w:val="21"/>
                <w:szCs w:val="21"/>
              </w:rPr>
            </w:pPr>
            <w:r>
              <w:rPr>
                <w:spacing w:val="-3"/>
                <w:sz w:val="21"/>
                <w:szCs w:val="21"/>
              </w:rPr>
              <w:t>施工图设计开始</w:t>
            </w:r>
            <w:r>
              <w:rPr>
                <w:spacing w:val="-34"/>
                <w:sz w:val="21"/>
                <w:szCs w:val="21"/>
              </w:rPr>
              <w:t xml:space="preserve"> </w:t>
            </w:r>
            <w:r>
              <w:rPr>
                <w:rFonts w:ascii="Calibri" w:hAnsi="Calibri" w:eastAsia="Calibri" w:cs="Calibri"/>
                <w:spacing w:val="-3"/>
                <w:sz w:val="21"/>
                <w:szCs w:val="21"/>
              </w:rPr>
              <w:t>3</w:t>
            </w:r>
            <w:r>
              <w:rPr>
                <w:rFonts w:ascii="Calibri" w:hAnsi="Calibri" w:eastAsia="Calibri" w:cs="Calibri"/>
                <w:spacing w:val="16"/>
                <w:w w:val="101"/>
                <w:sz w:val="21"/>
                <w:szCs w:val="21"/>
              </w:rPr>
              <w:t xml:space="preserve"> </w:t>
            </w:r>
            <w:r>
              <w:rPr>
                <w:spacing w:val="-3"/>
                <w:sz w:val="21"/>
                <w:szCs w:val="21"/>
              </w:rPr>
              <w:t>天前</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trPr>
        <w:tc>
          <w:tcPr>
            <w:tcW w:w="607" w:type="dxa"/>
            <w:vAlign w:val="top"/>
          </w:tcPr>
          <w:p>
            <w:pPr>
              <w:spacing w:before="283" w:line="179" w:lineRule="auto"/>
              <w:ind w:left="255"/>
              <w:rPr>
                <w:rFonts w:ascii="Calibri" w:hAnsi="Calibri" w:eastAsia="Calibri" w:cs="Calibri"/>
                <w:sz w:val="21"/>
                <w:szCs w:val="21"/>
              </w:rPr>
            </w:pPr>
            <w:r>
              <w:rPr>
                <w:rFonts w:ascii="Calibri" w:hAnsi="Calibri" w:eastAsia="Calibri" w:cs="Calibri"/>
                <w:sz w:val="21"/>
                <w:szCs w:val="21"/>
              </w:rPr>
              <w:t>9</w:t>
            </w:r>
          </w:p>
        </w:tc>
        <w:tc>
          <w:tcPr>
            <w:tcW w:w="3586" w:type="dxa"/>
            <w:vAlign w:val="top"/>
          </w:tcPr>
          <w:p>
            <w:pPr>
              <w:pStyle w:val="87"/>
              <w:spacing w:before="34" w:line="331" w:lineRule="auto"/>
              <w:ind w:left="135" w:right="55" w:hanging="22"/>
              <w:rPr>
                <w:sz w:val="21"/>
                <w:szCs w:val="21"/>
              </w:rPr>
            </w:pPr>
            <w:r>
              <w:rPr>
                <w:spacing w:val="-7"/>
                <w:sz w:val="21"/>
                <w:szCs w:val="21"/>
              </w:rPr>
              <w:t>工程所在地地形图（</w:t>
            </w:r>
            <w:r>
              <w:rPr>
                <w:rFonts w:ascii="Calibri" w:hAnsi="Calibri" w:eastAsia="Calibri" w:cs="Calibri"/>
                <w:spacing w:val="-7"/>
                <w:sz w:val="21"/>
                <w:szCs w:val="21"/>
              </w:rPr>
              <w:t>1/500</w:t>
            </w:r>
            <w:r>
              <w:rPr>
                <w:rFonts w:ascii="Calibri" w:hAnsi="Calibri" w:eastAsia="Calibri" w:cs="Calibri"/>
                <w:spacing w:val="16"/>
                <w:w w:val="101"/>
                <w:sz w:val="21"/>
                <w:szCs w:val="21"/>
              </w:rPr>
              <w:t xml:space="preserve"> </w:t>
            </w:r>
            <w:r>
              <w:rPr>
                <w:spacing w:val="-7"/>
                <w:sz w:val="21"/>
                <w:szCs w:val="21"/>
              </w:rPr>
              <w:t>或</w:t>
            </w:r>
            <w:r>
              <w:rPr>
                <w:spacing w:val="-34"/>
                <w:sz w:val="21"/>
                <w:szCs w:val="21"/>
              </w:rPr>
              <w:t xml:space="preserve"> </w:t>
            </w:r>
            <w:r>
              <w:rPr>
                <w:rFonts w:ascii="Calibri" w:hAnsi="Calibri" w:eastAsia="Calibri" w:cs="Calibri"/>
                <w:spacing w:val="-7"/>
                <w:sz w:val="21"/>
                <w:szCs w:val="21"/>
              </w:rPr>
              <w:t>1/1000</w:t>
            </w:r>
            <w:r>
              <w:rPr>
                <w:spacing w:val="-7"/>
                <w:sz w:val="21"/>
                <w:szCs w:val="21"/>
              </w:rPr>
              <w:t>）</w:t>
            </w:r>
            <w:r>
              <w:rPr>
                <w:sz w:val="21"/>
                <w:szCs w:val="21"/>
              </w:rPr>
              <w:t xml:space="preserve"> </w:t>
            </w:r>
            <w:r>
              <w:rPr>
                <w:spacing w:val="-4"/>
                <w:sz w:val="21"/>
                <w:szCs w:val="21"/>
              </w:rPr>
              <w:t>电子版及区域位置图</w:t>
            </w:r>
          </w:p>
        </w:tc>
        <w:tc>
          <w:tcPr>
            <w:tcW w:w="684" w:type="dxa"/>
            <w:vAlign w:val="top"/>
          </w:tcPr>
          <w:p>
            <w:pPr>
              <w:spacing w:before="284" w:line="179" w:lineRule="auto"/>
              <w:ind w:left="123"/>
              <w:rPr>
                <w:rFonts w:ascii="Calibri" w:hAnsi="Calibri" w:eastAsia="Calibri" w:cs="Calibri"/>
                <w:sz w:val="21"/>
                <w:szCs w:val="21"/>
              </w:rPr>
            </w:pPr>
            <w:r>
              <w:rPr>
                <w:rFonts w:ascii="Calibri" w:hAnsi="Calibri" w:eastAsia="Calibri" w:cs="Calibri"/>
                <w:sz w:val="21"/>
                <w:szCs w:val="21"/>
              </w:rPr>
              <w:t>1</w:t>
            </w:r>
          </w:p>
        </w:tc>
        <w:tc>
          <w:tcPr>
            <w:tcW w:w="2876" w:type="dxa"/>
            <w:vAlign w:val="top"/>
          </w:tcPr>
          <w:p>
            <w:pPr>
              <w:pStyle w:val="87"/>
              <w:spacing w:before="236" w:line="221" w:lineRule="auto"/>
              <w:ind w:left="111"/>
              <w:rPr>
                <w:sz w:val="21"/>
                <w:szCs w:val="21"/>
              </w:rPr>
            </w:pPr>
            <w:r>
              <w:rPr>
                <w:spacing w:val="-3"/>
                <w:sz w:val="21"/>
                <w:szCs w:val="21"/>
              </w:rPr>
              <w:t>初步设计开始</w:t>
            </w:r>
            <w:r>
              <w:rPr>
                <w:spacing w:val="-40"/>
                <w:sz w:val="21"/>
                <w:szCs w:val="21"/>
              </w:rPr>
              <w:t xml:space="preserve"> </w:t>
            </w:r>
            <w:r>
              <w:rPr>
                <w:rFonts w:ascii="Calibri" w:hAnsi="Calibri" w:eastAsia="Calibri" w:cs="Calibri"/>
                <w:spacing w:val="-3"/>
                <w:sz w:val="21"/>
                <w:szCs w:val="21"/>
              </w:rPr>
              <w:t>3</w:t>
            </w:r>
            <w:r>
              <w:rPr>
                <w:rFonts w:ascii="Calibri" w:hAnsi="Calibri" w:eastAsia="Calibri" w:cs="Calibri"/>
                <w:spacing w:val="19"/>
                <w:w w:val="101"/>
                <w:sz w:val="21"/>
                <w:szCs w:val="21"/>
              </w:rPr>
              <w:t xml:space="preserve"> </w:t>
            </w:r>
            <w:r>
              <w:rPr>
                <w:spacing w:val="-3"/>
                <w:sz w:val="21"/>
                <w:szCs w:val="21"/>
              </w:rPr>
              <w:t>天前</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1" w:hRule="atLeast"/>
        </w:trPr>
        <w:tc>
          <w:tcPr>
            <w:tcW w:w="607" w:type="dxa"/>
            <w:vAlign w:val="top"/>
          </w:tcPr>
          <w:p>
            <w:pPr>
              <w:spacing w:line="421" w:lineRule="auto"/>
              <w:rPr>
                <w:rFonts w:ascii="Arial"/>
                <w:sz w:val="21"/>
              </w:rPr>
            </w:pPr>
          </w:p>
          <w:p>
            <w:pPr>
              <w:spacing w:before="64" w:line="179" w:lineRule="auto"/>
              <w:ind w:left="209"/>
              <w:rPr>
                <w:rFonts w:ascii="Calibri" w:hAnsi="Calibri" w:eastAsia="Calibri" w:cs="Calibri"/>
                <w:sz w:val="21"/>
                <w:szCs w:val="21"/>
              </w:rPr>
            </w:pPr>
            <w:r>
              <w:rPr>
                <w:rFonts w:ascii="Calibri" w:hAnsi="Calibri" w:eastAsia="Calibri" w:cs="Calibri"/>
                <w:spacing w:val="-4"/>
                <w:sz w:val="21"/>
                <w:szCs w:val="21"/>
              </w:rPr>
              <w:t>10</w:t>
            </w:r>
          </w:p>
        </w:tc>
        <w:tc>
          <w:tcPr>
            <w:tcW w:w="3586" w:type="dxa"/>
            <w:vAlign w:val="top"/>
          </w:tcPr>
          <w:p>
            <w:pPr>
              <w:pStyle w:val="87"/>
              <w:spacing w:before="33" w:line="348" w:lineRule="auto"/>
              <w:ind w:left="114" w:right="28"/>
              <w:jc w:val="both"/>
              <w:rPr>
                <w:sz w:val="21"/>
                <w:szCs w:val="21"/>
              </w:rPr>
            </w:pPr>
            <w:r>
              <w:rPr>
                <w:spacing w:val="-8"/>
                <w:sz w:val="21"/>
                <w:szCs w:val="21"/>
              </w:rPr>
              <w:t>交通、原料、外部供水、排水、供电、</w:t>
            </w:r>
            <w:r>
              <w:rPr>
                <w:spacing w:val="1"/>
                <w:sz w:val="21"/>
                <w:szCs w:val="21"/>
              </w:rPr>
              <w:t xml:space="preserve"> </w:t>
            </w:r>
            <w:r>
              <w:rPr>
                <w:spacing w:val="-1"/>
                <w:sz w:val="21"/>
                <w:szCs w:val="21"/>
              </w:rPr>
              <w:t>电信等位置、标高、坐标、管径或能</w:t>
            </w:r>
            <w:r>
              <w:rPr>
                <w:spacing w:val="3"/>
                <w:sz w:val="21"/>
                <w:szCs w:val="21"/>
              </w:rPr>
              <w:t xml:space="preserve">  </w:t>
            </w:r>
            <w:r>
              <w:rPr>
                <w:spacing w:val="-1"/>
                <w:sz w:val="21"/>
                <w:szCs w:val="21"/>
              </w:rPr>
              <w:t>力等资料（相关物探资料）</w:t>
            </w:r>
          </w:p>
        </w:tc>
        <w:tc>
          <w:tcPr>
            <w:tcW w:w="684" w:type="dxa"/>
            <w:vAlign w:val="top"/>
          </w:tcPr>
          <w:p>
            <w:pPr>
              <w:spacing w:line="421" w:lineRule="auto"/>
              <w:rPr>
                <w:rFonts w:ascii="Arial"/>
                <w:sz w:val="21"/>
              </w:rPr>
            </w:pPr>
          </w:p>
          <w:p>
            <w:pPr>
              <w:spacing w:before="64" w:line="179" w:lineRule="auto"/>
              <w:ind w:left="123"/>
              <w:rPr>
                <w:rFonts w:ascii="Calibri" w:hAnsi="Calibri" w:eastAsia="Calibri" w:cs="Calibri"/>
                <w:sz w:val="21"/>
                <w:szCs w:val="21"/>
              </w:rPr>
            </w:pPr>
            <w:r>
              <w:rPr>
                <w:rFonts w:ascii="Calibri" w:hAnsi="Calibri" w:eastAsia="Calibri" w:cs="Calibri"/>
                <w:sz w:val="21"/>
                <w:szCs w:val="21"/>
              </w:rPr>
              <w:t>1</w:t>
            </w:r>
          </w:p>
        </w:tc>
        <w:tc>
          <w:tcPr>
            <w:tcW w:w="2876" w:type="dxa"/>
            <w:vAlign w:val="top"/>
          </w:tcPr>
          <w:p>
            <w:pPr>
              <w:spacing w:line="370" w:lineRule="auto"/>
              <w:rPr>
                <w:rFonts w:ascii="Arial"/>
                <w:sz w:val="21"/>
              </w:rPr>
            </w:pPr>
          </w:p>
          <w:p>
            <w:pPr>
              <w:pStyle w:val="87"/>
              <w:spacing w:before="68" w:line="221" w:lineRule="auto"/>
              <w:ind w:left="111"/>
              <w:rPr>
                <w:sz w:val="21"/>
                <w:szCs w:val="21"/>
              </w:rPr>
            </w:pPr>
            <w:r>
              <w:rPr>
                <w:spacing w:val="-3"/>
                <w:sz w:val="21"/>
                <w:szCs w:val="21"/>
              </w:rPr>
              <w:t>初步设计开始</w:t>
            </w:r>
            <w:r>
              <w:rPr>
                <w:spacing w:val="-40"/>
                <w:sz w:val="21"/>
                <w:szCs w:val="21"/>
              </w:rPr>
              <w:t xml:space="preserve"> </w:t>
            </w:r>
            <w:r>
              <w:rPr>
                <w:rFonts w:ascii="Calibri" w:hAnsi="Calibri" w:eastAsia="Calibri" w:cs="Calibri"/>
                <w:spacing w:val="-3"/>
                <w:sz w:val="21"/>
                <w:szCs w:val="21"/>
              </w:rPr>
              <w:t>3</w:t>
            </w:r>
            <w:r>
              <w:rPr>
                <w:rFonts w:ascii="Calibri" w:hAnsi="Calibri" w:eastAsia="Calibri" w:cs="Calibri"/>
                <w:spacing w:val="19"/>
                <w:w w:val="101"/>
                <w:sz w:val="21"/>
                <w:szCs w:val="21"/>
              </w:rPr>
              <w:t xml:space="preserve"> </w:t>
            </w:r>
            <w:r>
              <w:rPr>
                <w:spacing w:val="-3"/>
                <w:sz w:val="21"/>
                <w:szCs w:val="21"/>
              </w:rPr>
              <w:t>天前</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607" w:type="dxa"/>
            <w:vAlign w:val="top"/>
          </w:tcPr>
          <w:p>
            <w:pPr>
              <w:spacing w:before="150" w:line="179" w:lineRule="auto"/>
              <w:ind w:left="209"/>
              <w:rPr>
                <w:rFonts w:ascii="Calibri" w:hAnsi="Calibri" w:eastAsia="Calibri" w:cs="Calibri"/>
                <w:sz w:val="21"/>
                <w:szCs w:val="21"/>
              </w:rPr>
            </w:pPr>
            <w:r>
              <w:rPr>
                <w:rFonts w:ascii="Calibri" w:hAnsi="Calibri" w:eastAsia="Calibri" w:cs="Calibri"/>
                <w:spacing w:val="-4"/>
                <w:sz w:val="21"/>
                <w:szCs w:val="21"/>
              </w:rPr>
              <w:t>11</w:t>
            </w:r>
          </w:p>
        </w:tc>
        <w:tc>
          <w:tcPr>
            <w:tcW w:w="3586" w:type="dxa"/>
            <w:vAlign w:val="top"/>
          </w:tcPr>
          <w:p>
            <w:pPr>
              <w:pStyle w:val="87"/>
              <w:spacing w:before="103" w:line="221" w:lineRule="auto"/>
              <w:ind w:left="112"/>
              <w:rPr>
                <w:sz w:val="21"/>
                <w:szCs w:val="21"/>
              </w:rPr>
            </w:pPr>
            <w:r>
              <w:rPr>
                <w:spacing w:val="-1"/>
                <w:sz w:val="21"/>
                <w:szCs w:val="21"/>
              </w:rPr>
              <w:t>其它设计资料</w:t>
            </w:r>
          </w:p>
        </w:tc>
        <w:tc>
          <w:tcPr>
            <w:tcW w:w="684" w:type="dxa"/>
            <w:vAlign w:val="top"/>
          </w:tcPr>
          <w:p>
            <w:pPr>
              <w:spacing w:before="150" w:line="179" w:lineRule="auto"/>
              <w:ind w:left="123"/>
              <w:rPr>
                <w:rFonts w:ascii="Calibri" w:hAnsi="Calibri" w:eastAsia="Calibri" w:cs="Calibri"/>
                <w:sz w:val="21"/>
                <w:szCs w:val="21"/>
              </w:rPr>
            </w:pPr>
            <w:r>
              <w:rPr>
                <w:rFonts w:ascii="Calibri" w:hAnsi="Calibri" w:eastAsia="Calibri" w:cs="Calibri"/>
                <w:sz w:val="21"/>
                <w:szCs w:val="21"/>
              </w:rPr>
              <w:t>1</w:t>
            </w:r>
          </w:p>
        </w:tc>
        <w:tc>
          <w:tcPr>
            <w:tcW w:w="2876" w:type="dxa"/>
            <w:vAlign w:val="top"/>
          </w:tcPr>
          <w:p>
            <w:pPr>
              <w:pStyle w:val="87"/>
              <w:spacing w:before="103" w:line="221" w:lineRule="auto"/>
              <w:ind w:left="114"/>
              <w:rPr>
                <w:sz w:val="21"/>
                <w:szCs w:val="21"/>
              </w:rPr>
            </w:pPr>
            <w:r>
              <w:rPr>
                <w:spacing w:val="-3"/>
                <w:sz w:val="21"/>
                <w:szCs w:val="21"/>
              </w:rPr>
              <w:t>各设计阶段设计开始</w:t>
            </w:r>
            <w:r>
              <w:rPr>
                <w:spacing w:val="-33"/>
                <w:sz w:val="21"/>
                <w:szCs w:val="21"/>
              </w:rPr>
              <w:t xml:space="preserve"> </w:t>
            </w:r>
            <w:r>
              <w:rPr>
                <w:rFonts w:ascii="Calibri" w:hAnsi="Calibri" w:eastAsia="Calibri" w:cs="Calibri"/>
                <w:spacing w:val="-3"/>
                <w:sz w:val="21"/>
                <w:szCs w:val="21"/>
              </w:rPr>
              <w:t>3</w:t>
            </w:r>
            <w:r>
              <w:rPr>
                <w:rFonts w:ascii="Calibri" w:hAnsi="Calibri" w:eastAsia="Calibri" w:cs="Calibri"/>
                <w:spacing w:val="16"/>
                <w:w w:val="101"/>
                <w:sz w:val="21"/>
                <w:szCs w:val="21"/>
              </w:rPr>
              <w:t xml:space="preserve"> </w:t>
            </w:r>
            <w:r>
              <w:rPr>
                <w:spacing w:val="-3"/>
                <w:sz w:val="21"/>
                <w:szCs w:val="21"/>
              </w:rPr>
              <w:t>天前</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607" w:type="dxa"/>
            <w:vAlign w:val="top"/>
          </w:tcPr>
          <w:p>
            <w:pPr>
              <w:spacing w:before="149" w:line="180" w:lineRule="auto"/>
              <w:ind w:left="209"/>
              <w:rPr>
                <w:rFonts w:ascii="Calibri" w:hAnsi="Calibri" w:eastAsia="Calibri" w:cs="Calibri"/>
                <w:sz w:val="21"/>
                <w:szCs w:val="21"/>
              </w:rPr>
            </w:pPr>
            <w:r>
              <w:rPr>
                <w:rFonts w:ascii="Calibri" w:hAnsi="Calibri" w:eastAsia="Calibri" w:cs="Calibri"/>
                <w:spacing w:val="-4"/>
                <w:sz w:val="21"/>
                <w:szCs w:val="21"/>
              </w:rPr>
              <w:t>12</w:t>
            </w:r>
          </w:p>
        </w:tc>
        <w:tc>
          <w:tcPr>
            <w:tcW w:w="3586" w:type="dxa"/>
            <w:vAlign w:val="top"/>
          </w:tcPr>
          <w:p>
            <w:pPr>
              <w:pStyle w:val="87"/>
              <w:spacing w:before="104" w:line="219" w:lineRule="auto"/>
              <w:ind w:left="112"/>
              <w:rPr>
                <w:sz w:val="21"/>
                <w:szCs w:val="21"/>
              </w:rPr>
            </w:pPr>
            <w:r>
              <w:rPr>
                <w:spacing w:val="-1"/>
                <w:sz w:val="21"/>
                <w:szCs w:val="21"/>
              </w:rPr>
              <w:t>竣工验收报告</w:t>
            </w:r>
          </w:p>
        </w:tc>
        <w:tc>
          <w:tcPr>
            <w:tcW w:w="684" w:type="dxa"/>
            <w:vAlign w:val="top"/>
          </w:tcPr>
          <w:p>
            <w:pPr>
              <w:spacing w:before="151" w:line="179" w:lineRule="auto"/>
              <w:ind w:left="123"/>
              <w:rPr>
                <w:rFonts w:ascii="Calibri" w:hAnsi="Calibri" w:eastAsia="Calibri" w:cs="Calibri"/>
                <w:sz w:val="21"/>
                <w:szCs w:val="21"/>
              </w:rPr>
            </w:pPr>
            <w:r>
              <w:rPr>
                <w:rFonts w:ascii="Calibri" w:hAnsi="Calibri" w:eastAsia="Calibri" w:cs="Calibri"/>
                <w:sz w:val="21"/>
                <w:szCs w:val="21"/>
              </w:rPr>
              <w:t>1</w:t>
            </w:r>
          </w:p>
        </w:tc>
        <w:tc>
          <w:tcPr>
            <w:tcW w:w="2876" w:type="dxa"/>
            <w:vAlign w:val="top"/>
          </w:tcPr>
          <w:p>
            <w:pPr>
              <w:pStyle w:val="87"/>
              <w:spacing w:before="103" w:line="221" w:lineRule="auto"/>
              <w:ind w:left="114"/>
              <w:rPr>
                <w:sz w:val="21"/>
                <w:szCs w:val="21"/>
              </w:rPr>
            </w:pPr>
            <w:r>
              <w:rPr>
                <w:spacing w:val="-3"/>
                <w:sz w:val="21"/>
                <w:szCs w:val="21"/>
              </w:rPr>
              <w:t>工程竣工验收通过后</w:t>
            </w:r>
            <w:r>
              <w:rPr>
                <w:spacing w:val="-33"/>
                <w:sz w:val="21"/>
                <w:szCs w:val="21"/>
              </w:rPr>
              <w:t xml:space="preserve"> </w:t>
            </w:r>
            <w:r>
              <w:rPr>
                <w:rFonts w:ascii="Calibri" w:hAnsi="Calibri" w:eastAsia="Calibri" w:cs="Calibri"/>
                <w:spacing w:val="-3"/>
                <w:sz w:val="21"/>
                <w:szCs w:val="21"/>
              </w:rPr>
              <w:t>5</w:t>
            </w:r>
            <w:r>
              <w:rPr>
                <w:rFonts w:ascii="Calibri" w:hAnsi="Calibri" w:eastAsia="Calibri" w:cs="Calibri"/>
                <w:spacing w:val="16"/>
                <w:w w:val="101"/>
                <w:sz w:val="21"/>
                <w:szCs w:val="21"/>
              </w:rPr>
              <w:t xml:space="preserve"> </w:t>
            </w:r>
            <w:r>
              <w:rPr>
                <w:spacing w:val="-3"/>
                <w:sz w:val="21"/>
                <w:szCs w:val="21"/>
              </w:rPr>
              <w:t>天内</w:t>
            </w:r>
          </w:p>
        </w:tc>
        <w:tc>
          <w:tcPr>
            <w:tcW w:w="1149" w:type="dxa"/>
            <w:vMerge w:val="continue"/>
            <w:tcBorders>
              <w:top w:val="nil"/>
            </w:tcBorders>
            <w:vAlign w:val="top"/>
          </w:tcPr>
          <w:p>
            <w:pPr>
              <w:rPr>
                <w:rFonts w:ascii="Arial"/>
                <w:sz w:val="21"/>
              </w:rPr>
            </w:pPr>
          </w:p>
        </w:tc>
      </w:tr>
    </w:tbl>
    <w:p>
      <w:pPr>
        <w:spacing w:before="33" w:line="217" w:lineRule="auto"/>
        <w:jc w:val="right"/>
        <w:rPr>
          <w:rFonts w:ascii="仿宋" w:hAnsi="仿宋" w:eastAsia="仿宋" w:cs="仿宋"/>
          <w:sz w:val="24"/>
          <w:szCs w:val="24"/>
        </w:rPr>
      </w:pPr>
      <w:r>
        <w:rPr>
          <w:rFonts w:ascii="仿宋" w:hAnsi="仿宋" w:eastAsia="仿宋" w:cs="仿宋"/>
          <w:spacing w:val="-3"/>
          <w:sz w:val="24"/>
          <w:szCs w:val="24"/>
        </w:rPr>
        <w:t>（上表内容仅供参考，发包人和设计人应当根据行业特点及项目</w:t>
      </w:r>
      <w:r>
        <w:rPr>
          <w:rFonts w:ascii="仿宋" w:hAnsi="仿宋" w:eastAsia="仿宋" w:cs="仿宋"/>
          <w:spacing w:val="-4"/>
          <w:sz w:val="24"/>
          <w:szCs w:val="24"/>
        </w:rPr>
        <w:t>具体情况详细列举）</w:t>
      </w:r>
    </w:p>
    <w:p>
      <w:pPr>
        <w:spacing w:line="217" w:lineRule="auto"/>
        <w:rPr>
          <w:rFonts w:ascii="仿宋" w:hAnsi="仿宋" w:eastAsia="仿宋" w:cs="仿宋"/>
          <w:sz w:val="24"/>
          <w:szCs w:val="24"/>
        </w:rPr>
        <w:sectPr>
          <w:footerReference r:id="rId13" w:type="default"/>
          <w:pgSz w:w="11907" w:h="16841"/>
          <w:pgMar w:top="400" w:right="1331" w:bottom="1014" w:left="1570" w:header="0" w:footer="851" w:gutter="0"/>
          <w:cols w:space="720" w:num="1"/>
        </w:sectPr>
      </w:pPr>
    </w:p>
    <w:p>
      <w:pPr>
        <w:spacing w:line="245" w:lineRule="auto"/>
        <w:ind w:left="0" w:leftChars="0" w:firstLine="0" w:firstLineChars="0"/>
        <w:rPr>
          <w:rFonts w:ascii="Arial"/>
          <w:sz w:val="21"/>
        </w:rPr>
      </w:pPr>
    </w:p>
    <w:p>
      <w:pPr>
        <w:spacing w:before="207" w:line="219" w:lineRule="auto"/>
        <w:ind w:left="895"/>
        <w:rPr>
          <w:rFonts w:ascii="黑体" w:hAnsi="黑体" w:eastAsia="黑体" w:cs="黑体"/>
          <w:sz w:val="28"/>
          <w:szCs w:val="28"/>
        </w:rPr>
      </w:pPr>
      <w:r>
        <w:rPr>
          <w:rFonts w:hint="eastAsia" w:ascii="黑体" w:hAnsi="黑体" w:eastAsia="黑体" w:cs="黑体"/>
          <w:b/>
          <w:bCs/>
          <w:spacing w:val="-9"/>
          <w:sz w:val="28"/>
          <w:szCs w:val="28"/>
          <w:lang w:val="en-US" w:eastAsia="zh-CN"/>
        </w:rPr>
        <w:t>附件3：</w:t>
      </w:r>
      <w:r>
        <w:rPr>
          <w:rFonts w:ascii="黑体" w:hAnsi="黑体" w:eastAsia="黑体" w:cs="黑体"/>
          <w:spacing w:val="-1"/>
          <w:sz w:val="28"/>
          <w:szCs w:val="28"/>
        </w:rPr>
        <w:t>设计人向发包人交付的工程设计文件目录（适</w:t>
      </w:r>
      <w:r>
        <w:rPr>
          <w:rFonts w:ascii="黑体" w:hAnsi="黑体" w:eastAsia="黑体" w:cs="黑体"/>
          <w:spacing w:val="-2"/>
          <w:sz w:val="28"/>
          <w:szCs w:val="28"/>
        </w:rPr>
        <w:t>用于市政工程）</w:t>
      </w:r>
    </w:p>
    <w:p>
      <w:pPr>
        <w:spacing w:before="51"/>
      </w:pPr>
    </w:p>
    <w:p>
      <w:pPr>
        <w:spacing w:before="50"/>
      </w:pPr>
    </w:p>
    <w:tbl>
      <w:tblPr>
        <w:tblStyle w:val="88"/>
        <w:tblW w:w="912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43"/>
        <w:gridCol w:w="3783"/>
        <w:gridCol w:w="720"/>
        <w:gridCol w:w="2884"/>
        <w:gridCol w:w="109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34" w:hRule="atLeast"/>
        </w:trPr>
        <w:tc>
          <w:tcPr>
            <w:tcW w:w="643" w:type="dxa"/>
            <w:vAlign w:val="top"/>
          </w:tcPr>
          <w:p>
            <w:pPr>
              <w:keepNext w:val="0"/>
              <w:keepLines w:val="0"/>
              <w:pageBreakBefore w:val="0"/>
              <w:widowControl/>
              <w:kinsoku/>
              <w:wordWrap/>
              <w:overflowPunct/>
              <w:topLinePunct w:val="0"/>
              <w:autoSpaceDE/>
              <w:autoSpaceDN/>
              <w:bidi w:val="0"/>
              <w:adjustRightInd/>
              <w:snapToGrid/>
              <w:spacing w:before="0" w:after="0" w:afterAutospacing="0" w:line="240" w:lineRule="auto"/>
              <w:ind w:left="0" w:right="0" w:firstLine="0"/>
              <w:textAlignment w:val="auto"/>
              <w:rPr>
                <w:rFonts w:ascii="Arial"/>
                <w:sz w:val="21"/>
              </w:rPr>
            </w:pPr>
          </w:p>
          <w:p>
            <w:pPr>
              <w:pStyle w:val="87"/>
              <w:keepNext w:val="0"/>
              <w:keepLines w:val="0"/>
              <w:pageBreakBefore w:val="0"/>
              <w:widowControl/>
              <w:kinsoku/>
              <w:wordWrap/>
              <w:overflowPunct/>
              <w:topLinePunct w:val="0"/>
              <w:autoSpaceDE/>
              <w:autoSpaceDN/>
              <w:bidi w:val="0"/>
              <w:adjustRightInd/>
              <w:snapToGrid/>
              <w:spacing w:before="0" w:afterAutospacing="0" w:line="240" w:lineRule="auto"/>
              <w:ind w:left="0" w:right="0" w:firstLine="0"/>
              <w:jc w:val="center"/>
              <w:textAlignment w:val="auto"/>
              <w:rPr>
                <w:rFonts w:hint="eastAsia" w:eastAsia="宋体"/>
                <w:lang w:val="en-US" w:eastAsia="zh-CN"/>
              </w:rPr>
            </w:pPr>
            <w:r>
              <w:rPr>
                <w:b/>
                <w:bCs/>
                <w:spacing w:val="-4"/>
                <w:sz w:val="21"/>
                <w:szCs w:val="21"/>
              </w:rPr>
              <w:t>序号</w:t>
            </w:r>
          </w:p>
        </w:tc>
        <w:tc>
          <w:tcPr>
            <w:tcW w:w="3783" w:type="dxa"/>
            <w:vAlign w:val="top"/>
          </w:tcPr>
          <w:p>
            <w:pPr>
              <w:spacing w:line="423" w:lineRule="auto"/>
              <w:rPr>
                <w:rFonts w:ascii="Arial"/>
                <w:sz w:val="21"/>
              </w:rPr>
            </w:pPr>
          </w:p>
          <w:p>
            <w:pPr>
              <w:pStyle w:val="87"/>
              <w:spacing w:before="69" w:line="221" w:lineRule="auto"/>
              <w:ind w:left="1164"/>
              <w:rPr>
                <w:sz w:val="21"/>
                <w:szCs w:val="21"/>
              </w:rPr>
            </w:pPr>
            <w:r>
              <w:rPr>
                <w:b/>
                <w:bCs/>
                <w:spacing w:val="-4"/>
                <w:sz w:val="21"/>
                <w:szCs w:val="21"/>
              </w:rPr>
              <w:t>资料及文件名称</w:t>
            </w:r>
          </w:p>
        </w:tc>
        <w:tc>
          <w:tcPr>
            <w:tcW w:w="720" w:type="dxa"/>
            <w:vAlign w:val="top"/>
          </w:tcPr>
          <w:p>
            <w:pPr>
              <w:keepNext w:val="0"/>
              <w:keepLines w:val="0"/>
              <w:pageBreakBefore w:val="0"/>
              <w:widowControl/>
              <w:kinsoku/>
              <w:wordWrap/>
              <w:overflowPunct/>
              <w:topLinePunct w:val="0"/>
              <w:autoSpaceDE/>
              <w:autoSpaceDN/>
              <w:bidi w:val="0"/>
              <w:adjustRightInd/>
              <w:snapToGrid/>
              <w:spacing w:before="0" w:after="0" w:afterAutospacing="0" w:line="423" w:lineRule="auto"/>
              <w:ind w:left="0" w:right="0" w:firstLine="0"/>
              <w:textAlignment w:val="auto"/>
              <w:rPr>
                <w:rFonts w:ascii="Arial"/>
                <w:sz w:val="21"/>
              </w:rPr>
            </w:pPr>
          </w:p>
          <w:p>
            <w:pPr>
              <w:pStyle w:val="87"/>
              <w:spacing w:before="69" w:line="221" w:lineRule="auto"/>
              <w:rPr>
                <w:rFonts w:hint="eastAsia" w:eastAsia="宋体"/>
                <w:lang w:val="en-US" w:eastAsia="zh-CN"/>
              </w:rPr>
            </w:pPr>
          </w:p>
        </w:tc>
        <w:tc>
          <w:tcPr>
            <w:tcW w:w="2884" w:type="dxa"/>
            <w:vAlign w:val="top"/>
          </w:tcPr>
          <w:p>
            <w:pPr>
              <w:spacing w:line="424" w:lineRule="auto"/>
              <w:rPr>
                <w:rFonts w:ascii="Arial"/>
                <w:sz w:val="21"/>
              </w:rPr>
            </w:pPr>
          </w:p>
          <w:p>
            <w:pPr>
              <w:pStyle w:val="87"/>
              <w:spacing w:before="68" w:line="221" w:lineRule="auto"/>
              <w:ind w:left="1125"/>
              <w:rPr>
                <w:sz w:val="21"/>
                <w:szCs w:val="21"/>
              </w:rPr>
            </w:pPr>
            <w:r>
              <w:rPr>
                <w:b/>
                <w:bCs/>
                <w:spacing w:val="-4"/>
                <w:sz w:val="21"/>
                <w:szCs w:val="21"/>
              </w:rPr>
              <w:t>提交日期</w:t>
            </w:r>
          </w:p>
        </w:tc>
        <w:tc>
          <w:tcPr>
            <w:tcW w:w="1091" w:type="dxa"/>
            <w:vAlign w:val="top"/>
          </w:tcPr>
          <w:p>
            <w:pPr>
              <w:keepNext w:val="0"/>
              <w:keepLines w:val="0"/>
              <w:pageBreakBefore w:val="0"/>
              <w:widowControl/>
              <w:kinsoku/>
              <w:wordWrap/>
              <w:overflowPunct/>
              <w:topLinePunct w:val="0"/>
              <w:autoSpaceDE/>
              <w:autoSpaceDN/>
              <w:bidi w:val="0"/>
              <w:adjustRightInd/>
              <w:snapToGrid/>
              <w:spacing w:before="0" w:after="0" w:afterAutospacing="0" w:line="424" w:lineRule="auto"/>
              <w:ind w:left="0" w:right="0" w:firstLine="0"/>
              <w:textAlignment w:val="auto"/>
              <w:rPr>
                <w:rFonts w:ascii="Arial"/>
                <w:sz w:val="21"/>
              </w:rPr>
            </w:pPr>
          </w:p>
          <w:p>
            <w:pPr>
              <w:pStyle w:val="87"/>
              <w:keepNext w:val="0"/>
              <w:keepLines w:val="0"/>
              <w:pageBreakBefore w:val="0"/>
              <w:widowControl/>
              <w:kinsoku/>
              <w:wordWrap/>
              <w:overflowPunct/>
              <w:topLinePunct w:val="0"/>
              <w:autoSpaceDE/>
              <w:autoSpaceDN/>
              <w:bidi w:val="0"/>
              <w:adjustRightInd/>
              <w:snapToGrid/>
              <w:spacing w:before="0" w:after="0" w:afterAutospacing="0" w:line="221" w:lineRule="auto"/>
              <w:ind w:left="0" w:right="0" w:firstLine="0"/>
              <w:jc w:val="center"/>
              <w:textAlignment w:val="auto"/>
              <w:rPr>
                <w:sz w:val="21"/>
                <w:szCs w:val="21"/>
              </w:rPr>
            </w:pPr>
            <w:r>
              <w:rPr>
                <w:b/>
                <w:bCs/>
                <w:spacing w:val="-4"/>
                <w:sz w:val="21"/>
                <w:szCs w:val="21"/>
              </w:rPr>
              <w:t>有关事宜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43" w:type="dxa"/>
            <w:vAlign w:val="top"/>
          </w:tcPr>
          <w:p>
            <w:pPr>
              <w:pStyle w:val="87"/>
              <w:spacing w:before="135" w:line="183" w:lineRule="auto"/>
              <w:ind w:left="287"/>
              <w:rPr>
                <w:sz w:val="21"/>
                <w:szCs w:val="21"/>
              </w:rPr>
            </w:pPr>
            <w:r>
              <w:rPr>
                <w:sz w:val="21"/>
                <w:szCs w:val="21"/>
              </w:rPr>
              <w:t>1</w:t>
            </w:r>
          </w:p>
        </w:tc>
        <w:tc>
          <w:tcPr>
            <w:tcW w:w="3783" w:type="dxa"/>
            <w:vAlign w:val="top"/>
          </w:tcPr>
          <w:p>
            <w:pPr>
              <w:pStyle w:val="87"/>
              <w:spacing w:before="101" w:line="221" w:lineRule="auto"/>
              <w:ind w:left="1264"/>
              <w:rPr>
                <w:sz w:val="21"/>
                <w:szCs w:val="21"/>
              </w:rPr>
            </w:pPr>
            <w:r>
              <w:rPr>
                <w:spacing w:val="-1"/>
                <w:sz w:val="21"/>
                <w:szCs w:val="21"/>
              </w:rPr>
              <w:t>方案设计文件</w:t>
            </w:r>
          </w:p>
        </w:tc>
        <w:tc>
          <w:tcPr>
            <w:tcW w:w="720" w:type="dxa"/>
            <w:vAlign w:val="top"/>
          </w:tcPr>
          <w:p>
            <w:pPr>
              <w:rPr>
                <w:rFonts w:ascii="Arial"/>
                <w:sz w:val="21"/>
              </w:rPr>
            </w:pPr>
          </w:p>
        </w:tc>
        <w:tc>
          <w:tcPr>
            <w:tcW w:w="2884" w:type="dxa"/>
            <w:vAlign w:val="top"/>
          </w:tcPr>
          <w:p>
            <w:pPr>
              <w:pStyle w:val="87"/>
              <w:tabs>
                <w:tab w:val="left" w:pos="1641"/>
              </w:tabs>
              <w:spacing w:before="102" w:line="221" w:lineRule="auto"/>
              <w:ind w:left="1219"/>
              <w:rPr>
                <w:sz w:val="21"/>
                <w:szCs w:val="21"/>
              </w:rPr>
            </w:pPr>
            <w:r>
              <w:rPr>
                <w:sz w:val="21"/>
                <w:szCs w:val="21"/>
                <w:u w:val="single" w:color="auto"/>
              </w:rPr>
              <w:tab/>
            </w:r>
            <w:r>
              <w:rPr>
                <w:spacing w:val="-92"/>
                <w:sz w:val="21"/>
                <w:szCs w:val="21"/>
              </w:rPr>
              <w:t xml:space="preserve"> </w:t>
            </w:r>
            <w:r>
              <w:rPr>
                <w:b/>
                <w:bCs/>
                <w:spacing w:val="-3"/>
                <w:sz w:val="21"/>
                <w:szCs w:val="21"/>
              </w:rPr>
              <w:t>天</w:t>
            </w:r>
          </w:p>
        </w:tc>
        <w:tc>
          <w:tcPr>
            <w:tcW w:w="1091" w:type="dxa"/>
            <w:vMerge w:val="restart"/>
            <w:tcBorders>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43" w:type="dxa"/>
            <w:vAlign w:val="top"/>
          </w:tcPr>
          <w:p>
            <w:pPr>
              <w:pStyle w:val="87"/>
              <w:spacing w:before="135" w:line="182" w:lineRule="auto"/>
              <w:ind w:left="274"/>
              <w:rPr>
                <w:sz w:val="21"/>
                <w:szCs w:val="21"/>
              </w:rPr>
            </w:pPr>
            <w:r>
              <w:rPr>
                <w:sz w:val="21"/>
                <w:szCs w:val="21"/>
              </w:rPr>
              <w:t>2</w:t>
            </w:r>
          </w:p>
        </w:tc>
        <w:tc>
          <w:tcPr>
            <w:tcW w:w="3783" w:type="dxa"/>
            <w:vAlign w:val="top"/>
          </w:tcPr>
          <w:p>
            <w:pPr>
              <w:pStyle w:val="87"/>
              <w:spacing w:before="99" w:line="221" w:lineRule="auto"/>
              <w:ind w:left="1262"/>
              <w:rPr>
                <w:sz w:val="21"/>
                <w:szCs w:val="21"/>
              </w:rPr>
            </w:pPr>
            <w:r>
              <w:rPr>
                <w:spacing w:val="-1"/>
                <w:sz w:val="21"/>
                <w:szCs w:val="21"/>
              </w:rPr>
              <w:t>初步设计文件</w:t>
            </w:r>
          </w:p>
        </w:tc>
        <w:tc>
          <w:tcPr>
            <w:tcW w:w="720" w:type="dxa"/>
            <w:vAlign w:val="top"/>
          </w:tcPr>
          <w:p>
            <w:pPr>
              <w:rPr>
                <w:rFonts w:ascii="Arial"/>
                <w:sz w:val="21"/>
              </w:rPr>
            </w:pPr>
          </w:p>
        </w:tc>
        <w:tc>
          <w:tcPr>
            <w:tcW w:w="2884" w:type="dxa"/>
            <w:vAlign w:val="top"/>
          </w:tcPr>
          <w:p>
            <w:pPr>
              <w:pStyle w:val="87"/>
              <w:tabs>
                <w:tab w:val="left" w:pos="1641"/>
              </w:tabs>
              <w:spacing w:before="100" w:line="221" w:lineRule="auto"/>
              <w:ind w:left="1219"/>
              <w:rPr>
                <w:sz w:val="21"/>
                <w:szCs w:val="21"/>
              </w:rPr>
            </w:pPr>
            <w:r>
              <w:rPr>
                <w:sz w:val="21"/>
                <w:szCs w:val="21"/>
                <w:u w:val="single" w:color="auto"/>
              </w:rPr>
              <w:tab/>
            </w:r>
            <w:r>
              <w:rPr>
                <w:spacing w:val="-92"/>
                <w:sz w:val="21"/>
                <w:szCs w:val="21"/>
              </w:rPr>
              <w:t xml:space="preserve"> </w:t>
            </w:r>
            <w:r>
              <w:rPr>
                <w:b/>
                <w:bCs/>
                <w:spacing w:val="-3"/>
                <w:sz w:val="21"/>
                <w:szCs w:val="21"/>
              </w:rPr>
              <w:t>天</w:t>
            </w:r>
          </w:p>
        </w:tc>
        <w:tc>
          <w:tcPr>
            <w:tcW w:w="1091"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643" w:type="dxa"/>
            <w:vAlign w:val="top"/>
          </w:tcPr>
          <w:p>
            <w:pPr>
              <w:pStyle w:val="87"/>
              <w:spacing w:before="136" w:line="182" w:lineRule="auto"/>
              <w:ind w:left="276"/>
              <w:rPr>
                <w:sz w:val="21"/>
                <w:szCs w:val="21"/>
              </w:rPr>
            </w:pPr>
            <w:r>
              <w:rPr>
                <w:sz w:val="21"/>
                <w:szCs w:val="21"/>
              </w:rPr>
              <w:t>3</w:t>
            </w:r>
          </w:p>
        </w:tc>
        <w:tc>
          <w:tcPr>
            <w:tcW w:w="3783" w:type="dxa"/>
            <w:vAlign w:val="top"/>
          </w:tcPr>
          <w:p>
            <w:pPr>
              <w:pStyle w:val="87"/>
              <w:spacing w:before="100" w:line="221" w:lineRule="auto"/>
              <w:ind w:left="1156"/>
              <w:rPr>
                <w:sz w:val="21"/>
                <w:szCs w:val="21"/>
              </w:rPr>
            </w:pPr>
            <w:r>
              <w:rPr>
                <w:spacing w:val="-1"/>
                <w:sz w:val="21"/>
                <w:szCs w:val="21"/>
              </w:rPr>
              <w:t>施工图设计文件</w:t>
            </w:r>
          </w:p>
        </w:tc>
        <w:tc>
          <w:tcPr>
            <w:tcW w:w="720" w:type="dxa"/>
            <w:vAlign w:val="top"/>
          </w:tcPr>
          <w:p>
            <w:pPr>
              <w:rPr>
                <w:rFonts w:ascii="Arial"/>
                <w:sz w:val="21"/>
              </w:rPr>
            </w:pPr>
          </w:p>
        </w:tc>
        <w:tc>
          <w:tcPr>
            <w:tcW w:w="2884" w:type="dxa"/>
            <w:vAlign w:val="top"/>
          </w:tcPr>
          <w:p>
            <w:pPr>
              <w:pStyle w:val="87"/>
              <w:tabs>
                <w:tab w:val="left" w:pos="1641"/>
              </w:tabs>
              <w:spacing w:before="101" w:line="221" w:lineRule="auto"/>
              <w:ind w:left="1219"/>
              <w:rPr>
                <w:sz w:val="21"/>
                <w:szCs w:val="21"/>
              </w:rPr>
            </w:pPr>
            <w:r>
              <w:rPr>
                <w:sz w:val="21"/>
                <w:szCs w:val="21"/>
                <w:u w:val="single" w:color="auto"/>
              </w:rPr>
              <w:tab/>
            </w:r>
            <w:r>
              <w:rPr>
                <w:spacing w:val="-92"/>
                <w:sz w:val="21"/>
                <w:szCs w:val="21"/>
              </w:rPr>
              <w:t xml:space="preserve"> </w:t>
            </w:r>
            <w:r>
              <w:rPr>
                <w:b/>
                <w:bCs/>
                <w:spacing w:val="-3"/>
                <w:sz w:val="21"/>
                <w:szCs w:val="21"/>
              </w:rPr>
              <w:t>天</w:t>
            </w:r>
          </w:p>
        </w:tc>
        <w:tc>
          <w:tcPr>
            <w:tcW w:w="1091" w:type="dxa"/>
            <w:vMerge w:val="continue"/>
            <w:tcBorders>
              <w:top w:val="nil"/>
            </w:tcBorders>
            <w:vAlign w:val="top"/>
          </w:tcPr>
          <w:p>
            <w:pPr>
              <w:rPr>
                <w:rFonts w:ascii="Arial"/>
                <w:sz w:val="21"/>
              </w:rPr>
            </w:pPr>
          </w:p>
        </w:tc>
      </w:tr>
    </w:tbl>
    <w:p>
      <w:pPr>
        <w:spacing w:line="369" w:lineRule="auto"/>
        <w:rPr>
          <w:rFonts w:ascii="Arial"/>
          <w:sz w:val="21"/>
        </w:rPr>
      </w:pPr>
    </w:p>
    <w:p>
      <w:pPr>
        <w:pStyle w:val="11"/>
        <w:spacing w:before="68" w:line="221" w:lineRule="auto"/>
        <w:ind w:left="209"/>
        <w:rPr>
          <w:sz w:val="21"/>
          <w:szCs w:val="21"/>
        </w:rPr>
      </w:pPr>
      <w:r>
        <w:rPr>
          <w:b/>
          <w:bCs/>
          <w:spacing w:val="-11"/>
          <w:sz w:val="21"/>
          <w:szCs w:val="21"/>
        </w:rPr>
        <w:t>特别约定：</w:t>
      </w:r>
    </w:p>
    <w:p>
      <w:pPr>
        <w:pStyle w:val="11"/>
        <w:spacing w:before="157" w:line="345" w:lineRule="auto"/>
        <w:ind w:left="239" w:right="281" w:firstLine="432"/>
        <w:rPr>
          <w:sz w:val="21"/>
          <w:szCs w:val="21"/>
        </w:rPr>
      </w:pPr>
      <w:r>
        <w:rPr>
          <w:sz w:val="21"/>
          <w:szCs w:val="21"/>
        </w:rPr>
        <w:t>1.在发包人所提供的设计资料（含设计确认单、</w:t>
      </w:r>
      <w:r>
        <w:rPr>
          <w:spacing w:val="-1"/>
          <w:sz w:val="21"/>
          <w:szCs w:val="21"/>
        </w:rPr>
        <w:t>规划部门批文、政府各部门批文等）能满</w:t>
      </w:r>
      <w:r>
        <w:rPr>
          <w:sz w:val="21"/>
          <w:szCs w:val="21"/>
        </w:rPr>
        <w:t xml:space="preserve"> 足设计人进行各阶段设计的前提下开始计算各阶段</w:t>
      </w:r>
      <w:r>
        <w:rPr>
          <w:spacing w:val="-1"/>
          <w:sz w:val="21"/>
          <w:szCs w:val="21"/>
        </w:rPr>
        <w:t>的设计时间。</w:t>
      </w:r>
    </w:p>
    <w:p>
      <w:pPr>
        <w:pStyle w:val="11"/>
        <w:spacing w:before="30" w:line="220" w:lineRule="auto"/>
        <w:ind w:left="658"/>
        <w:rPr>
          <w:sz w:val="21"/>
          <w:szCs w:val="21"/>
        </w:rPr>
      </w:pPr>
      <w:r>
        <w:rPr>
          <w:spacing w:val="-1"/>
          <w:sz w:val="21"/>
          <w:szCs w:val="21"/>
        </w:rPr>
        <w:t>2.上述设计时间不包括法定的节假日。</w:t>
      </w:r>
    </w:p>
    <w:p>
      <w:pPr>
        <w:pStyle w:val="11"/>
        <w:spacing w:before="159" w:line="347" w:lineRule="auto"/>
        <w:ind w:left="235" w:right="225" w:firstLine="424"/>
        <w:rPr>
          <w:sz w:val="21"/>
          <w:szCs w:val="21"/>
        </w:rPr>
      </w:pPr>
      <w:r>
        <w:rPr>
          <w:spacing w:val="-4"/>
          <w:sz w:val="21"/>
          <w:szCs w:val="21"/>
        </w:rPr>
        <w:t>3.图纸交付地点：设计人工作地（或发包人指定地）。发包人要求设计人提供电子版设计文</w:t>
      </w:r>
      <w:r>
        <w:rPr>
          <w:spacing w:val="2"/>
          <w:sz w:val="21"/>
          <w:szCs w:val="21"/>
        </w:rPr>
        <w:t xml:space="preserve"> </w:t>
      </w:r>
      <w:r>
        <w:rPr>
          <w:sz w:val="21"/>
          <w:szCs w:val="21"/>
        </w:rPr>
        <w:t>件时，设计人有权对电子版设计文件采取加密、设</w:t>
      </w:r>
      <w:r>
        <w:rPr>
          <w:spacing w:val="-1"/>
          <w:sz w:val="21"/>
          <w:szCs w:val="21"/>
        </w:rPr>
        <w:t>置访问权限、限期使用等保护措施。</w:t>
      </w:r>
    </w:p>
    <w:p>
      <w:pPr>
        <w:pStyle w:val="11"/>
        <w:spacing w:before="28" w:line="345" w:lineRule="auto"/>
        <w:ind w:left="236" w:right="226" w:firstLine="419"/>
        <w:rPr>
          <w:sz w:val="21"/>
          <w:szCs w:val="21"/>
        </w:rPr>
      </w:pPr>
      <w:r>
        <w:rPr>
          <w:spacing w:val="1"/>
          <w:sz w:val="21"/>
          <w:szCs w:val="21"/>
        </w:rPr>
        <w:t>4.如发包人要求提供超过合同约定份数的工程设计文件，则设计人仍应按发包人的要求提</w:t>
      </w:r>
      <w:r>
        <w:rPr>
          <w:spacing w:val="13"/>
          <w:sz w:val="21"/>
          <w:szCs w:val="21"/>
        </w:rPr>
        <w:t xml:space="preserve"> </w:t>
      </w:r>
      <w:r>
        <w:rPr>
          <w:spacing w:val="-1"/>
          <w:sz w:val="21"/>
          <w:szCs w:val="21"/>
        </w:rPr>
        <w:t>供，但发包人应向设计人支付工本费。</w:t>
      </w:r>
    </w:p>
    <w:p>
      <w:pPr>
        <w:spacing w:line="345" w:lineRule="auto"/>
        <w:rPr>
          <w:sz w:val="21"/>
          <w:szCs w:val="21"/>
        </w:rPr>
        <w:sectPr>
          <w:footerReference r:id="rId14" w:type="default"/>
          <w:pgSz w:w="11907" w:h="16841"/>
          <w:pgMar w:top="400" w:right="1210" w:bottom="1015" w:left="1570" w:header="0" w:footer="851" w:gutter="0"/>
          <w:cols w:space="720" w:num="1"/>
        </w:sectPr>
      </w:pPr>
    </w:p>
    <w:p>
      <w:pPr>
        <w:spacing w:line="245" w:lineRule="auto"/>
        <w:ind w:left="0" w:leftChars="0" w:firstLine="0" w:firstLineChars="0"/>
        <w:rPr>
          <w:rFonts w:ascii="Arial"/>
          <w:sz w:val="21"/>
        </w:rPr>
      </w:pPr>
    </w:p>
    <w:p>
      <w:pPr>
        <w:spacing w:before="91" w:line="222" w:lineRule="auto"/>
        <w:ind w:left="811"/>
        <w:rPr>
          <w:rFonts w:ascii="黑体" w:hAnsi="黑体" w:eastAsia="黑体" w:cs="黑体"/>
          <w:sz w:val="28"/>
          <w:szCs w:val="28"/>
        </w:rPr>
      </w:pPr>
      <w:r>
        <w:rPr>
          <w:rFonts w:ascii="黑体" w:hAnsi="黑体" w:eastAsia="黑体" w:cs="黑体"/>
          <w:b/>
          <w:bCs/>
          <w:spacing w:val="-8"/>
          <w:sz w:val="28"/>
          <w:szCs w:val="28"/>
        </w:rPr>
        <w:t>附件</w:t>
      </w:r>
      <w:r>
        <w:rPr>
          <w:rFonts w:ascii="黑体" w:hAnsi="黑体" w:eastAsia="黑体" w:cs="黑体"/>
          <w:spacing w:val="-65"/>
          <w:sz w:val="28"/>
          <w:szCs w:val="28"/>
        </w:rPr>
        <w:t xml:space="preserve"> </w:t>
      </w:r>
      <w:r>
        <w:rPr>
          <w:rFonts w:ascii="黑体" w:hAnsi="黑体" w:eastAsia="黑体" w:cs="黑体"/>
          <w:b/>
          <w:bCs/>
          <w:spacing w:val="-8"/>
          <w:sz w:val="28"/>
          <w:szCs w:val="28"/>
        </w:rPr>
        <w:t>4</w:t>
      </w:r>
      <w:r>
        <w:rPr>
          <w:rFonts w:ascii="黑体" w:hAnsi="黑体" w:eastAsia="黑体" w:cs="黑体"/>
          <w:spacing w:val="-8"/>
          <w:sz w:val="28"/>
          <w:szCs w:val="28"/>
        </w:rPr>
        <w:t xml:space="preserve"> </w:t>
      </w:r>
      <w:r>
        <w:rPr>
          <w:rFonts w:ascii="黑体" w:hAnsi="黑体" w:eastAsia="黑体" w:cs="黑体"/>
          <w:b/>
          <w:bCs/>
          <w:spacing w:val="-8"/>
          <w:sz w:val="28"/>
          <w:szCs w:val="28"/>
        </w:rPr>
        <w:t>：</w:t>
      </w:r>
    </w:p>
    <w:p>
      <w:pPr>
        <w:spacing w:before="207" w:line="219" w:lineRule="auto"/>
        <w:ind w:left="2373"/>
        <w:rPr>
          <w:rFonts w:ascii="黑体" w:hAnsi="黑体" w:eastAsia="黑体" w:cs="黑体"/>
          <w:sz w:val="28"/>
          <w:szCs w:val="28"/>
        </w:rPr>
      </w:pPr>
      <w:r>
        <w:rPr>
          <w:rFonts w:ascii="黑体" w:hAnsi="黑体" w:eastAsia="黑体" w:cs="黑体"/>
          <w:spacing w:val="-2"/>
          <w:sz w:val="28"/>
          <w:szCs w:val="28"/>
        </w:rPr>
        <w:t>设计人主要设计人员表（适用于市政工程）</w:t>
      </w:r>
    </w:p>
    <w:p>
      <w:pPr>
        <w:spacing w:before="50"/>
        <w:ind w:left="0" w:leftChars="0" w:firstLine="0" w:firstLineChars="0"/>
      </w:pPr>
    </w:p>
    <w:tbl>
      <w:tblPr>
        <w:tblStyle w:val="88"/>
        <w:tblW w:w="9816"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81"/>
        <w:gridCol w:w="1415"/>
        <w:gridCol w:w="1130"/>
        <w:gridCol w:w="1425"/>
        <w:gridCol w:w="39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6" w:hRule="atLeast"/>
        </w:trPr>
        <w:tc>
          <w:tcPr>
            <w:tcW w:w="1881" w:type="dxa"/>
            <w:tcBorders>
              <w:top w:val="single" w:color="000000" w:sz="10" w:space="0"/>
              <w:left w:val="single" w:color="000000" w:sz="10" w:space="0"/>
            </w:tcBorders>
            <w:vAlign w:val="top"/>
          </w:tcPr>
          <w:p>
            <w:pPr>
              <w:pStyle w:val="87"/>
              <w:spacing w:before="239" w:line="223" w:lineRule="auto"/>
              <w:ind w:left="616"/>
              <w:jc w:val="center"/>
              <w:rPr>
                <w:sz w:val="21"/>
                <w:szCs w:val="21"/>
              </w:rPr>
            </w:pPr>
            <w:r>
              <w:rPr>
                <w:spacing w:val="-5"/>
                <w:sz w:val="21"/>
                <w:szCs w:val="21"/>
              </w:rPr>
              <w:t>名</w:t>
            </w:r>
            <w:r>
              <w:rPr>
                <w:spacing w:val="1"/>
                <w:sz w:val="21"/>
                <w:szCs w:val="21"/>
              </w:rPr>
              <w:t xml:space="preserve">    </w:t>
            </w:r>
            <w:r>
              <w:rPr>
                <w:spacing w:val="-5"/>
                <w:sz w:val="21"/>
                <w:szCs w:val="21"/>
              </w:rPr>
              <w:t>称</w:t>
            </w:r>
          </w:p>
        </w:tc>
        <w:tc>
          <w:tcPr>
            <w:tcW w:w="1415" w:type="dxa"/>
            <w:tcBorders>
              <w:top w:val="single" w:color="000000" w:sz="10" w:space="0"/>
            </w:tcBorders>
            <w:vAlign w:val="top"/>
          </w:tcPr>
          <w:p>
            <w:pPr>
              <w:pStyle w:val="87"/>
              <w:spacing w:before="239" w:line="221" w:lineRule="auto"/>
              <w:ind w:left="596"/>
              <w:jc w:val="center"/>
              <w:rPr>
                <w:sz w:val="21"/>
                <w:szCs w:val="21"/>
              </w:rPr>
            </w:pPr>
            <w:r>
              <w:rPr>
                <w:spacing w:val="-2"/>
                <w:sz w:val="21"/>
                <w:szCs w:val="21"/>
              </w:rPr>
              <w:t>姓名</w:t>
            </w:r>
          </w:p>
        </w:tc>
        <w:tc>
          <w:tcPr>
            <w:tcW w:w="1130" w:type="dxa"/>
            <w:tcBorders>
              <w:top w:val="single" w:color="000000" w:sz="10" w:space="0"/>
            </w:tcBorders>
            <w:vAlign w:val="top"/>
          </w:tcPr>
          <w:p>
            <w:pPr>
              <w:pStyle w:val="87"/>
              <w:spacing w:before="239" w:line="221" w:lineRule="auto"/>
              <w:ind w:left="456"/>
              <w:jc w:val="center"/>
              <w:rPr>
                <w:sz w:val="21"/>
                <w:szCs w:val="21"/>
              </w:rPr>
            </w:pPr>
            <w:r>
              <w:rPr>
                <w:spacing w:val="-2"/>
                <w:sz w:val="21"/>
                <w:szCs w:val="21"/>
              </w:rPr>
              <w:t>职务</w:t>
            </w:r>
          </w:p>
        </w:tc>
        <w:tc>
          <w:tcPr>
            <w:tcW w:w="1425" w:type="dxa"/>
            <w:tcBorders>
              <w:top w:val="single" w:color="000000" w:sz="10" w:space="0"/>
            </w:tcBorders>
            <w:vAlign w:val="top"/>
          </w:tcPr>
          <w:p>
            <w:pPr>
              <w:pStyle w:val="87"/>
              <w:spacing w:before="35" w:line="343" w:lineRule="auto"/>
              <w:ind w:left="515" w:right="184" w:hanging="119"/>
              <w:jc w:val="center"/>
              <w:rPr>
                <w:sz w:val="21"/>
                <w:szCs w:val="21"/>
              </w:rPr>
            </w:pPr>
            <w:r>
              <w:rPr>
                <w:spacing w:val="-2"/>
                <w:sz w:val="21"/>
                <w:szCs w:val="21"/>
              </w:rPr>
              <w:t>注册执业</w:t>
            </w:r>
            <w:r>
              <w:rPr>
                <w:spacing w:val="1"/>
                <w:sz w:val="21"/>
                <w:szCs w:val="21"/>
              </w:rPr>
              <w:t xml:space="preserve"> </w:t>
            </w:r>
            <w:r>
              <w:rPr>
                <w:spacing w:val="-4"/>
                <w:sz w:val="21"/>
                <w:szCs w:val="21"/>
              </w:rPr>
              <w:t>资格</w:t>
            </w:r>
          </w:p>
        </w:tc>
        <w:tc>
          <w:tcPr>
            <w:tcW w:w="3965" w:type="dxa"/>
            <w:tcBorders>
              <w:top w:val="single" w:color="000000" w:sz="10" w:space="0"/>
              <w:right w:val="single" w:color="000000" w:sz="10" w:space="0"/>
            </w:tcBorders>
            <w:vAlign w:val="top"/>
          </w:tcPr>
          <w:p>
            <w:pPr>
              <w:pStyle w:val="87"/>
              <w:spacing w:before="239" w:line="221" w:lineRule="auto"/>
              <w:ind w:left="1244"/>
              <w:jc w:val="center"/>
              <w:rPr>
                <w:sz w:val="21"/>
                <w:szCs w:val="21"/>
              </w:rPr>
            </w:pPr>
            <w:r>
              <w:rPr>
                <w:spacing w:val="-1"/>
                <w:sz w:val="21"/>
                <w:szCs w:val="21"/>
              </w:rPr>
              <w:t>承担过的主要项目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 w:hRule="atLeast"/>
        </w:trPr>
        <w:tc>
          <w:tcPr>
            <w:tcW w:w="9816" w:type="dxa"/>
            <w:gridSpan w:val="5"/>
            <w:tcBorders>
              <w:left w:val="single" w:color="000000" w:sz="10" w:space="0"/>
              <w:right w:val="single" w:color="000000" w:sz="10" w:space="0"/>
            </w:tcBorders>
            <w:vAlign w:val="top"/>
          </w:tcPr>
          <w:p>
            <w:pPr>
              <w:pStyle w:val="87"/>
              <w:spacing w:before="29" w:line="221" w:lineRule="auto"/>
              <w:ind w:left="4376"/>
              <w:jc w:val="center"/>
              <w:rPr>
                <w:sz w:val="21"/>
                <w:szCs w:val="21"/>
              </w:rPr>
            </w:pPr>
            <w:r>
              <w:rPr>
                <w:spacing w:val="-2"/>
                <w:sz w:val="21"/>
                <w:szCs w:val="21"/>
              </w:rPr>
              <w:t>一、总部人员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trPr>
        <w:tc>
          <w:tcPr>
            <w:tcW w:w="1881" w:type="dxa"/>
            <w:tcBorders>
              <w:left w:val="single" w:color="000000" w:sz="10" w:space="0"/>
              <w:bottom w:val="single" w:color="000000" w:sz="2" w:space="0"/>
            </w:tcBorders>
            <w:vAlign w:val="top"/>
          </w:tcPr>
          <w:p>
            <w:pPr>
              <w:pStyle w:val="87"/>
              <w:spacing w:before="31" w:line="221" w:lineRule="auto"/>
              <w:ind w:left="617"/>
              <w:jc w:val="center"/>
              <w:rPr>
                <w:sz w:val="21"/>
                <w:szCs w:val="21"/>
              </w:rPr>
            </w:pPr>
            <w:r>
              <w:rPr>
                <w:spacing w:val="-3"/>
                <w:sz w:val="21"/>
                <w:szCs w:val="21"/>
              </w:rPr>
              <w:t>项目主管</w:t>
            </w:r>
          </w:p>
        </w:tc>
        <w:tc>
          <w:tcPr>
            <w:tcW w:w="1415" w:type="dxa"/>
            <w:vAlign w:val="top"/>
          </w:tcPr>
          <w:p>
            <w:pPr>
              <w:jc w:val="center"/>
              <w:rPr>
                <w:rFonts w:ascii="Arial"/>
                <w:sz w:val="21"/>
              </w:rPr>
            </w:pPr>
          </w:p>
        </w:tc>
        <w:tc>
          <w:tcPr>
            <w:tcW w:w="1130" w:type="dxa"/>
            <w:vAlign w:val="top"/>
          </w:tcPr>
          <w:p>
            <w:pPr>
              <w:jc w:val="center"/>
              <w:rPr>
                <w:rFonts w:ascii="Arial"/>
                <w:sz w:val="21"/>
              </w:rPr>
            </w:pPr>
          </w:p>
        </w:tc>
        <w:tc>
          <w:tcPr>
            <w:tcW w:w="1425" w:type="dxa"/>
            <w:vAlign w:val="top"/>
          </w:tcPr>
          <w:p>
            <w:pPr>
              <w:jc w:val="center"/>
              <w:rPr>
                <w:rFonts w:ascii="Arial"/>
                <w:sz w:val="21"/>
              </w:rPr>
            </w:pPr>
          </w:p>
        </w:tc>
        <w:tc>
          <w:tcPr>
            <w:tcW w:w="3965" w:type="dxa"/>
            <w:tcBorders>
              <w:right w:val="single" w:color="000000" w:sz="10" w:space="0"/>
            </w:tcBorders>
            <w:vAlign w:val="top"/>
          </w:tcPr>
          <w:p>
            <w:pPr>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1" w:hRule="atLeast"/>
        </w:trPr>
        <w:tc>
          <w:tcPr>
            <w:tcW w:w="1881" w:type="dxa"/>
            <w:tcBorders>
              <w:top w:val="single" w:color="000000" w:sz="2" w:space="0"/>
              <w:left w:val="single" w:color="000000" w:sz="10" w:space="0"/>
            </w:tcBorders>
            <w:vAlign w:val="top"/>
          </w:tcPr>
          <w:p>
            <w:pPr>
              <w:pStyle w:val="87"/>
              <w:spacing w:before="34" w:line="221" w:lineRule="auto"/>
              <w:ind w:left="615"/>
              <w:jc w:val="center"/>
              <w:rPr>
                <w:sz w:val="21"/>
                <w:szCs w:val="21"/>
              </w:rPr>
            </w:pPr>
            <w:r>
              <w:rPr>
                <w:spacing w:val="-2"/>
                <w:sz w:val="21"/>
                <w:szCs w:val="21"/>
              </w:rPr>
              <w:t>其他人员</w:t>
            </w:r>
          </w:p>
        </w:tc>
        <w:tc>
          <w:tcPr>
            <w:tcW w:w="1415" w:type="dxa"/>
            <w:vAlign w:val="top"/>
          </w:tcPr>
          <w:p>
            <w:pPr>
              <w:jc w:val="center"/>
              <w:rPr>
                <w:rFonts w:ascii="Arial"/>
                <w:sz w:val="21"/>
              </w:rPr>
            </w:pPr>
          </w:p>
        </w:tc>
        <w:tc>
          <w:tcPr>
            <w:tcW w:w="1130" w:type="dxa"/>
            <w:vAlign w:val="top"/>
          </w:tcPr>
          <w:p>
            <w:pPr>
              <w:jc w:val="center"/>
              <w:rPr>
                <w:rFonts w:ascii="Arial"/>
                <w:sz w:val="21"/>
              </w:rPr>
            </w:pPr>
          </w:p>
        </w:tc>
        <w:tc>
          <w:tcPr>
            <w:tcW w:w="1425" w:type="dxa"/>
            <w:vAlign w:val="top"/>
          </w:tcPr>
          <w:p>
            <w:pPr>
              <w:jc w:val="center"/>
              <w:rPr>
                <w:rFonts w:ascii="Arial"/>
                <w:sz w:val="21"/>
              </w:rPr>
            </w:pPr>
          </w:p>
        </w:tc>
        <w:tc>
          <w:tcPr>
            <w:tcW w:w="3965" w:type="dxa"/>
            <w:tcBorders>
              <w:right w:val="single" w:color="000000" w:sz="10" w:space="0"/>
            </w:tcBorders>
            <w:vAlign w:val="top"/>
          </w:tcPr>
          <w:p>
            <w:pPr>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 w:hRule="atLeast"/>
        </w:trPr>
        <w:tc>
          <w:tcPr>
            <w:tcW w:w="9816" w:type="dxa"/>
            <w:gridSpan w:val="5"/>
            <w:tcBorders>
              <w:left w:val="single" w:color="000000" w:sz="10" w:space="0"/>
              <w:right w:val="single" w:color="000000" w:sz="10" w:space="0"/>
            </w:tcBorders>
            <w:vAlign w:val="top"/>
          </w:tcPr>
          <w:p>
            <w:pPr>
              <w:pStyle w:val="87"/>
              <w:spacing w:before="39" w:line="221" w:lineRule="auto"/>
              <w:ind w:left="4271"/>
              <w:jc w:val="center"/>
              <w:rPr>
                <w:sz w:val="21"/>
                <w:szCs w:val="21"/>
              </w:rPr>
            </w:pPr>
            <w:r>
              <w:rPr>
                <w:spacing w:val="-2"/>
                <w:sz w:val="21"/>
                <w:szCs w:val="21"/>
              </w:rPr>
              <w:t>二、项目组成员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trPr>
        <w:tc>
          <w:tcPr>
            <w:tcW w:w="1881" w:type="dxa"/>
            <w:tcBorders>
              <w:left w:val="single" w:color="000000" w:sz="10" w:space="0"/>
            </w:tcBorders>
            <w:vAlign w:val="top"/>
          </w:tcPr>
          <w:p>
            <w:pPr>
              <w:pStyle w:val="87"/>
              <w:spacing w:before="37" w:line="221" w:lineRule="auto"/>
              <w:ind w:left="512"/>
              <w:jc w:val="center"/>
              <w:rPr>
                <w:sz w:val="21"/>
                <w:szCs w:val="21"/>
              </w:rPr>
            </w:pPr>
            <w:r>
              <w:rPr>
                <w:spacing w:val="-2"/>
                <w:sz w:val="21"/>
                <w:szCs w:val="21"/>
              </w:rPr>
              <w:t>项目负责人</w:t>
            </w:r>
          </w:p>
        </w:tc>
        <w:tc>
          <w:tcPr>
            <w:tcW w:w="1415" w:type="dxa"/>
            <w:vAlign w:val="top"/>
          </w:tcPr>
          <w:p>
            <w:pPr>
              <w:jc w:val="center"/>
              <w:rPr>
                <w:rFonts w:ascii="Arial"/>
                <w:sz w:val="21"/>
              </w:rPr>
            </w:pPr>
          </w:p>
        </w:tc>
        <w:tc>
          <w:tcPr>
            <w:tcW w:w="1130" w:type="dxa"/>
            <w:vAlign w:val="top"/>
          </w:tcPr>
          <w:p>
            <w:pPr>
              <w:jc w:val="center"/>
              <w:rPr>
                <w:rFonts w:ascii="Arial"/>
                <w:sz w:val="21"/>
              </w:rPr>
            </w:pPr>
          </w:p>
        </w:tc>
        <w:tc>
          <w:tcPr>
            <w:tcW w:w="1425" w:type="dxa"/>
            <w:vAlign w:val="top"/>
          </w:tcPr>
          <w:p>
            <w:pPr>
              <w:jc w:val="center"/>
              <w:rPr>
                <w:rFonts w:ascii="Arial"/>
                <w:sz w:val="21"/>
              </w:rPr>
            </w:pPr>
          </w:p>
        </w:tc>
        <w:tc>
          <w:tcPr>
            <w:tcW w:w="3965" w:type="dxa"/>
            <w:tcBorders>
              <w:right w:val="single" w:color="000000" w:sz="10" w:space="0"/>
            </w:tcBorders>
            <w:vAlign w:val="top"/>
          </w:tcPr>
          <w:p>
            <w:pPr>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 w:hRule="atLeast"/>
        </w:trPr>
        <w:tc>
          <w:tcPr>
            <w:tcW w:w="1881" w:type="dxa"/>
            <w:tcBorders>
              <w:left w:val="single" w:color="000000" w:sz="10" w:space="0"/>
            </w:tcBorders>
            <w:vAlign w:val="top"/>
          </w:tcPr>
          <w:p>
            <w:pPr>
              <w:jc w:val="center"/>
              <w:rPr>
                <w:rFonts w:ascii="Arial"/>
                <w:sz w:val="21"/>
              </w:rPr>
            </w:pPr>
          </w:p>
        </w:tc>
        <w:tc>
          <w:tcPr>
            <w:tcW w:w="1415" w:type="dxa"/>
            <w:vAlign w:val="top"/>
          </w:tcPr>
          <w:p>
            <w:pPr>
              <w:jc w:val="center"/>
              <w:rPr>
                <w:rFonts w:ascii="Arial"/>
                <w:sz w:val="21"/>
              </w:rPr>
            </w:pPr>
          </w:p>
        </w:tc>
        <w:tc>
          <w:tcPr>
            <w:tcW w:w="1130" w:type="dxa"/>
            <w:vAlign w:val="top"/>
          </w:tcPr>
          <w:p>
            <w:pPr>
              <w:jc w:val="center"/>
              <w:rPr>
                <w:rFonts w:ascii="Arial"/>
                <w:sz w:val="21"/>
              </w:rPr>
            </w:pPr>
          </w:p>
        </w:tc>
        <w:tc>
          <w:tcPr>
            <w:tcW w:w="1425" w:type="dxa"/>
            <w:vAlign w:val="top"/>
          </w:tcPr>
          <w:p>
            <w:pPr>
              <w:jc w:val="center"/>
              <w:rPr>
                <w:rFonts w:ascii="Arial"/>
                <w:sz w:val="21"/>
              </w:rPr>
            </w:pPr>
          </w:p>
        </w:tc>
        <w:tc>
          <w:tcPr>
            <w:tcW w:w="3965" w:type="dxa"/>
            <w:tcBorders>
              <w:right w:val="single" w:color="000000" w:sz="10" w:space="0"/>
            </w:tcBorders>
            <w:vAlign w:val="top"/>
          </w:tcPr>
          <w:p>
            <w:pPr>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trPr>
        <w:tc>
          <w:tcPr>
            <w:tcW w:w="1881" w:type="dxa"/>
            <w:tcBorders>
              <w:left w:val="single" w:color="000000" w:sz="10" w:space="0"/>
            </w:tcBorders>
            <w:vAlign w:val="top"/>
          </w:tcPr>
          <w:p>
            <w:pPr>
              <w:jc w:val="center"/>
              <w:rPr>
                <w:rFonts w:ascii="Arial"/>
                <w:sz w:val="21"/>
              </w:rPr>
            </w:pPr>
          </w:p>
        </w:tc>
        <w:tc>
          <w:tcPr>
            <w:tcW w:w="1415" w:type="dxa"/>
            <w:vAlign w:val="top"/>
          </w:tcPr>
          <w:p>
            <w:pPr>
              <w:jc w:val="center"/>
              <w:rPr>
                <w:rFonts w:ascii="Arial"/>
                <w:sz w:val="21"/>
              </w:rPr>
            </w:pPr>
          </w:p>
        </w:tc>
        <w:tc>
          <w:tcPr>
            <w:tcW w:w="1130" w:type="dxa"/>
            <w:vAlign w:val="top"/>
          </w:tcPr>
          <w:p>
            <w:pPr>
              <w:jc w:val="center"/>
              <w:rPr>
                <w:rFonts w:ascii="Arial"/>
                <w:sz w:val="21"/>
              </w:rPr>
            </w:pPr>
          </w:p>
        </w:tc>
        <w:tc>
          <w:tcPr>
            <w:tcW w:w="1425" w:type="dxa"/>
            <w:vAlign w:val="top"/>
          </w:tcPr>
          <w:p>
            <w:pPr>
              <w:jc w:val="center"/>
              <w:rPr>
                <w:rFonts w:ascii="Arial"/>
                <w:sz w:val="21"/>
              </w:rPr>
            </w:pPr>
          </w:p>
        </w:tc>
        <w:tc>
          <w:tcPr>
            <w:tcW w:w="3965" w:type="dxa"/>
            <w:tcBorders>
              <w:right w:val="single" w:color="000000" w:sz="10" w:space="0"/>
            </w:tcBorders>
            <w:vAlign w:val="top"/>
          </w:tcPr>
          <w:p>
            <w:pPr>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 w:hRule="atLeast"/>
        </w:trPr>
        <w:tc>
          <w:tcPr>
            <w:tcW w:w="1881" w:type="dxa"/>
            <w:tcBorders>
              <w:left w:val="single" w:color="000000" w:sz="10" w:space="0"/>
            </w:tcBorders>
            <w:vAlign w:val="top"/>
          </w:tcPr>
          <w:p>
            <w:pPr>
              <w:jc w:val="center"/>
              <w:rPr>
                <w:rFonts w:ascii="Arial"/>
                <w:sz w:val="21"/>
              </w:rPr>
            </w:pPr>
          </w:p>
        </w:tc>
        <w:tc>
          <w:tcPr>
            <w:tcW w:w="1415" w:type="dxa"/>
            <w:vAlign w:val="top"/>
          </w:tcPr>
          <w:p>
            <w:pPr>
              <w:jc w:val="center"/>
              <w:rPr>
                <w:rFonts w:ascii="Arial"/>
                <w:sz w:val="21"/>
              </w:rPr>
            </w:pPr>
          </w:p>
        </w:tc>
        <w:tc>
          <w:tcPr>
            <w:tcW w:w="1130" w:type="dxa"/>
            <w:vAlign w:val="top"/>
          </w:tcPr>
          <w:p>
            <w:pPr>
              <w:jc w:val="center"/>
              <w:rPr>
                <w:rFonts w:ascii="Arial"/>
                <w:sz w:val="21"/>
              </w:rPr>
            </w:pPr>
          </w:p>
        </w:tc>
        <w:tc>
          <w:tcPr>
            <w:tcW w:w="1425" w:type="dxa"/>
            <w:vAlign w:val="top"/>
          </w:tcPr>
          <w:p>
            <w:pPr>
              <w:jc w:val="center"/>
              <w:rPr>
                <w:rFonts w:ascii="Arial"/>
                <w:sz w:val="21"/>
              </w:rPr>
            </w:pPr>
          </w:p>
        </w:tc>
        <w:tc>
          <w:tcPr>
            <w:tcW w:w="3965" w:type="dxa"/>
            <w:tcBorders>
              <w:right w:val="single" w:color="000000" w:sz="10" w:space="0"/>
            </w:tcBorders>
            <w:vAlign w:val="top"/>
          </w:tcPr>
          <w:p>
            <w:pPr>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1" w:hRule="atLeast"/>
        </w:trPr>
        <w:tc>
          <w:tcPr>
            <w:tcW w:w="1881" w:type="dxa"/>
            <w:tcBorders>
              <w:left w:val="single" w:color="000000" w:sz="10" w:space="0"/>
            </w:tcBorders>
            <w:vAlign w:val="top"/>
          </w:tcPr>
          <w:p>
            <w:pPr>
              <w:jc w:val="center"/>
              <w:rPr>
                <w:rFonts w:ascii="Arial"/>
                <w:sz w:val="21"/>
              </w:rPr>
            </w:pPr>
          </w:p>
        </w:tc>
        <w:tc>
          <w:tcPr>
            <w:tcW w:w="1415" w:type="dxa"/>
            <w:vAlign w:val="top"/>
          </w:tcPr>
          <w:p>
            <w:pPr>
              <w:jc w:val="center"/>
              <w:rPr>
                <w:rFonts w:ascii="Arial"/>
                <w:sz w:val="21"/>
              </w:rPr>
            </w:pPr>
          </w:p>
        </w:tc>
        <w:tc>
          <w:tcPr>
            <w:tcW w:w="1130" w:type="dxa"/>
            <w:vAlign w:val="top"/>
          </w:tcPr>
          <w:p>
            <w:pPr>
              <w:jc w:val="center"/>
              <w:rPr>
                <w:rFonts w:ascii="Arial"/>
                <w:sz w:val="21"/>
              </w:rPr>
            </w:pPr>
          </w:p>
        </w:tc>
        <w:tc>
          <w:tcPr>
            <w:tcW w:w="1425" w:type="dxa"/>
            <w:vAlign w:val="top"/>
          </w:tcPr>
          <w:p>
            <w:pPr>
              <w:jc w:val="center"/>
              <w:rPr>
                <w:rFonts w:ascii="Arial"/>
                <w:sz w:val="21"/>
              </w:rPr>
            </w:pPr>
          </w:p>
        </w:tc>
        <w:tc>
          <w:tcPr>
            <w:tcW w:w="3965" w:type="dxa"/>
            <w:tcBorders>
              <w:right w:val="single" w:color="000000" w:sz="10" w:space="0"/>
            </w:tcBorders>
            <w:vAlign w:val="top"/>
          </w:tcPr>
          <w:p>
            <w:pPr>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 w:hRule="atLeast"/>
        </w:trPr>
        <w:tc>
          <w:tcPr>
            <w:tcW w:w="1881" w:type="dxa"/>
            <w:tcBorders>
              <w:left w:val="single" w:color="000000" w:sz="10" w:space="0"/>
            </w:tcBorders>
            <w:vAlign w:val="top"/>
          </w:tcPr>
          <w:p>
            <w:pPr>
              <w:jc w:val="center"/>
              <w:rPr>
                <w:rFonts w:ascii="Arial"/>
                <w:sz w:val="21"/>
              </w:rPr>
            </w:pPr>
          </w:p>
        </w:tc>
        <w:tc>
          <w:tcPr>
            <w:tcW w:w="1415" w:type="dxa"/>
            <w:vAlign w:val="top"/>
          </w:tcPr>
          <w:p>
            <w:pPr>
              <w:jc w:val="center"/>
              <w:rPr>
                <w:rFonts w:ascii="Arial"/>
                <w:sz w:val="21"/>
              </w:rPr>
            </w:pPr>
          </w:p>
        </w:tc>
        <w:tc>
          <w:tcPr>
            <w:tcW w:w="1130" w:type="dxa"/>
            <w:vAlign w:val="top"/>
          </w:tcPr>
          <w:p>
            <w:pPr>
              <w:jc w:val="center"/>
              <w:rPr>
                <w:rFonts w:ascii="Arial"/>
                <w:sz w:val="21"/>
              </w:rPr>
            </w:pPr>
          </w:p>
        </w:tc>
        <w:tc>
          <w:tcPr>
            <w:tcW w:w="1425" w:type="dxa"/>
            <w:vAlign w:val="top"/>
          </w:tcPr>
          <w:p>
            <w:pPr>
              <w:jc w:val="center"/>
              <w:rPr>
                <w:rFonts w:ascii="Arial"/>
                <w:sz w:val="21"/>
              </w:rPr>
            </w:pPr>
          </w:p>
        </w:tc>
        <w:tc>
          <w:tcPr>
            <w:tcW w:w="3965" w:type="dxa"/>
            <w:tcBorders>
              <w:right w:val="single" w:color="000000" w:sz="10" w:space="0"/>
            </w:tcBorders>
            <w:vAlign w:val="top"/>
          </w:tcPr>
          <w:p>
            <w:pPr>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2" w:hRule="atLeast"/>
        </w:trPr>
        <w:tc>
          <w:tcPr>
            <w:tcW w:w="1881" w:type="dxa"/>
            <w:tcBorders>
              <w:left w:val="single" w:color="000000" w:sz="10" w:space="0"/>
              <w:bottom w:val="single" w:color="000000" w:sz="10" w:space="0"/>
            </w:tcBorders>
            <w:vAlign w:val="top"/>
          </w:tcPr>
          <w:p>
            <w:pPr>
              <w:jc w:val="center"/>
              <w:rPr>
                <w:rFonts w:ascii="Arial"/>
                <w:sz w:val="21"/>
              </w:rPr>
            </w:pPr>
          </w:p>
        </w:tc>
        <w:tc>
          <w:tcPr>
            <w:tcW w:w="1415" w:type="dxa"/>
            <w:tcBorders>
              <w:bottom w:val="single" w:color="000000" w:sz="10" w:space="0"/>
            </w:tcBorders>
            <w:vAlign w:val="top"/>
          </w:tcPr>
          <w:p>
            <w:pPr>
              <w:jc w:val="center"/>
              <w:rPr>
                <w:rFonts w:ascii="Arial"/>
                <w:sz w:val="21"/>
              </w:rPr>
            </w:pPr>
          </w:p>
        </w:tc>
        <w:tc>
          <w:tcPr>
            <w:tcW w:w="1130" w:type="dxa"/>
            <w:tcBorders>
              <w:bottom w:val="single" w:color="000000" w:sz="10" w:space="0"/>
            </w:tcBorders>
            <w:vAlign w:val="top"/>
          </w:tcPr>
          <w:p>
            <w:pPr>
              <w:jc w:val="center"/>
              <w:rPr>
                <w:rFonts w:ascii="Arial"/>
                <w:sz w:val="21"/>
              </w:rPr>
            </w:pPr>
          </w:p>
        </w:tc>
        <w:tc>
          <w:tcPr>
            <w:tcW w:w="1425" w:type="dxa"/>
            <w:tcBorders>
              <w:bottom w:val="single" w:color="000000" w:sz="10" w:space="0"/>
            </w:tcBorders>
            <w:vAlign w:val="top"/>
          </w:tcPr>
          <w:p>
            <w:pPr>
              <w:jc w:val="center"/>
              <w:rPr>
                <w:rFonts w:ascii="Arial"/>
                <w:sz w:val="21"/>
              </w:rPr>
            </w:pPr>
          </w:p>
        </w:tc>
        <w:tc>
          <w:tcPr>
            <w:tcW w:w="3965" w:type="dxa"/>
            <w:tcBorders>
              <w:bottom w:val="single" w:color="000000" w:sz="10" w:space="0"/>
              <w:right w:val="single" w:color="000000" w:sz="10" w:space="0"/>
            </w:tcBorders>
            <w:vAlign w:val="top"/>
          </w:tcPr>
          <w:p>
            <w:pPr>
              <w:jc w:val="center"/>
              <w:rPr>
                <w:rFonts w:ascii="Arial"/>
                <w:sz w:val="21"/>
              </w:rPr>
            </w:pPr>
          </w:p>
        </w:tc>
      </w:tr>
    </w:tbl>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96" w:lineRule="auto"/>
        <w:ind w:left="0" w:leftChars="0" w:firstLine="0" w:firstLineChars="0"/>
        <w:rPr>
          <w:rFonts w:ascii="Arial"/>
          <w:sz w:val="21"/>
        </w:rPr>
      </w:pPr>
    </w:p>
    <w:p>
      <w:pPr>
        <w:spacing w:line="296" w:lineRule="auto"/>
        <w:ind w:left="0" w:leftChars="0" w:firstLine="0" w:firstLineChars="0"/>
        <w:rPr>
          <w:rFonts w:ascii="Arial"/>
          <w:sz w:val="21"/>
        </w:rPr>
      </w:pPr>
    </w:p>
    <w:p>
      <w:pPr>
        <w:spacing w:line="296" w:lineRule="auto"/>
        <w:ind w:left="0" w:leftChars="0" w:firstLine="0" w:firstLineChars="0"/>
        <w:rPr>
          <w:rFonts w:ascii="Arial"/>
          <w:sz w:val="21"/>
        </w:rPr>
      </w:pPr>
    </w:p>
    <w:p>
      <w:pPr>
        <w:rPr>
          <w:rFonts w:ascii="Arial"/>
          <w:sz w:val="21"/>
        </w:rPr>
      </w:pPr>
      <w:r>
        <w:rPr>
          <w:rFonts w:ascii="Arial"/>
          <w:sz w:val="21"/>
        </w:rPr>
        <w:br w:type="page"/>
      </w:r>
    </w:p>
    <w:p>
      <w:pPr>
        <w:spacing w:line="296" w:lineRule="auto"/>
        <w:ind w:left="0" w:leftChars="0" w:firstLine="0" w:firstLineChars="0"/>
        <w:rPr>
          <w:rFonts w:ascii="Arial"/>
          <w:sz w:val="21"/>
        </w:rPr>
      </w:pPr>
    </w:p>
    <w:p>
      <w:pPr>
        <w:spacing w:before="91" w:line="219" w:lineRule="auto"/>
        <w:ind w:left="237"/>
        <w:rPr>
          <w:rFonts w:ascii="黑体" w:hAnsi="黑体" w:eastAsia="黑体" w:cs="黑体"/>
          <w:sz w:val="28"/>
          <w:szCs w:val="28"/>
        </w:rPr>
      </w:pPr>
      <w:r>
        <w:rPr>
          <w:rFonts w:ascii="黑体" w:hAnsi="黑体" w:eastAsia="黑体" w:cs="黑体"/>
          <w:b/>
          <w:bCs/>
          <w:spacing w:val="-3"/>
          <w:sz w:val="28"/>
          <w:szCs w:val="28"/>
        </w:rPr>
        <w:t>附件</w:t>
      </w:r>
      <w:r>
        <w:rPr>
          <w:rFonts w:ascii="黑体" w:hAnsi="黑体" w:eastAsia="黑体" w:cs="黑体"/>
          <w:spacing w:val="-53"/>
          <w:sz w:val="28"/>
          <w:szCs w:val="28"/>
        </w:rPr>
        <w:t xml:space="preserve"> </w:t>
      </w:r>
      <w:r>
        <w:rPr>
          <w:rFonts w:hint="eastAsia" w:ascii="黑体" w:hAnsi="黑体" w:eastAsia="黑体" w:cs="黑体"/>
          <w:b/>
          <w:bCs/>
          <w:spacing w:val="-3"/>
          <w:sz w:val="28"/>
          <w:szCs w:val="28"/>
          <w:lang w:val="en-US" w:eastAsia="zh-CN"/>
        </w:rPr>
        <w:t>5</w:t>
      </w:r>
      <w:r>
        <w:rPr>
          <w:rFonts w:ascii="黑体" w:hAnsi="黑体" w:eastAsia="黑体" w:cs="黑体"/>
          <w:b/>
          <w:bCs/>
          <w:spacing w:val="-3"/>
          <w:sz w:val="28"/>
          <w:szCs w:val="28"/>
        </w:rPr>
        <w:t>：</w:t>
      </w:r>
      <w:r>
        <w:rPr>
          <w:rFonts w:ascii="黑体" w:hAnsi="黑体" w:eastAsia="黑体" w:cs="黑体"/>
          <w:spacing w:val="-3"/>
          <w:sz w:val="28"/>
          <w:szCs w:val="28"/>
        </w:rPr>
        <w:t xml:space="preserve"> 设计变更计费依据和方法</w:t>
      </w:r>
    </w:p>
    <w:p>
      <w:pPr>
        <w:pStyle w:val="11"/>
        <w:spacing w:before="206" w:line="351" w:lineRule="auto"/>
        <w:ind w:left="20" w:right="3" w:firstLine="442"/>
        <w:jc w:val="both"/>
        <w:rPr>
          <w:sz w:val="22"/>
          <w:szCs w:val="22"/>
        </w:rPr>
      </w:pPr>
      <w:r>
        <w:rPr>
          <w:spacing w:val="2"/>
          <w:sz w:val="22"/>
          <w:szCs w:val="22"/>
        </w:rPr>
        <w:t xml:space="preserve">设计文件未通过审批前的修改不计付设计费用；如通过审批后作重大修改、变更，设 </w:t>
      </w:r>
      <w:r>
        <w:rPr>
          <w:spacing w:val="-1"/>
          <w:sz w:val="22"/>
          <w:szCs w:val="22"/>
        </w:rPr>
        <w:t>计变更工作量在原工作量</w:t>
      </w:r>
      <w:r>
        <w:rPr>
          <w:spacing w:val="-41"/>
          <w:sz w:val="22"/>
          <w:szCs w:val="22"/>
        </w:rPr>
        <w:t xml:space="preserve"> </w:t>
      </w:r>
      <w:r>
        <w:rPr>
          <w:spacing w:val="-1"/>
          <w:sz w:val="22"/>
          <w:szCs w:val="22"/>
        </w:rPr>
        <w:t>30%内的不计设计费，超出原工作量</w:t>
      </w:r>
      <w:r>
        <w:rPr>
          <w:spacing w:val="-41"/>
          <w:sz w:val="22"/>
          <w:szCs w:val="22"/>
        </w:rPr>
        <w:t xml:space="preserve"> </w:t>
      </w:r>
      <w:r>
        <w:rPr>
          <w:spacing w:val="-2"/>
          <w:sz w:val="22"/>
          <w:szCs w:val="22"/>
        </w:rPr>
        <w:t>30%部分按原设计收费标准的</w:t>
      </w:r>
      <w:r>
        <w:rPr>
          <w:sz w:val="22"/>
          <w:szCs w:val="22"/>
        </w:rPr>
        <w:t xml:space="preserve"> </w:t>
      </w:r>
      <w:r>
        <w:rPr>
          <w:spacing w:val="-3"/>
          <w:sz w:val="22"/>
          <w:szCs w:val="22"/>
        </w:rPr>
        <w:t>50%计取设计费。</w:t>
      </w:r>
    </w:p>
    <w:p>
      <w:pPr>
        <w:pStyle w:val="11"/>
        <w:spacing w:before="29" w:line="345" w:lineRule="auto"/>
        <w:ind w:left="20" w:right="2" w:firstLine="439"/>
        <w:rPr>
          <w:sz w:val="22"/>
          <w:szCs w:val="22"/>
        </w:rPr>
      </w:pPr>
      <w:r>
        <w:rPr>
          <w:spacing w:val="2"/>
          <w:sz w:val="22"/>
          <w:szCs w:val="22"/>
        </w:rPr>
        <w:t>注：工作量按变更内容对应的投资计量，若是因为设计人原因造成的变更，则不另外</w:t>
      </w:r>
      <w:r>
        <w:rPr>
          <w:spacing w:val="10"/>
          <w:sz w:val="22"/>
          <w:szCs w:val="22"/>
        </w:rPr>
        <w:t xml:space="preserve"> </w:t>
      </w:r>
      <w:r>
        <w:rPr>
          <w:spacing w:val="-2"/>
          <w:sz w:val="22"/>
          <w:szCs w:val="22"/>
        </w:rPr>
        <w:t>计费，后果严重还需追究设计人的违约责任。</w:t>
      </w:r>
    </w:p>
    <w:p>
      <w:pPr>
        <w:spacing w:line="240" w:lineRule="auto"/>
        <w:ind w:firstLine="0"/>
        <w:jc w:val="left"/>
        <w:rPr>
          <w:rFonts w:ascii="仿宋_GB2312" w:eastAsia="仿宋_GB2312" w:hAnsiTheme="minorEastAsia"/>
          <w:b/>
          <w:sz w:val="28"/>
          <w:szCs w:val="28"/>
          <w:highlight w:val="none"/>
        </w:rPr>
      </w:pPr>
      <w:r>
        <w:rPr>
          <w:rFonts w:ascii="仿宋_GB2312" w:eastAsia="仿宋_GB2312" w:hAnsiTheme="minorEastAsia"/>
          <w:b/>
          <w:sz w:val="28"/>
          <w:szCs w:val="28"/>
          <w:highlight w:val="none"/>
        </w:rPr>
        <w:br w:type="page"/>
      </w:r>
    </w:p>
    <w:p>
      <w:pPr>
        <w:spacing w:line="600" w:lineRule="exact"/>
        <w:rPr>
          <w:rFonts w:ascii="仿宋_GB2312" w:eastAsia="仿宋_GB2312" w:hAnsiTheme="minorEastAsia"/>
          <w:sz w:val="28"/>
          <w:szCs w:val="28"/>
          <w:highlight w:val="none"/>
        </w:rPr>
      </w:pPr>
      <w:r>
        <w:rPr>
          <w:rFonts w:hint="eastAsia" w:ascii="仿宋_GB2312" w:eastAsia="仿宋_GB2312" w:hAnsiTheme="minorEastAsia"/>
          <w:sz w:val="28"/>
          <w:szCs w:val="28"/>
          <w:highlight w:val="none"/>
        </w:rPr>
        <w:t>附件</w:t>
      </w:r>
      <w:r>
        <w:rPr>
          <w:rFonts w:hint="eastAsia" w:ascii="仿宋_GB2312" w:eastAsia="仿宋_GB2312" w:hAnsiTheme="minorEastAsia"/>
          <w:sz w:val="28"/>
          <w:szCs w:val="28"/>
          <w:highlight w:val="none"/>
          <w:lang w:val="en-US" w:eastAsia="zh-CN"/>
        </w:rPr>
        <w:t>6</w:t>
      </w:r>
      <w:r>
        <w:rPr>
          <w:rFonts w:ascii="仿宋_GB2312" w:eastAsia="仿宋_GB2312" w:hAnsiTheme="minorEastAsia"/>
          <w:sz w:val="28"/>
          <w:szCs w:val="28"/>
          <w:highlight w:val="none"/>
        </w:rPr>
        <w:t>：</w:t>
      </w:r>
    </w:p>
    <w:p>
      <w:pPr>
        <w:pStyle w:val="32"/>
        <w:ind w:firstLine="2800" w:firstLineChars="1000"/>
        <w:rPr>
          <w:rFonts w:ascii="仿宋_GB2312" w:eastAsia="仿宋_GB2312" w:hAnsiTheme="minorEastAsia"/>
          <w:snapToGrid w:val="0"/>
          <w:sz w:val="28"/>
          <w:szCs w:val="28"/>
          <w:highlight w:val="none"/>
        </w:rPr>
      </w:pPr>
      <w:r>
        <w:rPr>
          <w:rFonts w:hint="eastAsia" w:ascii="仿宋_GB2312" w:eastAsia="仿宋_GB2312" w:hAnsiTheme="minorEastAsia"/>
          <w:snapToGrid w:val="0"/>
          <w:sz w:val="28"/>
          <w:szCs w:val="28"/>
          <w:highlight w:val="none"/>
        </w:rPr>
        <w:t>比选申请报价文件</w:t>
      </w:r>
    </w:p>
    <w:p>
      <w:pPr>
        <w:spacing w:line="500" w:lineRule="exact"/>
        <w:ind w:firstLine="560" w:firstLineChars="200"/>
        <w:rPr>
          <w:rFonts w:ascii="仿宋_GB2312" w:eastAsia="仿宋_GB2312" w:hAnsiTheme="minorEastAsia"/>
          <w:sz w:val="28"/>
          <w:szCs w:val="28"/>
          <w:highlight w:val="none"/>
        </w:rPr>
      </w:pPr>
    </w:p>
    <w:p>
      <w:pPr>
        <w:spacing w:line="500" w:lineRule="exact"/>
        <w:ind w:firstLine="562" w:firstLineChars="200"/>
        <w:rPr>
          <w:rFonts w:ascii="仿宋_GB2312" w:eastAsia="仿宋_GB2312" w:hAnsiTheme="minorEastAsia"/>
          <w:b/>
          <w:sz w:val="28"/>
          <w:szCs w:val="28"/>
          <w:highlight w:val="none"/>
        </w:rPr>
      </w:pPr>
    </w:p>
    <w:p>
      <w:pPr>
        <w:spacing w:line="500" w:lineRule="exact"/>
        <w:ind w:firstLine="562" w:firstLineChars="200"/>
        <w:rPr>
          <w:rFonts w:ascii="仿宋_GB2312" w:eastAsia="仿宋_GB2312" w:hAnsiTheme="minorEastAsia"/>
          <w:b/>
          <w:sz w:val="28"/>
          <w:szCs w:val="28"/>
          <w:highlight w:val="none"/>
        </w:rPr>
      </w:pPr>
    </w:p>
    <w:p>
      <w:pPr>
        <w:spacing w:line="500" w:lineRule="exact"/>
        <w:ind w:firstLine="560" w:firstLineChars="200"/>
        <w:rPr>
          <w:rFonts w:ascii="仿宋_GB2312" w:eastAsia="仿宋_GB2312" w:hAnsiTheme="minorEastAsia"/>
          <w:sz w:val="28"/>
          <w:szCs w:val="28"/>
          <w:highlight w:val="none"/>
        </w:rPr>
      </w:pPr>
    </w:p>
    <w:p>
      <w:pPr>
        <w:spacing w:line="500" w:lineRule="exact"/>
        <w:ind w:firstLine="560" w:firstLineChars="200"/>
        <w:rPr>
          <w:rFonts w:ascii="仿宋_GB2312" w:eastAsia="仿宋_GB2312" w:hAnsiTheme="minorEastAsia"/>
          <w:sz w:val="28"/>
          <w:szCs w:val="28"/>
          <w:highlight w:val="none"/>
        </w:rPr>
      </w:pPr>
    </w:p>
    <w:p>
      <w:pPr>
        <w:spacing w:line="500" w:lineRule="exact"/>
        <w:ind w:firstLine="560" w:firstLineChars="200"/>
        <w:rPr>
          <w:rFonts w:ascii="仿宋_GB2312" w:eastAsia="仿宋_GB2312" w:hAnsiTheme="minorEastAsia"/>
          <w:sz w:val="28"/>
          <w:szCs w:val="28"/>
          <w:highlight w:val="none"/>
        </w:rPr>
      </w:pPr>
    </w:p>
    <w:p>
      <w:pPr>
        <w:rPr>
          <w:highlight w:val="none"/>
        </w:rPr>
      </w:pPr>
      <w:r>
        <w:rPr>
          <w:b/>
          <w:bCs/>
          <w:spacing w:val="20"/>
          <w:sz w:val="48"/>
          <w:szCs w:val="48"/>
          <w:highlight w:val="none"/>
        </w:rPr>
        <w:br w:type="page"/>
      </w:r>
    </w:p>
    <w:p>
      <w:pPr>
        <w:spacing w:before="0" w:after="0" w:afterAutospacing="0"/>
        <w:ind w:right="-57"/>
        <w:rPr>
          <w:rFonts w:ascii="宋体" w:hAnsi="宋体"/>
          <w:b/>
          <w:sz w:val="24"/>
          <w:szCs w:val="24"/>
          <w:highlight w:val="none"/>
        </w:rPr>
      </w:pPr>
      <w:r>
        <w:rPr>
          <w:rFonts w:hint="eastAsia" w:ascii="宋体" w:hAnsi="宋体"/>
          <w:b/>
          <w:sz w:val="24"/>
          <w:szCs w:val="24"/>
          <w:highlight w:val="none"/>
        </w:rPr>
        <w:t>附件</w:t>
      </w:r>
      <w:r>
        <w:rPr>
          <w:rFonts w:hint="eastAsia" w:ascii="宋体" w:hAnsi="宋体"/>
          <w:b/>
          <w:sz w:val="24"/>
          <w:szCs w:val="24"/>
          <w:highlight w:val="none"/>
          <w:lang w:val="en-US" w:eastAsia="zh-CN"/>
        </w:rPr>
        <w:t>7</w:t>
      </w:r>
      <w:r>
        <w:rPr>
          <w:rFonts w:hint="eastAsia" w:ascii="宋体" w:hAnsi="宋体"/>
          <w:b/>
          <w:sz w:val="24"/>
          <w:szCs w:val="24"/>
          <w:highlight w:val="none"/>
        </w:rPr>
        <w:t xml:space="preserve">：              </w:t>
      </w:r>
    </w:p>
    <w:p>
      <w:pPr>
        <w:tabs>
          <w:tab w:val="left" w:pos="640"/>
        </w:tabs>
        <w:spacing w:line="500" w:lineRule="exact"/>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工程</w:t>
      </w:r>
      <w:r>
        <w:rPr>
          <w:rFonts w:hint="eastAsia" w:ascii="方正小标宋简体" w:hAnsi="方正小标宋简体" w:eastAsia="方正小标宋简体" w:cs="方正小标宋简体"/>
          <w:sz w:val="44"/>
          <w:szCs w:val="44"/>
          <w:highlight w:val="none"/>
          <w:lang w:eastAsia="zh-CN"/>
        </w:rPr>
        <w:t>设计</w:t>
      </w:r>
      <w:r>
        <w:rPr>
          <w:rFonts w:hint="eastAsia" w:ascii="方正小标宋简体" w:hAnsi="方正小标宋简体" w:eastAsia="方正小标宋简体" w:cs="方正小标宋简体"/>
          <w:sz w:val="44"/>
          <w:szCs w:val="44"/>
          <w:highlight w:val="none"/>
        </w:rPr>
        <w:t>廉政责任书</w:t>
      </w:r>
    </w:p>
    <w:p>
      <w:pPr>
        <w:tabs>
          <w:tab w:val="left" w:pos="640"/>
        </w:tabs>
        <w:ind w:left="0" w:firstLine="0"/>
        <w:rPr>
          <w:rFonts w:hint="eastAsia" w:ascii="仿宋_GB2312" w:eastAsia="仿宋_GB2312"/>
          <w:sz w:val="32"/>
          <w:highlight w:val="none"/>
        </w:rPr>
      </w:pPr>
    </w:p>
    <w:p>
      <w:pPr>
        <w:tabs>
          <w:tab w:val="left" w:pos="640"/>
        </w:tabs>
        <w:spacing w:line="660" w:lineRule="exact"/>
        <w:rPr>
          <w:rFonts w:hint="eastAsia" w:ascii="仿宋_GB2312" w:eastAsia="仿宋_GB2312"/>
          <w:sz w:val="28"/>
          <w:szCs w:val="28"/>
          <w:highlight w:val="none"/>
        </w:rPr>
      </w:pPr>
      <w:r>
        <w:rPr>
          <w:rFonts w:hint="eastAsia" w:ascii="仿宋_GB2312" w:eastAsia="仿宋_GB2312"/>
          <w:sz w:val="28"/>
          <w:szCs w:val="28"/>
          <w:highlight w:val="none"/>
        </w:rPr>
        <w:t>工程项目名称：</w:t>
      </w:r>
    </w:p>
    <w:p>
      <w:pPr>
        <w:tabs>
          <w:tab w:val="left" w:pos="640"/>
        </w:tabs>
        <w:spacing w:line="660" w:lineRule="exact"/>
        <w:rPr>
          <w:rFonts w:hint="eastAsia" w:ascii="仿宋_GB2312" w:eastAsia="仿宋_GB2312"/>
          <w:sz w:val="28"/>
          <w:szCs w:val="28"/>
          <w:highlight w:val="none"/>
        </w:rPr>
      </w:pPr>
      <w:r>
        <w:rPr>
          <w:rFonts w:hint="eastAsia" w:ascii="仿宋_GB2312" w:eastAsia="仿宋_GB2312"/>
          <w:sz w:val="28"/>
          <w:szCs w:val="28"/>
          <w:highlight w:val="none"/>
        </w:rPr>
        <w:t>工程项目地址：</w:t>
      </w:r>
    </w:p>
    <w:p>
      <w:pPr>
        <w:tabs>
          <w:tab w:val="left" w:pos="640"/>
        </w:tabs>
        <w:spacing w:line="660" w:lineRule="exact"/>
        <w:rPr>
          <w:rFonts w:hint="default" w:ascii="仿宋_GB2312" w:eastAsia="仿宋_GB2312"/>
          <w:sz w:val="28"/>
          <w:szCs w:val="28"/>
          <w:highlight w:val="none"/>
          <w:lang w:val="en-US" w:eastAsia="zh-CN"/>
        </w:rPr>
      </w:pPr>
      <w:r>
        <w:rPr>
          <w:rFonts w:hint="eastAsia" w:ascii="仿宋_GB2312" w:eastAsia="仿宋_GB2312"/>
          <w:sz w:val="28"/>
          <w:szCs w:val="28"/>
          <w:highlight w:val="none"/>
        </w:rPr>
        <w:t>建设单位（甲方）：</w:t>
      </w:r>
    </w:p>
    <w:p>
      <w:pPr>
        <w:tabs>
          <w:tab w:val="left" w:pos="640"/>
        </w:tabs>
        <w:spacing w:line="660" w:lineRule="exact"/>
        <w:rPr>
          <w:rFonts w:hint="eastAsia" w:ascii="仿宋_GB2312" w:eastAsia="仿宋_GB2312"/>
          <w:sz w:val="28"/>
          <w:szCs w:val="28"/>
          <w:highlight w:val="none"/>
        </w:rPr>
      </w:pPr>
      <w:r>
        <w:rPr>
          <w:rFonts w:hint="eastAsia" w:ascii="仿宋_GB2312" w:eastAsia="仿宋_GB2312"/>
          <w:sz w:val="28"/>
          <w:szCs w:val="28"/>
          <w:highlight w:val="none"/>
          <w:lang w:eastAsia="zh-CN"/>
        </w:rPr>
        <w:t>设计</w:t>
      </w:r>
      <w:r>
        <w:rPr>
          <w:rFonts w:hint="eastAsia" w:ascii="仿宋_GB2312" w:eastAsia="仿宋_GB2312"/>
          <w:sz w:val="28"/>
          <w:szCs w:val="28"/>
          <w:highlight w:val="none"/>
        </w:rPr>
        <w:t>单位（乙方）：</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为加强工程建设中的廉政建设，规范工程建设</w:t>
      </w:r>
      <w:r>
        <w:rPr>
          <w:rFonts w:hint="eastAsia" w:ascii="仿宋_GB2312" w:eastAsia="仿宋_GB2312"/>
          <w:sz w:val="28"/>
          <w:szCs w:val="28"/>
          <w:highlight w:val="none"/>
          <w:lang w:eastAsia="zh-CN"/>
        </w:rPr>
        <w:t>设计</w:t>
      </w:r>
      <w:r>
        <w:rPr>
          <w:rFonts w:hint="eastAsia" w:ascii="仿宋_GB2312" w:eastAsia="仿宋_GB2312"/>
          <w:sz w:val="28"/>
          <w:szCs w:val="28"/>
          <w:highlight w:val="none"/>
        </w:rPr>
        <w:t>委托与被委托双方的各项活动，防止发生各种谋取不正当利益的违法违纪行为，保护国家、集体和当事人的合法权益，根据国家有关工程建设的法律法规和廉政建设责任制规定，特订立本廉政责任书。</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第一条  甲乙双方的责任</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（一）应严格遵守国家关于市场准入、项目招标投标、工程建设、</w:t>
      </w:r>
      <w:r>
        <w:rPr>
          <w:rFonts w:hint="eastAsia" w:ascii="仿宋_GB2312" w:eastAsia="仿宋_GB2312"/>
          <w:sz w:val="28"/>
          <w:szCs w:val="28"/>
          <w:highlight w:val="none"/>
          <w:lang w:eastAsia="zh-CN"/>
        </w:rPr>
        <w:t>设计</w:t>
      </w:r>
      <w:r>
        <w:rPr>
          <w:rFonts w:hint="eastAsia" w:ascii="仿宋_GB2312" w:eastAsia="仿宋_GB2312"/>
          <w:sz w:val="28"/>
          <w:szCs w:val="28"/>
          <w:highlight w:val="none"/>
        </w:rPr>
        <w:t>和市场活动的有关法律、法规、相关政策、以及廉政建设的各项规定。</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（二）严格执行建设工程</w:t>
      </w:r>
      <w:r>
        <w:rPr>
          <w:rFonts w:hint="eastAsia" w:ascii="仿宋_GB2312" w:eastAsia="仿宋_GB2312"/>
          <w:sz w:val="28"/>
          <w:szCs w:val="28"/>
          <w:highlight w:val="none"/>
          <w:lang w:eastAsia="zh-CN"/>
        </w:rPr>
        <w:t>设计</w:t>
      </w:r>
      <w:r>
        <w:rPr>
          <w:rFonts w:hint="eastAsia" w:ascii="仿宋_GB2312" w:eastAsia="仿宋_GB2312"/>
          <w:sz w:val="28"/>
          <w:szCs w:val="28"/>
          <w:highlight w:val="none"/>
        </w:rPr>
        <w:t>合同文件，自觉按合同办事。</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（三）业务活动必须坚持公开、公平、公正、诚信、透明的原则（除法律法规另有规定者外），不得损害国家利益、集体利益和对方</w:t>
      </w:r>
      <w:r>
        <w:rPr>
          <w:rFonts w:hint="eastAsia" w:ascii="仿宋_GB2312" w:eastAsia="仿宋_GB2312"/>
          <w:sz w:val="28"/>
          <w:szCs w:val="28"/>
          <w:highlight w:val="none"/>
          <w:lang w:val="en-US" w:eastAsia="zh-CN"/>
        </w:rPr>
        <w:t>的合法利益</w:t>
      </w:r>
      <w:r>
        <w:rPr>
          <w:rFonts w:hint="eastAsia" w:ascii="仿宋_GB2312" w:eastAsia="仿宋_GB2312"/>
          <w:sz w:val="28"/>
          <w:szCs w:val="28"/>
          <w:highlight w:val="none"/>
        </w:rPr>
        <w:t>，不得违反工程建设管理、</w:t>
      </w:r>
      <w:r>
        <w:rPr>
          <w:rFonts w:hint="eastAsia" w:ascii="仿宋_GB2312" w:eastAsia="仿宋_GB2312"/>
          <w:sz w:val="28"/>
          <w:szCs w:val="28"/>
          <w:highlight w:val="none"/>
          <w:lang w:eastAsia="zh-CN"/>
        </w:rPr>
        <w:t>设计</w:t>
      </w:r>
      <w:r>
        <w:rPr>
          <w:rFonts w:hint="eastAsia" w:ascii="仿宋_GB2312" w:eastAsia="仿宋_GB2312"/>
          <w:sz w:val="28"/>
          <w:szCs w:val="28"/>
          <w:highlight w:val="none"/>
        </w:rPr>
        <w:t>的</w:t>
      </w:r>
      <w:r>
        <w:rPr>
          <w:rFonts w:hint="eastAsia" w:ascii="仿宋_GB2312" w:eastAsia="仿宋_GB2312"/>
          <w:sz w:val="28"/>
          <w:szCs w:val="28"/>
          <w:highlight w:val="none"/>
          <w:lang w:val="en-US" w:eastAsia="zh-CN"/>
        </w:rPr>
        <w:t>法律法规及</w:t>
      </w:r>
      <w:r>
        <w:rPr>
          <w:rFonts w:hint="eastAsia" w:ascii="仿宋_GB2312" w:eastAsia="仿宋_GB2312"/>
          <w:sz w:val="28"/>
          <w:szCs w:val="28"/>
          <w:highlight w:val="none"/>
        </w:rPr>
        <w:t>规章制度。</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（四）发现对方在业务活动中有违规、违纪、违法行为的，应及时提醒对方，</w:t>
      </w:r>
      <w:r>
        <w:rPr>
          <w:rFonts w:hint="eastAsia" w:ascii="仿宋_GB2312" w:eastAsia="仿宋_GB2312"/>
          <w:sz w:val="28"/>
          <w:szCs w:val="28"/>
          <w:highlight w:val="none"/>
          <w:lang w:val="en-US" w:eastAsia="zh-CN"/>
        </w:rPr>
        <w:t>并向监管单位报告；</w:t>
      </w:r>
      <w:r>
        <w:rPr>
          <w:rFonts w:hint="eastAsia" w:ascii="仿宋_GB2312" w:eastAsia="仿宋_GB2312"/>
          <w:sz w:val="28"/>
          <w:szCs w:val="28"/>
          <w:highlight w:val="none"/>
        </w:rPr>
        <w:t>情节严重的，应向其上级主管部门或纪检监察、司法等有关机关举报。</w:t>
      </w:r>
    </w:p>
    <w:p>
      <w:pPr>
        <w:numPr>
          <w:ilvl w:val="0"/>
          <w:numId w:val="7"/>
        </w:numPr>
        <w:tabs>
          <w:tab w:val="left" w:pos="640"/>
        </w:tabs>
        <w:spacing w:line="240" w:lineRule="auto"/>
        <w:rPr>
          <w:rFonts w:hint="eastAsia" w:ascii="仿宋_GB2312" w:eastAsia="仿宋_GB2312"/>
          <w:sz w:val="28"/>
          <w:szCs w:val="28"/>
          <w:highlight w:val="none"/>
        </w:rPr>
      </w:pPr>
      <w:r>
        <w:rPr>
          <w:rFonts w:hint="eastAsia" w:ascii="仿宋_GB2312" w:eastAsia="仿宋_GB2312"/>
          <w:sz w:val="28"/>
          <w:szCs w:val="28"/>
          <w:highlight w:val="none"/>
        </w:rPr>
        <w:t>甲方的责任</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甲方</w:t>
      </w:r>
      <w:r>
        <w:rPr>
          <w:rFonts w:hint="eastAsia" w:ascii="仿宋_GB2312" w:eastAsia="仿宋_GB2312"/>
          <w:sz w:val="28"/>
          <w:szCs w:val="28"/>
          <w:highlight w:val="none"/>
          <w:lang w:val="en-US" w:eastAsia="zh-CN"/>
        </w:rPr>
        <w:t>及甲方相关</w:t>
      </w:r>
      <w:r>
        <w:rPr>
          <w:rFonts w:hint="eastAsia" w:ascii="仿宋_GB2312" w:eastAsia="仿宋_GB2312"/>
          <w:sz w:val="28"/>
          <w:szCs w:val="28"/>
          <w:highlight w:val="none"/>
        </w:rPr>
        <w:t>工作人员，在工程建设的事前、事中、事后应遵守以下规定：</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（一）不准向乙方和相关单位索要或接受回扣、礼金、有价证券、贵重物品和好处费、感谢费等。</w:t>
      </w:r>
    </w:p>
    <w:p>
      <w:pPr>
        <w:tabs>
          <w:tab w:val="left" w:pos="640"/>
        </w:tabs>
        <w:ind w:firstLine="560" w:firstLineChars="200"/>
        <w:rPr>
          <w:rFonts w:hint="eastAsia" w:ascii="仿宋_GB2312" w:eastAsia="仿宋_GB2312"/>
          <w:sz w:val="28"/>
          <w:szCs w:val="28"/>
          <w:highlight w:val="none"/>
        </w:rPr>
      </w:pPr>
      <w:r>
        <w:rPr>
          <w:rFonts w:hint="eastAsia" w:ascii="仿宋_GB2312" w:eastAsia="仿宋_GB2312"/>
          <w:sz w:val="28"/>
          <w:szCs w:val="28"/>
          <w:highlight w:val="none"/>
        </w:rPr>
        <w:t>不准以任何理由向乙方和相关单位无偿或</w:t>
      </w:r>
      <w:r>
        <w:rPr>
          <w:rFonts w:hint="eastAsia" w:ascii="仿宋_GB2312" w:eastAsia="仿宋_GB2312"/>
          <w:sz w:val="28"/>
          <w:szCs w:val="28"/>
          <w:highlight w:val="none"/>
          <w:lang w:val="en-US" w:eastAsia="zh-CN"/>
        </w:rPr>
        <w:t>以</w:t>
      </w:r>
      <w:r>
        <w:rPr>
          <w:rFonts w:hint="eastAsia" w:ascii="仿宋_GB2312" w:eastAsia="仿宋_GB2312"/>
          <w:sz w:val="28"/>
          <w:szCs w:val="28"/>
          <w:highlight w:val="none"/>
        </w:rPr>
        <w:t>明显低于市场价格借用房屋、车辆、金钱或其他贵重物品等。</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（二）不准在乙方和相关单位报销任何应由甲方或个人支付的费用。</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（三）不准要求、暗示或接受乙方和相关单位为个人装修住房、婚丧嫁娶、配偶子女的工作安排以及出国（境）、旅游等提供方便。</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（四）不准参加乙方和相关单位</w:t>
      </w:r>
      <w:r>
        <w:rPr>
          <w:rFonts w:hint="eastAsia" w:ascii="仿宋_GB2312" w:eastAsia="仿宋_GB2312"/>
          <w:sz w:val="28"/>
          <w:szCs w:val="28"/>
          <w:highlight w:val="none"/>
          <w:lang w:val="en-US" w:eastAsia="zh-CN"/>
        </w:rPr>
        <w:t>安排的</w:t>
      </w:r>
      <w:r>
        <w:rPr>
          <w:rFonts w:hint="eastAsia" w:ascii="仿宋_GB2312" w:eastAsia="仿宋_GB2312"/>
          <w:sz w:val="28"/>
          <w:szCs w:val="28"/>
          <w:highlight w:val="none"/>
        </w:rPr>
        <w:t>有可能影响公正执行工作任务的的宴请、健身、娱乐等活动。</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（五）不准向乙方和相关单位介绍或为配偶、子女、亲属</w:t>
      </w:r>
      <w:r>
        <w:rPr>
          <w:rFonts w:hint="eastAsia" w:ascii="仿宋_GB2312" w:eastAsia="仿宋_GB2312"/>
          <w:sz w:val="28"/>
          <w:szCs w:val="28"/>
          <w:highlight w:val="none"/>
          <w:lang w:val="en-US" w:eastAsia="zh-CN"/>
        </w:rPr>
        <w:t>介绍</w:t>
      </w:r>
      <w:r>
        <w:rPr>
          <w:rFonts w:hint="eastAsia" w:ascii="仿宋_GB2312" w:eastAsia="仿宋_GB2312"/>
          <w:sz w:val="28"/>
          <w:szCs w:val="28"/>
          <w:highlight w:val="none"/>
        </w:rPr>
        <w:t>参与同甲方工程</w:t>
      </w:r>
      <w:r>
        <w:rPr>
          <w:rFonts w:hint="eastAsia" w:ascii="仿宋_GB2312" w:eastAsia="仿宋_GB2312"/>
          <w:sz w:val="28"/>
          <w:szCs w:val="28"/>
          <w:highlight w:val="none"/>
          <w:lang w:eastAsia="zh-CN"/>
        </w:rPr>
        <w:t>设计</w:t>
      </w:r>
      <w:r>
        <w:rPr>
          <w:rFonts w:hint="eastAsia" w:ascii="仿宋_GB2312" w:eastAsia="仿宋_GB2312"/>
          <w:sz w:val="28"/>
          <w:szCs w:val="28"/>
          <w:highlight w:val="none"/>
        </w:rPr>
        <w:t>合同有关的</w:t>
      </w:r>
      <w:r>
        <w:rPr>
          <w:rFonts w:hint="eastAsia" w:ascii="仿宋_GB2312" w:eastAsia="仿宋_GB2312"/>
          <w:sz w:val="28"/>
          <w:szCs w:val="28"/>
          <w:highlight w:val="none"/>
          <w:lang w:eastAsia="zh-CN"/>
        </w:rPr>
        <w:t>设计</w:t>
      </w:r>
      <w:r>
        <w:rPr>
          <w:rFonts w:hint="eastAsia" w:ascii="仿宋_GB2312" w:eastAsia="仿宋_GB2312"/>
          <w:sz w:val="28"/>
          <w:szCs w:val="28"/>
          <w:highlight w:val="none"/>
        </w:rPr>
        <w:t>业务等活动。不得</w:t>
      </w:r>
      <w:r>
        <w:rPr>
          <w:rFonts w:hint="eastAsia" w:ascii="仿宋_GB2312" w:eastAsia="仿宋_GB2312"/>
          <w:sz w:val="28"/>
          <w:szCs w:val="28"/>
          <w:highlight w:val="none"/>
          <w:lang w:val="en-US" w:eastAsia="zh-CN"/>
        </w:rPr>
        <w:t>以</w:t>
      </w:r>
      <w:r>
        <w:rPr>
          <w:rFonts w:hint="eastAsia" w:ascii="仿宋_GB2312" w:eastAsia="仿宋_GB2312"/>
          <w:sz w:val="28"/>
          <w:szCs w:val="28"/>
          <w:highlight w:val="none"/>
        </w:rPr>
        <w:t>任何理由要求乙方和相关单位在设计中使用</w:t>
      </w:r>
      <w:r>
        <w:rPr>
          <w:rFonts w:hint="eastAsia" w:ascii="仿宋_GB2312" w:eastAsia="仿宋_GB2312"/>
          <w:sz w:val="28"/>
          <w:szCs w:val="28"/>
          <w:highlight w:val="none"/>
          <w:lang w:val="en-US" w:eastAsia="zh-CN"/>
        </w:rPr>
        <w:t>设计</w:t>
      </w:r>
      <w:r>
        <w:rPr>
          <w:rFonts w:hint="eastAsia" w:ascii="仿宋_GB2312" w:eastAsia="仿宋_GB2312"/>
          <w:sz w:val="28"/>
          <w:szCs w:val="28"/>
          <w:highlight w:val="none"/>
        </w:rPr>
        <w:t>合同规定以外</w:t>
      </w:r>
      <w:r>
        <w:rPr>
          <w:rFonts w:hint="eastAsia" w:ascii="仿宋_GB2312" w:eastAsia="仿宋_GB2312"/>
          <w:sz w:val="28"/>
          <w:szCs w:val="28"/>
          <w:highlight w:val="none"/>
          <w:lang w:val="en-US" w:eastAsia="zh-CN"/>
        </w:rPr>
        <w:t>的</w:t>
      </w:r>
      <w:r>
        <w:rPr>
          <w:rFonts w:hint="eastAsia" w:ascii="仿宋_GB2312" w:eastAsia="仿宋_GB2312"/>
          <w:sz w:val="28"/>
          <w:szCs w:val="28"/>
          <w:highlight w:val="none"/>
        </w:rPr>
        <w:t>产品、材料和设备</w:t>
      </w:r>
      <w:r>
        <w:rPr>
          <w:rFonts w:hint="eastAsia" w:ascii="仿宋_GB2312" w:eastAsia="仿宋_GB2312"/>
          <w:sz w:val="28"/>
          <w:szCs w:val="28"/>
          <w:highlight w:val="none"/>
          <w:lang w:val="en-US" w:eastAsia="zh-CN"/>
        </w:rPr>
        <w:t>等</w:t>
      </w:r>
      <w:r>
        <w:rPr>
          <w:rFonts w:hint="eastAsia" w:ascii="仿宋_GB2312" w:eastAsia="仿宋_GB2312"/>
          <w:sz w:val="28"/>
          <w:szCs w:val="28"/>
          <w:highlight w:val="none"/>
        </w:rPr>
        <w:t>。</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第三条  乙方的责任</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应与甲方保持正常的业务交往，按照有关法律法规和程序开展业务工作，严格执行工程建设的有关方针、政策，尤其是有关</w:t>
      </w:r>
      <w:r>
        <w:rPr>
          <w:rFonts w:hint="eastAsia" w:ascii="仿宋_GB2312" w:eastAsia="仿宋_GB2312"/>
          <w:sz w:val="28"/>
          <w:szCs w:val="28"/>
          <w:highlight w:val="none"/>
          <w:lang w:eastAsia="zh-CN"/>
        </w:rPr>
        <w:t>设计</w:t>
      </w:r>
      <w:r>
        <w:rPr>
          <w:rFonts w:hint="eastAsia" w:ascii="仿宋_GB2312" w:eastAsia="仿宋_GB2312"/>
          <w:sz w:val="28"/>
          <w:szCs w:val="28"/>
          <w:highlight w:val="none"/>
        </w:rPr>
        <w:t>的强制性标准和规范，并遵守以下规定：</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kern w:val="2"/>
          <w:sz w:val="28"/>
          <w:szCs w:val="28"/>
          <w:highlight w:val="none"/>
          <w:lang w:val="en-US" w:eastAsia="zh-CN" w:bidi="ar-SA"/>
        </w:rPr>
        <w:t>（一）</w:t>
      </w:r>
      <w:r>
        <w:rPr>
          <w:rFonts w:hint="eastAsia" w:ascii="仿宋_GB2312" w:eastAsia="仿宋_GB2312"/>
          <w:sz w:val="28"/>
          <w:szCs w:val="28"/>
          <w:highlight w:val="none"/>
        </w:rPr>
        <w:t>不准以任何理由向甲方、相关单位及其工作人员赠送礼金、有价证券、贵重物品及回扣、好处费、感谢费等。不准以任何理由向甲方、相关单位及其工作人员无偿或</w:t>
      </w:r>
      <w:r>
        <w:rPr>
          <w:rFonts w:hint="eastAsia" w:ascii="仿宋_GB2312" w:eastAsia="仿宋_GB2312"/>
          <w:sz w:val="28"/>
          <w:szCs w:val="28"/>
          <w:highlight w:val="none"/>
          <w:lang w:val="en-US" w:eastAsia="zh-CN"/>
        </w:rPr>
        <w:t>以</w:t>
      </w:r>
      <w:r>
        <w:rPr>
          <w:rFonts w:hint="eastAsia" w:ascii="仿宋_GB2312" w:eastAsia="仿宋_GB2312"/>
          <w:sz w:val="28"/>
          <w:szCs w:val="28"/>
          <w:highlight w:val="none"/>
        </w:rPr>
        <w:t>明显低于市场价格出借房屋、车辆、金钱或其他贵重物品等。</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（二）不准以任何理由为甲方和相关单位及其工作人员报销应由</w:t>
      </w:r>
      <w:r>
        <w:rPr>
          <w:rFonts w:hint="eastAsia" w:ascii="仿宋_GB2312" w:eastAsia="仿宋_GB2312"/>
          <w:sz w:val="28"/>
          <w:szCs w:val="28"/>
          <w:highlight w:val="none"/>
          <w:lang w:val="en-US" w:eastAsia="zh-CN"/>
        </w:rPr>
        <w:t>甲</w:t>
      </w:r>
      <w:r>
        <w:rPr>
          <w:rFonts w:hint="eastAsia" w:ascii="仿宋_GB2312" w:eastAsia="仿宋_GB2312"/>
          <w:sz w:val="28"/>
          <w:szCs w:val="28"/>
          <w:highlight w:val="none"/>
        </w:rPr>
        <w:t>方或个人支付的费用。</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（三）不准</w:t>
      </w:r>
      <w:r>
        <w:rPr>
          <w:rFonts w:hint="eastAsia" w:ascii="仿宋_GB2312" w:eastAsia="仿宋_GB2312"/>
          <w:sz w:val="28"/>
          <w:szCs w:val="28"/>
          <w:highlight w:val="none"/>
          <w:lang w:val="en-US" w:eastAsia="zh-CN"/>
        </w:rPr>
        <w:t>明示</w:t>
      </w:r>
      <w:r>
        <w:rPr>
          <w:rFonts w:hint="eastAsia" w:ascii="仿宋_GB2312" w:eastAsia="仿宋_GB2312"/>
          <w:sz w:val="28"/>
          <w:szCs w:val="28"/>
          <w:highlight w:val="none"/>
        </w:rPr>
        <w:t>或暗示为甲方、相关单位或个人装修住房、婚丧嫁娶、配偶子女的工作安排以及出国（境）、旅游等提供方便。</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（四）不准以任何理由为甲方、相关单位或个人组织</w:t>
      </w:r>
      <w:r>
        <w:rPr>
          <w:rFonts w:hint="eastAsia" w:ascii="仿宋_GB2312" w:eastAsia="仿宋_GB2312"/>
          <w:sz w:val="28"/>
          <w:szCs w:val="28"/>
          <w:highlight w:val="none"/>
          <w:lang w:val="en-US" w:eastAsia="zh-CN"/>
        </w:rPr>
        <w:t>安排</w:t>
      </w:r>
      <w:r>
        <w:rPr>
          <w:rFonts w:hint="eastAsia" w:ascii="仿宋_GB2312" w:eastAsia="仿宋_GB2312"/>
          <w:sz w:val="28"/>
          <w:szCs w:val="28"/>
          <w:highlight w:val="none"/>
        </w:rPr>
        <w:t>有可能影响公正执行</w:t>
      </w:r>
      <w:r>
        <w:rPr>
          <w:rFonts w:hint="eastAsia" w:ascii="仿宋_GB2312" w:eastAsia="仿宋_GB2312"/>
          <w:sz w:val="28"/>
          <w:szCs w:val="28"/>
          <w:highlight w:val="none"/>
          <w:lang w:val="en-US" w:eastAsia="zh-CN"/>
        </w:rPr>
        <w:t>工作任务</w:t>
      </w:r>
      <w:r>
        <w:rPr>
          <w:rFonts w:hint="eastAsia" w:ascii="仿宋_GB2312" w:eastAsia="仿宋_GB2312"/>
          <w:sz w:val="28"/>
          <w:szCs w:val="28"/>
          <w:highlight w:val="none"/>
        </w:rPr>
        <w:t>的宴请、健身、娱乐等活动。</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第四条  违约责任</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（一）甲方工作人员有违反本责任书第一、二条责任行为的，甲方应按照管理权限，依据有关法律法规和规定给予</w:t>
      </w:r>
      <w:r>
        <w:rPr>
          <w:rFonts w:hint="eastAsia" w:ascii="仿宋_GB2312" w:eastAsia="仿宋_GB2312"/>
          <w:sz w:val="28"/>
          <w:szCs w:val="28"/>
          <w:highlight w:val="none"/>
          <w:lang w:val="en-US" w:eastAsia="zh-CN"/>
        </w:rPr>
        <w:t>追责</w:t>
      </w:r>
      <w:r>
        <w:rPr>
          <w:rFonts w:hint="eastAsia" w:ascii="仿宋_GB2312" w:eastAsia="仿宋_GB2312"/>
          <w:sz w:val="28"/>
          <w:szCs w:val="28"/>
          <w:highlight w:val="none"/>
        </w:rPr>
        <w:t>处理；涉嫌犯罪的，移交司法机关追究刑事责任；给乙方单位造成损失的，应予以赔偿。</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（二）乙方工作人员有违反责任书第一、三条责任行为的，乙方应按照管理权限，依据有关法律法规和规定给予</w:t>
      </w:r>
      <w:r>
        <w:rPr>
          <w:rFonts w:hint="eastAsia" w:ascii="仿宋_GB2312" w:eastAsia="仿宋_GB2312"/>
          <w:sz w:val="28"/>
          <w:szCs w:val="28"/>
          <w:highlight w:val="none"/>
          <w:lang w:val="en-US" w:eastAsia="zh-CN"/>
        </w:rPr>
        <w:t>追责</w:t>
      </w:r>
      <w:r>
        <w:rPr>
          <w:rFonts w:hint="eastAsia" w:ascii="仿宋_GB2312" w:eastAsia="仿宋_GB2312"/>
          <w:sz w:val="28"/>
          <w:szCs w:val="28"/>
          <w:highlight w:val="none"/>
        </w:rPr>
        <w:t>处理；涉嫌犯罪的，移交司法机关追究刑事责任；给甲方单位造成损失的，应予以赔偿。</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第五条  本责任书经双方</w:t>
      </w:r>
      <w:r>
        <w:rPr>
          <w:rFonts w:hint="eastAsia" w:ascii="仿宋_GB2312" w:eastAsia="仿宋_GB2312"/>
          <w:spacing w:val="0"/>
          <w:sz w:val="28"/>
          <w:szCs w:val="28"/>
          <w:highlight w:val="none"/>
          <w:lang w:val="en-US" w:eastAsia="zh-CN"/>
        </w:rPr>
        <w:t>法定代表人或</w:t>
      </w:r>
      <w:r>
        <w:rPr>
          <w:rFonts w:hint="eastAsia" w:ascii="仿宋_GB2312" w:eastAsia="仿宋_GB2312"/>
          <w:sz w:val="28"/>
          <w:szCs w:val="28"/>
          <w:highlight w:val="none"/>
          <w:lang w:val="en-US" w:eastAsia="zh-CN"/>
        </w:rPr>
        <w:t>授权代表签字并加盖双方单位公章</w:t>
      </w:r>
      <w:r>
        <w:rPr>
          <w:rFonts w:hint="eastAsia" w:ascii="仿宋_GB2312" w:eastAsia="仿宋_GB2312"/>
          <w:sz w:val="28"/>
          <w:szCs w:val="28"/>
          <w:highlight w:val="none"/>
        </w:rPr>
        <w:t>后立即生效。</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第六条  本责任书的有效期为双方签署之日起至该工程项目竣工验收合格时止。</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第七条  本责任书一式四份，由甲乙双方各执一份，送交甲乙双方的监督单位各一份。</w:t>
      </w:r>
    </w:p>
    <w:p>
      <w:pPr>
        <w:tabs>
          <w:tab w:val="left" w:pos="640"/>
        </w:tabs>
        <w:ind w:firstLine="645"/>
        <w:rPr>
          <w:rFonts w:hint="eastAsia" w:ascii="仿宋_GB2312" w:eastAsia="仿宋_GB2312"/>
          <w:sz w:val="28"/>
          <w:szCs w:val="28"/>
          <w:highlight w:val="none"/>
        </w:rPr>
      </w:pPr>
    </w:p>
    <w:p>
      <w:pPr>
        <w:tabs>
          <w:tab w:val="left" w:pos="640"/>
        </w:tabs>
        <w:ind w:left="759" w:leftChars="314" w:hanging="100" w:hangingChars="36"/>
        <w:rPr>
          <w:rFonts w:hint="eastAsia" w:ascii="仿宋_GB2312" w:eastAsia="仿宋_GB2312"/>
          <w:sz w:val="28"/>
          <w:szCs w:val="28"/>
          <w:highlight w:val="none"/>
        </w:rPr>
      </w:pPr>
      <w:r>
        <w:rPr>
          <w:rFonts w:hint="eastAsia" w:ascii="仿宋_GB2312" w:eastAsia="仿宋_GB2312"/>
          <w:sz w:val="28"/>
          <w:szCs w:val="28"/>
          <w:highlight w:val="none"/>
        </w:rPr>
        <w:t>甲方单位：（盖章）           乙方单位：（盖章）</w:t>
      </w:r>
    </w:p>
    <w:p>
      <w:pPr>
        <w:tabs>
          <w:tab w:val="left" w:pos="640"/>
        </w:tabs>
        <w:ind w:left="759" w:leftChars="314" w:hanging="100" w:hangingChars="36"/>
        <w:rPr>
          <w:rFonts w:hint="eastAsia" w:ascii="仿宋_GB2312" w:eastAsia="仿宋_GB2312"/>
          <w:spacing w:val="0"/>
          <w:sz w:val="28"/>
          <w:szCs w:val="28"/>
          <w:highlight w:val="none"/>
        </w:rPr>
      </w:pPr>
      <w:r>
        <w:rPr>
          <w:rFonts w:hint="eastAsia" w:ascii="仿宋_GB2312" w:eastAsia="仿宋_GB2312"/>
          <w:spacing w:val="0"/>
          <w:sz w:val="28"/>
          <w:szCs w:val="28"/>
          <w:highlight w:val="none"/>
          <w:lang w:val="en-US" w:eastAsia="zh-CN"/>
        </w:rPr>
        <w:t>法定代表人或                  法定代表人或</w:t>
      </w:r>
    </w:p>
    <w:p>
      <w:pPr>
        <w:tabs>
          <w:tab w:val="left" w:pos="640"/>
        </w:tabs>
        <w:ind w:left="759" w:leftChars="314" w:hanging="100" w:hangingChars="36"/>
        <w:rPr>
          <w:rFonts w:hint="eastAsia" w:ascii="仿宋_GB2312" w:eastAsia="仿宋_GB2312"/>
          <w:spacing w:val="0"/>
          <w:sz w:val="28"/>
          <w:szCs w:val="28"/>
          <w:highlight w:val="none"/>
        </w:rPr>
      </w:pPr>
      <w:r>
        <w:rPr>
          <w:rFonts w:hint="eastAsia" w:ascii="仿宋_GB2312" w:eastAsia="仿宋_GB2312"/>
          <w:spacing w:val="0"/>
          <w:sz w:val="28"/>
          <w:szCs w:val="28"/>
          <w:highlight w:val="none"/>
          <w:lang w:val="en-US" w:eastAsia="zh-CN"/>
        </w:rPr>
        <w:t>授权代表</w:t>
      </w:r>
      <w:r>
        <w:rPr>
          <w:rFonts w:hint="eastAsia" w:ascii="仿宋_GB2312" w:eastAsia="仿宋_GB2312"/>
          <w:spacing w:val="0"/>
          <w:sz w:val="28"/>
          <w:szCs w:val="28"/>
          <w:highlight w:val="none"/>
          <w:lang w:eastAsia="zh-CN"/>
        </w:rPr>
        <w:t>（</w:t>
      </w:r>
      <w:r>
        <w:rPr>
          <w:rFonts w:hint="eastAsia" w:ascii="仿宋_GB2312" w:eastAsia="仿宋_GB2312"/>
          <w:sz w:val="28"/>
          <w:szCs w:val="28"/>
          <w:highlight w:val="none"/>
          <w:lang w:val="en-US" w:eastAsia="zh-CN"/>
        </w:rPr>
        <w:t>签章</w:t>
      </w:r>
      <w:r>
        <w:rPr>
          <w:rFonts w:hint="eastAsia" w:ascii="仿宋_GB2312" w:eastAsia="仿宋_GB2312"/>
          <w:spacing w:val="0"/>
          <w:sz w:val="28"/>
          <w:szCs w:val="28"/>
          <w:highlight w:val="none"/>
          <w:lang w:eastAsia="zh-CN"/>
        </w:rPr>
        <w:t>）</w:t>
      </w:r>
      <w:r>
        <w:rPr>
          <w:rFonts w:hint="eastAsia" w:ascii="仿宋_GB2312" w:eastAsia="仿宋_GB2312"/>
          <w:spacing w:val="0"/>
          <w:sz w:val="28"/>
          <w:szCs w:val="28"/>
          <w:highlight w:val="none"/>
        </w:rPr>
        <w:t>：</w:t>
      </w:r>
      <w:r>
        <w:rPr>
          <w:rFonts w:hint="eastAsia" w:ascii="仿宋_GB2312" w:eastAsia="仿宋_GB2312"/>
          <w:spacing w:val="0"/>
          <w:sz w:val="28"/>
          <w:szCs w:val="28"/>
          <w:highlight w:val="none"/>
          <w:lang w:val="en-US" w:eastAsia="zh-CN"/>
        </w:rPr>
        <w:t xml:space="preserve">             授权代表</w:t>
      </w:r>
      <w:r>
        <w:rPr>
          <w:rFonts w:hint="eastAsia" w:ascii="仿宋_GB2312" w:eastAsia="仿宋_GB2312"/>
          <w:spacing w:val="0"/>
          <w:sz w:val="28"/>
          <w:szCs w:val="28"/>
          <w:highlight w:val="none"/>
          <w:lang w:eastAsia="zh-CN"/>
        </w:rPr>
        <w:t>（</w:t>
      </w:r>
      <w:r>
        <w:rPr>
          <w:rFonts w:hint="eastAsia" w:ascii="仿宋_GB2312" w:eastAsia="仿宋_GB2312"/>
          <w:sz w:val="28"/>
          <w:szCs w:val="28"/>
          <w:highlight w:val="none"/>
          <w:lang w:val="en-US" w:eastAsia="zh-CN"/>
        </w:rPr>
        <w:t>签章</w:t>
      </w:r>
      <w:r>
        <w:rPr>
          <w:rFonts w:hint="eastAsia" w:ascii="仿宋_GB2312" w:eastAsia="仿宋_GB2312"/>
          <w:spacing w:val="0"/>
          <w:sz w:val="28"/>
          <w:szCs w:val="28"/>
          <w:highlight w:val="none"/>
          <w:lang w:eastAsia="zh-CN"/>
        </w:rPr>
        <w:t>）</w:t>
      </w:r>
      <w:r>
        <w:rPr>
          <w:rFonts w:hint="eastAsia" w:ascii="仿宋_GB2312" w:eastAsia="仿宋_GB2312"/>
          <w:spacing w:val="0"/>
          <w:sz w:val="28"/>
          <w:szCs w:val="28"/>
          <w:highlight w:val="none"/>
        </w:rPr>
        <w:t>：</w:t>
      </w:r>
    </w:p>
    <w:p>
      <w:pPr>
        <w:ind w:left="939" w:leftChars="447" w:right="-57" w:firstLine="176" w:firstLineChars="63"/>
        <w:rPr>
          <w:rFonts w:ascii="宋体" w:hAnsi="宋体"/>
          <w:color w:val="000000" w:themeColor="text1"/>
          <w:highlight w:val="none"/>
          <w14:textFill>
            <w14:solidFill>
              <w14:schemeClr w14:val="tx1"/>
            </w14:solidFill>
          </w14:textFill>
        </w:rPr>
      </w:pPr>
      <w:r>
        <w:rPr>
          <w:rFonts w:hint="eastAsia" w:ascii="仿宋_GB2312" w:eastAsia="仿宋_GB2312"/>
          <w:sz w:val="28"/>
          <w:szCs w:val="28"/>
          <w:highlight w:val="none"/>
        </w:rPr>
        <w:t>年   月   日                  年   月   日</w:t>
      </w:r>
    </w:p>
    <w:p>
      <w:pPr>
        <w:pStyle w:val="2"/>
        <w:pageBreakBefore/>
        <w:ind w:right="-57" w:firstLine="0"/>
        <w:jc w:val="center"/>
        <w:rPr>
          <w:rStyle w:val="53"/>
          <w:rFonts w:ascii="宋体" w:hAnsi="宋体" w:eastAsia="宋体"/>
          <w:b w:val="0"/>
          <w:color w:val="000000" w:themeColor="text1"/>
          <w:highlight w:val="none"/>
          <w14:textFill>
            <w14:solidFill>
              <w14:schemeClr w14:val="tx1"/>
            </w14:solidFill>
          </w14:textFill>
        </w:rPr>
      </w:pPr>
      <w:bookmarkStart w:id="1162" w:name="_Toc13167"/>
      <w:bookmarkStart w:id="1163" w:name="_Toc25306"/>
      <w:bookmarkStart w:id="1164" w:name="_Toc27263"/>
      <w:bookmarkStart w:id="1165" w:name="_Toc30920"/>
      <w:bookmarkStart w:id="1166" w:name="_Toc32011"/>
      <w:bookmarkStart w:id="1167" w:name="_Toc17261"/>
      <w:bookmarkStart w:id="1168" w:name="_Toc4374"/>
      <w:bookmarkStart w:id="1169" w:name="_Toc28285"/>
      <w:bookmarkStart w:id="1170" w:name="_Toc26465"/>
      <w:bookmarkStart w:id="1171" w:name="_Toc31873"/>
      <w:bookmarkStart w:id="1172" w:name="_Toc17396"/>
      <w:bookmarkStart w:id="1173" w:name="_Toc6151"/>
      <w:bookmarkStart w:id="1174" w:name="_Toc11320"/>
      <w:bookmarkStart w:id="1175" w:name="_Toc28677"/>
      <w:bookmarkStart w:id="1176" w:name="_Toc29546"/>
      <w:bookmarkStart w:id="1177" w:name="_Toc21689"/>
      <w:bookmarkStart w:id="1178" w:name="_Toc31574"/>
      <w:bookmarkStart w:id="1179" w:name="_Toc14790"/>
      <w:r>
        <w:rPr>
          <w:rStyle w:val="53"/>
          <w:rFonts w:hint="eastAsia" w:ascii="宋体" w:hAnsi="宋体" w:eastAsia="宋体"/>
          <w:b w:val="0"/>
          <w:color w:val="000000" w:themeColor="text1"/>
          <w:highlight w:val="none"/>
          <w14:textFill>
            <w14:solidFill>
              <w14:schemeClr w14:val="tx1"/>
            </w14:solidFill>
          </w14:textFill>
        </w:rPr>
        <w:t>第四章比选申请文件格式</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pPr>
        <w:pStyle w:val="2"/>
        <w:spacing w:after="100"/>
        <w:ind w:right="-57" w:firstLine="0"/>
        <w:jc w:val="center"/>
        <w:rPr>
          <w:color w:val="000000" w:themeColor="text1"/>
          <w:sz w:val="24"/>
          <w:szCs w:val="24"/>
          <w:highlight w:val="none"/>
          <w14:textFill>
            <w14:solidFill>
              <w14:schemeClr w14:val="tx1"/>
            </w14:solidFill>
          </w14:textFill>
        </w:rPr>
      </w:pPr>
      <w:bookmarkStart w:id="1180" w:name="_Toc114134662"/>
      <w:bookmarkStart w:id="1181" w:name="_Toc26189"/>
      <w:bookmarkStart w:id="1182" w:name="_Toc22678"/>
      <w:bookmarkStart w:id="1183" w:name="_Toc31624"/>
      <w:bookmarkStart w:id="1184" w:name="_Toc25325"/>
      <w:bookmarkStart w:id="1185" w:name="_Toc492478802"/>
      <w:bookmarkStart w:id="1186" w:name="_Toc21274"/>
      <w:bookmarkStart w:id="1187" w:name="_Toc31535"/>
      <w:bookmarkStart w:id="1188" w:name="_Toc414290520"/>
      <w:bookmarkStart w:id="1189" w:name="_Toc12983549"/>
      <w:bookmarkStart w:id="1190" w:name="_Toc3396"/>
      <w:bookmarkStart w:id="1191" w:name="_Toc30705"/>
      <w:bookmarkStart w:id="1192" w:name="_Toc22709"/>
      <w:bookmarkStart w:id="1193" w:name="_Toc24453"/>
      <w:bookmarkStart w:id="1194" w:name="_Toc23261"/>
      <w:bookmarkStart w:id="1195" w:name="_Toc4027"/>
      <w:bookmarkStart w:id="1196" w:name="_Toc24824"/>
      <w:bookmarkStart w:id="1197" w:name="_Toc16671"/>
      <w:bookmarkStart w:id="1198" w:name="_Toc12984805"/>
      <w:bookmarkStart w:id="1199" w:name="_Toc361"/>
      <w:bookmarkStart w:id="1200" w:name="_Toc4873"/>
      <w:bookmarkStart w:id="1201" w:name="_Toc19412"/>
      <w:bookmarkStart w:id="1202" w:name="_Toc6941"/>
      <w:bookmarkStart w:id="1203" w:name="_Toc32185"/>
      <w:r>
        <w:rPr>
          <w:color w:val="000000" w:themeColor="text1"/>
          <w:sz w:val="24"/>
          <w:szCs w:val="24"/>
          <w:highlight w:val="none"/>
          <w14:textFill>
            <w14:solidFill>
              <w14:schemeClr w14:val="tx1"/>
            </w14:solidFill>
          </w14:textFill>
        </w:rPr>
        <w:t>A  资格审查</w:t>
      </w:r>
      <w:r>
        <w:rPr>
          <w:rFonts w:hint="eastAsia"/>
          <w:color w:val="000000" w:themeColor="text1"/>
          <w:sz w:val="24"/>
          <w:szCs w:val="24"/>
          <w:highlight w:val="none"/>
          <w14:textFill>
            <w14:solidFill>
              <w14:schemeClr w14:val="tx1"/>
            </w14:solidFill>
          </w14:textFill>
        </w:rPr>
        <w:t>文件</w:t>
      </w:r>
      <w:bookmarkEnd w:id="1180"/>
      <w:bookmarkEnd w:id="1181"/>
      <w:bookmarkEnd w:id="1182"/>
    </w:p>
    <w:p>
      <w:pPr>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ascii="宋体" w:hAnsi="宋体"/>
          <w:b/>
          <w:color w:val="000000" w:themeColor="text1"/>
          <w:highlight w:val="none"/>
          <w14:textFill>
            <w14:solidFill>
              <w14:schemeClr w14:val="tx1"/>
            </w14:solidFill>
          </w14:textFill>
        </w:rPr>
        <w:t>资格审查文件格式</w:t>
      </w:r>
    </w:p>
    <w:p>
      <w:pPr>
        <w:spacing w:before="0" w:after="0" w:afterAutospacing="0"/>
        <w:ind w:left="0" w:right="0"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（1）法定代表人授权书（格式见A1）及法定代表人资格证明书（如无授权时，只需提供法定代表人资格证明书，格式见A2），法定代表人及被授权人身份证复印件；</w:t>
      </w:r>
    </w:p>
    <w:p>
      <w:pPr>
        <w:spacing w:before="0" w:after="0" w:afterAutospacing="0"/>
        <w:ind w:left="0" w:right="0" w:firstLine="420" w:firstLineChars="200"/>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（2）比选申请人有效的营业执照</w:t>
      </w:r>
      <w:r>
        <w:rPr>
          <w:rFonts w:hint="eastAsia" w:hAnsi="宋体"/>
          <w:color w:val="000000" w:themeColor="text1"/>
          <w:highlight w:val="none"/>
          <w:lang w:eastAsia="zh-CN"/>
          <w14:textFill>
            <w14:solidFill>
              <w14:schemeClr w14:val="tx1"/>
            </w14:solidFill>
          </w14:textFill>
        </w:rPr>
        <w:t>；</w:t>
      </w:r>
    </w:p>
    <w:p>
      <w:pPr>
        <w:spacing w:before="0" w:after="0" w:afterAutospacing="0"/>
        <w:ind w:left="0" w:right="0"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（3）承诺书（格式见A3）；</w:t>
      </w:r>
    </w:p>
    <w:p>
      <w:pPr>
        <w:spacing w:before="0" w:after="0" w:afterAutospacing="0"/>
        <w:ind w:left="0" w:right="0"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（4）类似项目业绩表（A4）；</w:t>
      </w:r>
    </w:p>
    <w:p>
      <w:pPr>
        <w:spacing w:before="0" w:after="0" w:afterAutospacing="0"/>
        <w:ind w:left="0" w:right="0"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（5）比选申请人认为应提交的其他比选申请资料（如有）。</w:t>
      </w:r>
    </w:p>
    <w:p>
      <w:pPr>
        <w:spacing w:before="0" w:after="0" w:afterAutospacing="0"/>
        <w:ind w:left="0" w:right="0"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注：</w:t>
      </w:r>
      <w:r>
        <w:rPr>
          <w:rFonts w:hAnsi="宋体"/>
          <w:color w:val="000000" w:themeColor="text1"/>
          <w:highlight w:val="none"/>
          <w14:textFill>
            <w14:solidFill>
              <w14:schemeClr w14:val="tx1"/>
            </w14:solidFill>
          </w14:textFill>
        </w:rPr>
        <w:t>以上提供的复印件必须加盖比选申请人公章。</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pPr>
        <w:spacing w:before="0" w:after="0" w:afterAutospacing="0"/>
        <w:ind w:left="0" w:right="0" w:firstLine="420" w:firstLineChars="200"/>
        <w:rPr>
          <w:rFonts w:hAnsi="宋体"/>
          <w:color w:val="000000" w:themeColor="text1"/>
          <w:highlight w:val="none"/>
          <w14:textFill>
            <w14:solidFill>
              <w14:schemeClr w14:val="tx1"/>
            </w14:solidFill>
          </w14:textFill>
        </w:rPr>
        <w:sectPr>
          <w:footerReference r:id="rId15" w:type="default"/>
          <w:pgSz w:w="11905" w:h="16838"/>
          <w:pgMar w:top="1417" w:right="1417" w:bottom="1417" w:left="1417" w:header="454" w:footer="567" w:gutter="0"/>
          <w:cols w:space="720" w:num="1"/>
          <w:docGrid w:linePitch="312" w:charSpace="0"/>
        </w:sectPr>
      </w:pPr>
    </w:p>
    <w:p>
      <w:pPr>
        <w:numPr>
          <w:ilvl w:val="1"/>
          <w:numId w:val="8"/>
        </w:numPr>
        <w:snapToGrid w:val="0"/>
        <w:spacing w:before="0" w:line="240" w:lineRule="auto"/>
        <w:ind w:right="0" w:firstLine="0"/>
        <w:jc w:val="left"/>
        <w:outlineLvl w:val="0"/>
        <w:rPr>
          <w:rFonts w:ascii="宋体" w:hAnsi="宋体"/>
          <w:b/>
          <w:color w:val="000000" w:themeColor="text1"/>
          <w:highlight w:val="none"/>
          <w14:textFill>
            <w14:solidFill>
              <w14:schemeClr w14:val="tx1"/>
            </w14:solidFill>
          </w14:textFill>
        </w:rPr>
      </w:pPr>
      <w:bookmarkStart w:id="1204" w:name="_Toc20283"/>
      <w:bookmarkStart w:id="1205" w:name="_Toc956"/>
      <w:bookmarkStart w:id="1206" w:name="_Toc13389"/>
      <w:bookmarkStart w:id="1207" w:name="_Toc18243"/>
      <w:bookmarkStart w:id="1208" w:name="_Toc24436"/>
      <w:bookmarkStart w:id="1209" w:name="_Toc22533"/>
      <w:bookmarkStart w:id="1210" w:name="_Toc9658"/>
      <w:bookmarkStart w:id="1211" w:name="_Toc15696"/>
      <w:bookmarkStart w:id="1212" w:name="_Toc414290522"/>
      <w:bookmarkStart w:id="1213" w:name="_Toc7057"/>
      <w:bookmarkStart w:id="1214" w:name="_Toc25750675"/>
      <w:bookmarkStart w:id="1215" w:name="_Toc10433"/>
      <w:bookmarkStart w:id="1216" w:name="_Toc20029"/>
      <w:bookmarkStart w:id="1217" w:name="_Toc32455"/>
      <w:bookmarkStart w:id="1218" w:name="_Toc10238"/>
      <w:bookmarkStart w:id="1219" w:name="_Toc20671"/>
      <w:bookmarkStart w:id="1220" w:name="_Toc16089"/>
      <w:bookmarkStart w:id="1221" w:name="_Toc114134663"/>
      <w:bookmarkStart w:id="1222" w:name="_Toc29312"/>
      <w:bookmarkStart w:id="1223" w:name="_Toc3499"/>
      <w:bookmarkStart w:id="1224" w:name="_Toc10789"/>
      <w:bookmarkStart w:id="1225" w:name="_Toc492478804"/>
      <w:bookmarkStart w:id="1226" w:name="_Toc8868"/>
      <w:bookmarkStart w:id="1227" w:name="_Toc12984807"/>
      <w:bookmarkStart w:id="1228" w:name="_Toc4125"/>
      <w:bookmarkStart w:id="1229" w:name="_Toc375564351"/>
      <w:r>
        <w:rPr>
          <w:rFonts w:ascii="宋体" w:hAnsi="宋体"/>
          <w:b/>
          <w:color w:val="000000" w:themeColor="text1"/>
          <w:highlight w:val="none"/>
          <w14:textFill>
            <w14:solidFill>
              <w14:schemeClr w14:val="tx1"/>
            </w14:solidFill>
          </w14:textFill>
        </w:rPr>
        <w:t>法定代表人授权书格式</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pPr>
        <w:spacing w:before="240" w:after="240"/>
        <w:ind w:right="0" w:firstLine="0"/>
        <w:jc w:val="center"/>
        <w:rPr>
          <w:rFonts w:ascii="宋体" w:hAnsi="宋体"/>
          <w:b/>
          <w:color w:val="000000" w:themeColor="text1"/>
          <w:sz w:val="32"/>
          <w:szCs w:val="32"/>
          <w:highlight w:val="none"/>
          <w14:textFill>
            <w14:solidFill>
              <w14:schemeClr w14:val="tx1"/>
            </w14:solidFill>
          </w14:textFill>
        </w:rPr>
      </w:pPr>
    </w:p>
    <w:p>
      <w:pPr>
        <w:spacing w:before="240" w:after="240"/>
        <w:ind w:right="0" w:firstLine="0"/>
        <w:jc w:val="center"/>
        <w:rPr>
          <w:rFonts w:ascii="宋体" w:hAnsi="宋体"/>
          <w:b/>
          <w:color w:val="000000" w:themeColor="text1"/>
          <w:sz w:val="32"/>
          <w:szCs w:val="32"/>
          <w:highlight w:val="none"/>
          <w14:textFill>
            <w14:solidFill>
              <w14:schemeClr w14:val="tx1"/>
            </w14:solidFill>
          </w14:textFill>
        </w:rPr>
      </w:pPr>
      <w:r>
        <w:rPr>
          <w:rFonts w:ascii="宋体" w:hAnsi="宋体"/>
          <w:b/>
          <w:color w:val="000000" w:themeColor="text1"/>
          <w:sz w:val="32"/>
          <w:szCs w:val="32"/>
          <w:highlight w:val="none"/>
          <w14:textFill>
            <w14:solidFill>
              <w14:schemeClr w14:val="tx1"/>
            </w14:solidFill>
          </w14:textFill>
        </w:rPr>
        <w:t>法定代表人授权书</w:t>
      </w:r>
    </w:p>
    <w:p>
      <w:pPr>
        <w:tabs>
          <w:tab w:val="left" w:pos="8364"/>
        </w:tabs>
        <w:snapToGrid w:val="0"/>
        <w:ind w:left="500" w:right="0" w:hanging="499"/>
        <w:rPr>
          <w:rFonts w:hint="eastAsia" w:ascii="宋体" w:hAnsi="宋体" w:eastAsia="宋体"/>
          <w:color w:val="000000" w:themeColor="text1"/>
          <w:highlight w:val="none"/>
          <w:lang w:eastAsia="zh-CN"/>
          <w14:textFill>
            <w14:solidFill>
              <w14:schemeClr w14:val="tx1"/>
            </w14:solidFill>
          </w14:textFill>
        </w:rPr>
      </w:pPr>
      <w:r>
        <w:rPr>
          <w:rFonts w:ascii="宋体" w:hAnsi="宋体"/>
          <w:color w:val="000000" w:themeColor="text1"/>
          <w:highlight w:val="none"/>
          <w14:textFill>
            <w14:solidFill>
              <w14:schemeClr w14:val="tx1"/>
            </w14:solidFill>
          </w14:textFill>
        </w:rPr>
        <w:t>致：</w:t>
      </w:r>
      <w:r>
        <w:rPr>
          <w:rFonts w:hint="eastAsia" w:ascii="宋体" w:hAnsi="宋体"/>
          <w:color w:val="000000" w:themeColor="text1"/>
          <w:highlight w:val="none"/>
          <w:lang w:eastAsia="zh-CN"/>
          <w14:textFill>
            <w14:solidFill>
              <w14:schemeClr w14:val="tx1"/>
            </w14:solidFill>
          </w14:textFill>
        </w:rPr>
        <w:t>南宁兴邕城市更新有限责任公司</w:t>
      </w:r>
    </w:p>
    <w:p>
      <w:pPr>
        <w:tabs>
          <w:tab w:val="left" w:pos="8364"/>
        </w:tabs>
        <w:snapToGrid w:val="0"/>
        <w:ind w:left="497" w:leftChars="200" w:right="0" w:hanging="77" w:hangingChars="37"/>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本授权书声明：注册于</w:t>
      </w:r>
      <w:r>
        <w:rPr>
          <w:rFonts w:ascii="宋体" w:hAnsi="宋体"/>
          <w:color w:val="000000" w:themeColor="text1"/>
          <w:highlight w:val="none"/>
          <w:u w:val="single"/>
          <w14:textFill>
            <w14:solidFill>
              <w14:schemeClr w14:val="tx1"/>
            </w14:solidFill>
          </w14:textFill>
        </w:rPr>
        <w:t>(国家或地区)</w:t>
      </w:r>
      <w:r>
        <w:rPr>
          <w:rFonts w:ascii="宋体" w:hAnsi="宋体"/>
          <w:color w:val="000000" w:themeColor="text1"/>
          <w:highlight w:val="none"/>
          <w14:textFill>
            <w14:solidFill>
              <w14:schemeClr w14:val="tx1"/>
            </w14:solidFill>
          </w14:textFill>
        </w:rPr>
        <w:t>的</w:t>
      </w:r>
      <w:r>
        <w:rPr>
          <w:rFonts w:ascii="宋体" w:hAnsi="宋体"/>
          <w:color w:val="000000" w:themeColor="text1"/>
          <w:highlight w:val="none"/>
          <w:u w:val="single"/>
          <w14:textFill>
            <w14:solidFill>
              <w14:schemeClr w14:val="tx1"/>
            </w14:solidFill>
          </w14:textFill>
        </w:rPr>
        <w:t>（比选申请人名称）</w:t>
      </w:r>
      <w:r>
        <w:rPr>
          <w:rFonts w:ascii="宋体" w:hAnsi="宋体"/>
          <w:color w:val="000000" w:themeColor="text1"/>
          <w:highlight w:val="none"/>
          <w14:textFill>
            <w14:solidFill>
              <w14:schemeClr w14:val="tx1"/>
            </w14:solidFill>
          </w14:textFill>
        </w:rPr>
        <w:t>在下面签字</w:t>
      </w:r>
      <w:r>
        <w:rPr>
          <w:rFonts w:hint="eastAsia" w:ascii="宋体" w:hAnsi="宋体"/>
          <w:color w:val="000000" w:themeColor="text1"/>
          <w:highlight w:val="none"/>
          <w14:textFill>
            <w14:solidFill>
              <w14:schemeClr w14:val="tx1"/>
            </w14:solidFill>
          </w14:textFill>
        </w:rPr>
        <w:t>或盖章</w:t>
      </w:r>
      <w:r>
        <w:rPr>
          <w:rFonts w:ascii="宋体" w:hAnsi="宋体"/>
          <w:color w:val="000000" w:themeColor="text1"/>
          <w:highlight w:val="none"/>
          <w14:textFill>
            <w14:solidFill>
              <w14:schemeClr w14:val="tx1"/>
            </w14:solidFill>
          </w14:textFill>
        </w:rPr>
        <w:t>的</w:t>
      </w:r>
      <w:r>
        <w:rPr>
          <w:rFonts w:ascii="宋体" w:hAnsi="宋体"/>
          <w:color w:val="000000" w:themeColor="text1"/>
          <w:highlight w:val="none"/>
          <w:u w:val="single"/>
          <w14:textFill>
            <w14:solidFill>
              <w14:schemeClr w14:val="tx1"/>
            </w14:solidFill>
          </w14:textFill>
        </w:rPr>
        <w:t>（法定代表人姓名、职务）</w:t>
      </w:r>
      <w:r>
        <w:rPr>
          <w:rFonts w:ascii="宋体" w:hAnsi="宋体"/>
          <w:color w:val="000000" w:themeColor="text1"/>
          <w:highlight w:val="none"/>
          <w14:textFill>
            <w14:solidFill>
              <w14:schemeClr w14:val="tx1"/>
            </w14:solidFill>
          </w14:textFill>
        </w:rPr>
        <w:t>代表本公司授权在下面签字</w:t>
      </w:r>
      <w:r>
        <w:rPr>
          <w:rFonts w:hint="eastAsia" w:ascii="宋体" w:hAnsi="宋体"/>
          <w:color w:val="000000" w:themeColor="text1"/>
          <w:highlight w:val="none"/>
          <w14:textFill>
            <w14:solidFill>
              <w14:schemeClr w14:val="tx1"/>
            </w14:solidFill>
          </w14:textFill>
        </w:rPr>
        <w:t>或盖章</w:t>
      </w:r>
      <w:r>
        <w:rPr>
          <w:rFonts w:ascii="宋体" w:hAnsi="宋体"/>
          <w:color w:val="000000" w:themeColor="text1"/>
          <w:highlight w:val="none"/>
          <w14:textFill>
            <w14:solidFill>
              <w14:schemeClr w14:val="tx1"/>
            </w14:solidFill>
          </w14:textFill>
        </w:rPr>
        <w:t>的</w:t>
      </w:r>
      <w:r>
        <w:rPr>
          <w:rFonts w:ascii="宋体" w:hAnsi="宋体"/>
          <w:color w:val="000000" w:themeColor="text1"/>
          <w:highlight w:val="none"/>
          <w:u w:val="single"/>
          <w14:textFill>
            <w14:solidFill>
              <w14:schemeClr w14:val="tx1"/>
            </w14:solidFill>
          </w14:textFill>
        </w:rPr>
        <w:t>（被授权人的姓名、职务）</w:t>
      </w:r>
      <w:r>
        <w:rPr>
          <w:rFonts w:ascii="宋体" w:hAnsi="宋体"/>
          <w:color w:val="000000" w:themeColor="text1"/>
          <w:highlight w:val="none"/>
          <w14:textFill>
            <w14:solidFill>
              <w14:schemeClr w14:val="tx1"/>
            </w14:solidFill>
          </w14:textFill>
        </w:rPr>
        <w:t>为本公司的合法代理人，就</w:t>
      </w:r>
      <w:r>
        <w:rPr>
          <w:rFonts w:ascii="宋体" w:hAnsi="宋体"/>
          <w:color w:val="000000" w:themeColor="text1"/>
          <w:highlight w:val="none"/>
          <w:u w:val="single"/>
          <w14:textFill>
            <w14:solidFill>
              <w14:schemeClr w14:val="tx1"/>
            </w14:solidFill>
          </w14:textFill>
        </w:rPr>
        <w:t>XXXX</w:t>
      </w:r>
      <w:r>
        <w:rPr>
          <w:rFonts w:ascii="宋体" w:hAnsi="宋体"/>
          <w:color w:val="000000" w:themeColor="text1"/>
          <w:highlight w:val="none"/>
          <w14:textFill>
            <w14:solidFill>
              <w14:schemeClr w14:val="tx1"/>
            </w14:solidFill>
          </w14:textFill>
        </w:rPr>
        <w:t>项目的比选申请和合同执行，作为比选申请人代表以本公司的名义处理一切与之有关的事宜。</w:t>
      </w:r>
    </w:p>
    <w:p>
      <w:pPr>
        <w:tabs>
          <w:tab w:val="left" w:pos="8364"/>
        </w:tabs>
        <w:snapToGrid w:val="0"/>
        <w:ind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本授权书于年月日签字生效，特此声明。</w:t>
      </w:r>
    </w:p>
    <w:p>
      <w:pPr>
        <w:tabs>
          <w:tab w:val="left" w:pos="8364"/>
        </w:tabs>
        <w:snapToGrid w:val="0"/>
        <w:ind w:right="0" w:firstLine="200"/>
        <w:rPr>
          <w:rFonts w:ascii="宋体" w:hAnsi="宋体"/>
          <w:color w:val="000000" w:themeColor="text1"/>
          <w:highlight w:val="none"/>
          <w14:textFill>
            <w14:solidFill>
              <w14:schemeClr w14:val="tx1"/>
            </w14:solidFill>
          </w14:textFill>
        </w:rPr>
      </w:pPr>
    </w:p>
    <w:p>
      <w:pPr>
        <w:tabs>
          <w:tab w:val="left" w:pos="8364"/>
        </w:tabs>
        <w:snapToGrid w:val="0"/>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法定代表人签字或盖章：</w:t>
      </w:r>
    </w:p>
    <w:p>
      <w:pPr>
        <w:tabs>
          <w:tab w:val="left" w:pos="8364"/>
        </w:tabs>
        <w:snapToGrid w:val="0"/>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职务：</w:t>
      </w:r>
    </w:p>
    <w:p>
      <w:pPr>
        <w:tabs>
          <w:tab w:val="left" w:pos="8364"/>
        </w:tabs>
        <w:snapToGrid w:val="0"/>
        <w:ind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单位名称：</w:t>
      </w:r>
      <w:r>
        <w:rPr>
          <w:rFonts w:ascii="宋体" w:hAnsi="宋体"/>
          <w:color w:val="000000" w:themeColor="text1"/>
          <w:highlight w:val="none"/>
          <w:u w:val="single"/>
          <w14:textFill>
            <w14:solidFill>
              <w14:schemeClr w14:val="tx1"/>
            </w14:solidFill>
          </w14:textFill>
        </w:rPr>
        <w:t>（公章）</w:t>
      </w:r>
    </w:p>
    <w:p>
      <w:pPr>
        <w:tabs>
          <w:tab w:val="left" w:pos="8364"/>
        </w:tabs>
        <w:snapToGrid w:val="0"/>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地址：</w:t>
      </w:r>
    </w:p>
    <w:p>
      <w:pPr>
        <w:tabs>
          <w:tab w:val="left" w:pos="8364"/>
        </w:tabs>
        <w:snapToGrid w:val="0"/>
        <w:ind w:right="0" w:firstLine="200"/>
        <w:rPr>
          <w:rFonts w:ascii="宋体" w:hAnsi="宋体"/>
          <w:color w:val="000000" w:themeColor="text1"/>
          <w:highlight w:val="none"/>
          <w14:textFill>
            <w14:solidFill>
              <w14:schemeClr w14:val="tx1"/>
            </w14:solidFill>
          </w14:textFill>
        </w:rPr>
      </w:pPr>
    </w:p>
    <w:p>
      <w:pPr>
        <w:tabs>
          <w:tab w:val="left" w:pos="8364"/>
        </w:tabs>
        <w:snapToGrid w:val="0"/>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比选申请人代表（被授权人）签字或盖章：</w:t>
      </w:r>
    </w:p>
    <w:p>
      <w:pPr>
        <w:tabs>
          <w:tab w:val="left" w:pos="8364"/>
        </w:tabs>
        <w:snapToGrid w:val="0"/>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职务：</w:t>
      </w:r>
    </w:p>
    <w:p>
      <w:pPr>
        <w:tabs>
          <w:tab w:val="left" w:pos="8364"/>
        </w:tabs>
        <w:snapToGrid w:val="0"/>
        <w:ind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单位名称：</w:t>
      </w:r>
      <w:r>
        <w:rPr>
          <w:rFonts w:ascii="宋体" w:hAnsi="宋体"/>
          <w:color w:val="000000" w:themeColor="text1"/>
          <w:highlight w:val="none"/>
          <w:u w:val="single"/>
          <w14:textFill>
            <w14:solidFill>
              <w14:schemeClr w14:val="tx1"/>
            </w14:solidFill>
          </w14:textFill>
        </w:rPr>
        <w:t>（公章）</w:t>
      </w:r>
    </w:p>
    <w:p>
      <w:pPr>
        <w:tabs>
          <w:tab w:val="left" w:pos="8364"/>
        </w:tabs>
        <w:snapToGrid w:val="0"/>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地址：</w:t>
      </w:r>
    </w:p>
    <w:p>
      <w:pPr>
        <w:spacing w:before="0"/>
        <w:ind w:right="0" w:firstLine="135"/>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附：授权代理人身份证复印件</w:t>
      </w:r>
    </w:p>
    <w:p>
      <w:pPr>
        <w:tabs>
          <w:tab w:val="left" w:pos="8364"/>
        </w:tabs>
        <w:snapToGrid w:val="0"/>
        <w:ind w:right="0" w:firstLine="200"/>
        <w:rPr>
          <w:rFonts w:ascii="宋体" w:hAnsi="宋体"/>
          <w:color w:val="000000" w:themeColor="text1"/>
          <w:highlight w:val="none"/>
          <w:u w:val="single"/>
          <w14:textFill>
            <w14:solidFill>
              <w14:schemeClr w14:val="tx1"/>
            </w14:solidFill>
          </w14:textFill>
        </w:rPr>
      </w:pPr>
    </w:p>
    <w:p>
      <w:pPr>
        <w:numPr>
          <w:ilvl w:val="1"/>
          <w:numId w:val="8"/>
        </w:numPr>
        <w:snapToGrid w:val="0"/>
        <w:spacing w:before="0" w:line="240" w:lineRule="auto"/>
        <w:ind w:right="0" w:firstLine="0"/>
        <w:jc w:val="left"/>
        <w:outlineLvl w:val="0"/>
        <w:rPr>
          <w:rFonts w:ascii="宋体" w:hAnsi="宋体"/>
          <w:b/>
          <w:color w:val="000000" w:themeColor="text1"/>
          <w:highlight w:val="none"/>
          <w14:textFill>
            <w14:solidFill>
              <w14:schemeClr w14:val="tx1"/>
            </w14:solidFill>
          </w14:textFill>
        </w:rPr>
      </w:pPr>
      <w:bookmarkStart w:id="1230" w:name="_Toc13606"/>
      <w:bookmarkStart w:id="1231" w:name="_Toc17964"/>
      <w:bookmarkStart w:id="1232" w:name="_Toc414290523"/>
      <w:bookmarkStart w:id="1233" w:name="_Toc8405"/>
      <w:bookmarkStart w:id="1234" w:name="_Toc27722"/>
      <w:bookmarkStart w:id="1235" w:name="_Toc114134664"/>
      <w:bookmarkStart w:id="1236" w:name="_Toc13634"/>
      <w:bookmarkStart w:id="1237" w:name="_Toc375564352"/>
      <w:bookmarkStart w:id="1238" w:name="_Toc20436"/>
      <w:bookmarkStart w:id="1239" w:name="_Toc492478805"/>
      <w:bookmarkStart w:id="1240" w:name="_Toc31808"/>
      <w:bookmarkStart w:id="1241" w:name="_Toc26713"/>
      <w:bookmarkStart w:id="1242" w:name="_Toc12984808"/>
      <w:bookmarkStart w:id="1243" w:name="_Toc13798"/>
      <w:bookmarkStart w:id="1244" w:name="_Toc9757"/>
      <w:bookmarkStart w:id="1245" w:name="_Toc15572"/>
      <w:bookmarkStart w:id="1246" w:name="_Toc24322"/>
      <w:bookmarkStart w:id="1247" w:name="_Toc7753"/>
      <w:bookmarkStart w:id="1248" w:name="_Toc9583"/>
      <w:bookmarkStart w:id="1249" w:name="_Toc15980"/>
      <w:bookmarkStart w:id="1250" w:name="_Toc3938"/>
      <w:bookmarkStart w:id="1251" w:name="_Toc25750676"/>
      <w:bookmarkStart w:id="1252" w:name="_Toc27657"/>
      <w:bookmarkStart w:id="1253" w:name="_Toc8654"/>
      <w:bookmarkStart w:id="1254" w:name="_Toc19744"/>
      <w:bookmarkStart w:id="1255" w:name="_Toc7273"/>
      <w:r>
        <w:rPr>
          <w:rFonts w:ascii="宋体" w:hAnsi="宋体"/>
          <w:b/>
          <w:color w:val="000000" w:themeColor="text1"/>
          <w:highlight w:val="none"/>
          <w14:textFill>
            <w14:solidFill>
              <w14:schemeClr w14:val="tx1"/>
            </w14:solidFill>
          </w14:textFill>
        </w:rPr>
        <w:t>法定代表人资格证明书格式</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pPr>
        <w:ind w:right="0" w:firstLine="200"/>
        <w:rPr>
          <w:rFonts w:ascii="宋体" w:hAnsi="宋体"/>
          <w:color w:val="000000" w:themeColor="text1"/>
          <w:highlight w:val="none"/>
          <w14:textFill>
            <w14:solidFill>
              <w14:schemeClr w14:val="tx1"/>
            </w14:solidFill>
          </w14:textFill>
        </w:rPr>
      </w:pPr>
    </w:p>
    <w:p>
      <w:pPr>
        <w:spacing w:before="240" w:after="240"/>
        <w:ind w:right="0" w:firstLine="0"/>
        <w:jc w:val="center"/>
        <w:rPr>
          <w:rFonts w:ascii="宋体" w:hAnsi="宋体"/>
          <w:b/>
          <w:color w:val="000000" w:themeColor="text1"/>
          <w:sz w:val="32"/>
          <w:szCs w:val="32"/>
          <w:highlight w:val="none"/>
          <w14:textFill>
            <w14:solidFill>
              <w14:schemeClr w14:val="tx1"/>
            </w14:solidFill>
          </w14:textFill>
        </w:rPr>
      </w:pPr>
      <w:r>
        <w:rPr>
          <w:rFonts w:ascii="宋体" w:hAnsi="宋体"/>
          <w:b/>
          <w:color w:val="000000" w:themeColor="text1"/>
          <w:sz w:val="32"/>
          <w:szCs w:val="32"/>
          <w:highlight w:val="none"/>
          <w14:textFill>
            <w14:solidFill>
              <w14:schemeClr w14:val="tx1"/>
            </w14:solidFill>
          </w14:textFill>
        </w:rPr>
        <w:t>法定代表人资格证明书</w:t>
      </w:r>
    </w:p>
    <w:p>
      <w:pPr>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单位名称：</w:t>
      </w:r>
    </w:p>
    <w:p>
      <w:pPr>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地址：</w:t>
      </w:r>
    </w:p>
    <w:p>
      <w:pPr>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姓名：性别：年龄：职务：</w:t>
      </w:r>
    </w:p>
    <w:p>
      <w:pPr>
        <w:ind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系的法定代表人。</w:t>
      </w:r>
    </w:p>
    <w:p>
      <w:pPr>
        <w:ind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特此证明。</w:t>
      </w:r>
    </w:p>
    <w:p>
      <w:pPr>
        <w:ind w:right="0" w:firstLine="200"/>
        <w:rPr>
          <w:rFonts w:ascii="宋体" w:hAnsi="宋体"/>
          <w:color w:val="000000" w:themeColor="text1"/>
          <w:highlight w:val="none"/>
          <w14:textFill>
            <w14:solidFill>
              <w14:schemeClr w14:val="tx1"/>
            </w14:solidFill>
          </w14:textFill>
        </w:rPr>
      </w:pPr>
    </w:p>
    <w:p>
      <w:pPr>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比选申请人：（盖章）</w:t>
      </w:r>
    </w:p>
    <w:p>
      <w:pPr>
        <w:ind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日期：年月日</w:t>
      </w:r>
    </w:p>
    <w:p>
      <w:pPr>
        <w:rPr>
          <w:rFonts w:ascii="宋体" w:hAnsi="宋体"/>
          <w:b/>
          <w:color w:val="000000" w:themeColor="text1"/>
          <w:highlight w:val="none"/>
          <w14:textFill>
            <w14:solidFill>
              <w14:schemeClr w14:val="tx1"/>
            </w14:solidFill>
          </w14:textFill>
        </w:rPr>
      </w:pPr>
      <w:bookmarkStart w:id="1256" w:name="_Toc12984809"/>
      <w:r>
        <w:rPr>
          <w:rFonts w:hint="eastAsia" w:ascii="宋体" w:hAnsi="宋体"/>
          <w:b/>
          <w:color w:val="000000" w:themeColor="text1"/>
          <w:highlight w:val="none"/>
          <w14:textFill>
            <w14:solidFill>
              <w14:schemeClr w14:val="tx1"/>
            </w14:solidFill>
          </w14:textFill>
        </w:rPr>
        <w:t>附</w:t>
      </w:r>
      <w:r>
        <w:rPr>
          <w:rFonts w:ascii="宋体" w:hAnsi="宋体"/>
          <w:b/>
          <w:color w:val="000000" w:themeColor="text1"/>
          <w:highlight w:val="none"/>
          <w14:textFill>
            <w14:solidFill>
              <w14:schemeClr w14:val="tx1"/>
            </w14:solidFill>
          </w14:textFill>
        </w:rPr>
        <w:t xml:space="preserve">: </w:t>
      </w:r>
      <w:r>
        <w:rPr>
          <w:rFonts w:hint="eastAsia" w:ascii="宋体" w:hAnsi="宋体"/>
          <w:b/>
          <w:color w:val="000000" w:themeColor="text1"/>
          <w:highlight w:val="none"/>
          <w14:textFill>
            <w14:solidFill>
              <w14:schemeClr w14:val="tx1"/>
            </w14:solidFill>
          </w14:textFill>
        </w:rPr>
        <w:t>法人身份证复印件</w:t>
      </w:r>
    </w:p>
    <w:p>
      <w:pPr>
        <w:pageBreakBefore/>
        <w:snapToGrid w:val="0"/>
        <w:ind w:right="0" w:firstLine="0"/>
        <w:jc w:val="left"/>
        <w:outlineLvl w:val="0"/>
        <w:rPr>
          <w:rFonts w:ascii="宋体" w:hAnsi="宋体"/>
          <w:b/>
          <w:color w:val="000000" w:themeColor="text1"/>
          <w:highlight w:val="none"/>
          <w14:textFill>
            <w14:solidFill>
              <w14:schemeClr w14:val="tx1"/>
            </w14:solidFill>
          </w14:textFill>
        </w:rPr>
      </w:pPr>
      <w:bookmarkStart w:id="1257" w:name="_Toc3504"/>
      <w:bookmarkStart w:id="1258" w:name="_Toc5002"/>
      <w:bookmarkStart w:id="1259" w:name="_Toc26097"/>
      <w:bookmarkStart w:id="1260" w:name="_Toc29246"/>
      <w:bookmarkStart w:id="1261" w:name="_Toc6033"/>
      <w:bookmarkStart w:id="1262" w:name="_Toc21307"/>
      <w:bookmarkStart w:id="1263" w:name="_Toc7712"/>
      <w:bookmarkStart w:id="1264" w:name="_Toc414290524"/>
      <w:bookmarkStart w:id="1265" w:name="_Toc32062"/>
      <w:bookmarkStart w:id="1266" w:name="_Toc375564353"/>
      <w:bookmarkStart w:id="1267" w:name="_Toc114134665"/>
      <w:bookmarkStart w:id="1268" w:name="_Toc26907"/>
      <w:bookmarkStart w:id="1269" w:name="_Toc11425"/>
      <w:bookmarkStart w:id="1270" w:name="_Toc24848"/>
      <w:bookmarkStart w:id="1271" w:name="_Toc25750677"/>
      <w:bookmarkStart w:id="1272" w:name="_Toc16467"/>
      <w:bookmarkStart w:id="1273" w:name="_Toc1932"/>
      <w:bookmarkStart w:id="1274" w:name="_Toc4894"/>
      <w:bookmarkStart w:id="1275" w:name="_Toc15609"/>
      <w:bookmarkStart w:id="1276" w:name="_Toc31448"/>
      <w:bookmarkStart w:id="1277" w:name="_Toc17745"/>
      <w:bookmarkStart w:id="1278" w:name="_Toc19721"/>
      <w:bookmarkStart w:id="1279" w:name="_Toc3426"/>
      <w:bookmarkStart w:id="1280" w:name="_Toc15394"/>
      <w:bookmarkStart w:id="1281" w:name="_Toc492478806"/>
      <w:r>
        <w:rPr>
          <w:rFonts w:hint="eastAsia" w:ascii="宋体" w:hAnsi="宋体"/>
          <w:b/>
          <w:color w:val="000000" w:themeColor="text1"/>
          <w:highlight w:val="none"/>
          <w14:textFill>
            <w14:solidFill>
              <w14:schemeClr w14:val="tx1"/>
            </w14:solidFill>
          </w14:textFill>
        </w:rPr>
        <w:t xml:space="preserve">A3 </w:t>
      </w:r>
      <w:r>
        <w:rPr>
          <w:rFonts w:ascii="宋体" w:hAnsi="宋体"/>
          <w:b/>
          <w:color w:val="000000" w:themeColor="text1"/>
          <w:highlight w:val="none"/>
          <w14:textFill>
            <w14:solidFill>
              <w14:schemeClr w14:val="tx1"/>
            </w14:solidFill>
          </w14:textFill>
        </w:rPr>
        <w:t>承诺书格式</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pPr>
        <w:spacing w:before="240" w:after="240" w:line="360" w:lineRule="exact"/>
        <w:ind w:right="0" w:firstLine="0"/>
        <w:jc w:val="center"/>
        <w:rPr>
          <w:rFonts w:ascii="宋体" w:hAnsi="宋体"/>
          <w:b/>
          <w:color w:val="000000" w:themeColor="text1"/>
          <w:sz w:val="32"/>
          <w:szCs w:val="32"/>
          <w:highlight w:val="none"/>
          <w14:textFill>
            <w14:solidFill>
              <w14:schemeClr w14:val="tx1"/>
            </w14:solidFill>
          </w14:textFill>
        </w:rPr>
      </w:pPr>
      <w:r>
        <w:rPr>
          <w:rFonts w:ascii="宋体" w:hAnsi="宋体"/>
          <w:b/>
          <w:color w:val="000000" w:themeColor="text1"/>
          <w:sz w:val="32"/>
          <w:szCs w:val="32"/>
          <w:highlight w:val="none"/>
          <w14:textFill>
            <w14:solidFill>
              <w14:schemeClr w14:val="tx1"/>
            </w14:solidFill>
          </w14:textFill>
        </w:rPr>
        <w:t>承诺书</w:t>
      </w:r>
    </w:p>
    <w:p>
      <w:pPr>
        <w:spacing w:before="0" w:after="0" w:afterAutospacing="0"/>
        <w:ind w:left="0" w:right="0" w:firstLine="420" w:firstLineChars="200"/>
        <w:jc w:val="left"/>
        <w:rPr>
          <w:rFonts w:hint="eastAsia" w:ascii="宋体" w:hAnsi="宋体" w:eastAsia="宋体"/>
          <w:color w:val="000000" w:themeColor="text1"/>
          <w:highlight w:val="none"/>
          <w:u w:val="single"/>
          <w:lang w:eastAsia="zh-CN"/>
          <w14:textFill>
            <w14:solidFill>
              <w14:schemeClr w14:val="tx1"/>
            </w14:solidFill>
          </w14:textFill>
        </w:rPr>
      </w:pPr>
      <w:r>
        <w:rPr>
          <w:rFonts w:ascii="宋体" w:hAnsi="宋体"/>
          <w:color w:val="000000" w:themeColor="text1"/>
          <w:highlight w:val="none"/>
          <w14:textFill>
            <w14:solidFill>
              <w14:schemeClr w14:val="tx1"/>
            </w14:solidFill>
          </w14:textFill>
        </w:rPr>
        <w:t>致：</w:t>
      </w:r>
      <w:r>
        <w:rPr>
          <w:rFonts w:hint="eastAsia" w:ascii="宋体" w:hAnsi="宋体"/>
          <w:color w:val="000000" w:themeColor="text1"/>
          <w:highlight w:val="none"/>
          <w:u w:val="single"/>
          <w:lang w:eastAsia="zh-CN"/>
          <w14:textFill>
            <w14:solidFill>
              <w14:schemeClr w14:val="tx1"/>
            </w14:solidFill>
          </w14:textFill>
        </w:rPr>
        <w:t>南宁兴邕城市更新有限责任公司</w:t>
      </w:r>
    </w:p>
    <w:p>
      <w:pPr>
        <w:spacing w:before="0" w:after="0" w:afterAutospacing="0"/>
        <w:ind w:left="0" w:right="0" w:firstLine="420" w:firstLineChars="200"/>
        <w:jc w:val="left"/>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在认真研读</w:t>
      </w:r>
      <w:r>
        <w:rPr>
          <w:rFonts w:hint="eastAsia" w:ascii="宋体" w:hAnsi="宋体"/>
          <w:color w:val="000000" w:themeColor="text1"/>
          <w:highlight w:val="none"/>
          <w:lang w:eastAsia="zh-CN"/>
          <w14:textFill>
            <w14:solidFill>
              <w14:schemeClr w14:val="tx1"/>
            </w14:solidFill>
          </w14:textFill>
        </w:rPr>
        <w:t>南宁兴邕城市更新有限责任公司</w:t>
      </w:r>
      <w:r>
        <w:rPr>
          <w:rFonts w:hint="eastAsia" w:ascii="宋体" w:hAnsi="宋体"/>
          <w:color w:val="000000" w:themeColor="text1"/>
          <w:highlight w:val="none"/>
          <w14:textFill>
            <w14:solidFill>
              <w14:schemeClr w14:val="tx1"/>
            </w14:solidFill>
          </w14:textFill>
        </w:rPr>
        <w:t>的比选文件</w:t>
      </w:r>
      <w:r>
        <w:rPr>
          <w:rFonts w:ascii="宋体" w:hAnsi="宋体"/>
          <w:color w:val="000000" w:themeColor="text1"/>
          <w:highlight w:val="none"/>
          <w14:textFill>
            <w14:solidFill>
              <w14:schemeClr w14:val="tx1"/>
            </w14:solidFill>
          </w14:textFill>
        </w:rPr>
        <w:t>后，我方经慎重考虑，郑重承诺参加</w:t>
      </w:r>
      <w:r>
        <w:rPr>
          <w:rFonts w:hint="eastAsia" w:ascii="宋体" w:hAnsi="宋体"/>
          <w:color w:val="000000" w:themeColor="text1"/>
          <w:highlight w:val="none"/>
          <w14:textFill>
            <w14:solidFill>
              <w14:schemeClr w14:val="tx1"/>
            </w14:solidFill>
          </w14:textFill>
        </w:rPr>
        <w:t>项目的招比选申请</w:t>
      </w:r>
      <w:r>
        <w:rPr>
          <w:rFonts w:ascii="宋体" w:hAnsi="宋体"/>
          <w:color w:val="000000" w:themeColor="text1"/>
          <w:highlight w:val="none"/>
          <w14:textFill>
            <w14:solidFill>
              <w14:schemeClr w14:val="tx1"/>
            </w14:solidFill>
          </w14:textFill>
        </w:rPr>
        <w:t>活动。</w:t>
      </w:r>
    </w:p>
    <w:p>
      <w:pPr>
        <w:spacing w:before="0" w:after="0" w:afterAutospacing="0"/>
        <w:ind w:left="0" w:right="0" w:firstLine="420" w:firstLineChars="200"/>
        <w:jc w:val="left"/>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我方按照贵方</w:t>
      </w:r>
      <w:r>
        <w:rPr>
          <w:rFonts w:hint="eastAsia" w:ascii="宋体" w:hAnsi="宋体"/>
          <w:color w:val="000000" w:themeColor="text1"/>
          <w:highlight w:val="none"/>
          <w14:textFill>
            <w14:solidFill>
              <w14:schemeClr w14:val="tx1"/>
            </w14:solidFill>
          </w14:textFill>
        </w:rPr>
        <w:t>比选文件</w:t>
      </w:r>
      <w:r>
        <w:rPr>
          <w:rFonts w:ascii="宋体" w:hAnsi="宋体"/>
          <w:color w:val="000000" w:themeColor="text1"/>
          <w:highlight w:val="none"/>
          <w14:textFill>
            <w14:solidFill>
              <w14:schemeClr w14:val="tx1"/>
            </w14:solidFill>
          </w14:textFill>
        </w:rPr>
        <w:t>要求的内容与格式，已编制完成</w:t>
      </w:r>
      <w:r>
        <w:rPr>
          <w:rFonts w:hint="eastAsia" w:ascii="宋体" w:hAnsi="宋体"/>
          <w:color w:val="000000" w:themeColor="text1"/>
          <w:highlight w:val="none"/>
          <w14:textFill>
            <w14:solidFill>
              <w14:schemeClr w14:val="tx1"/>
            </w14:solidFill>
          </w14:textFill>
        </w:rPr>
        <w:t>比选申请文件</w:t>
      </w:r>
      <w:r>
        <w:rPr>
          <w:rFonts w:ascii="宋体" w:hAnsi="宋体"/>
          <w:color w:val="000000" w:themeColor="text1"/>
          <w:highlight w:val="none"/>
          <w14:textFill>
            <w14:solidFill>
              <w14:schemeClr w14:val="tx1"/>
            </w14:solidFill>
          </w14:textFill>
        </w:rPr>
        <w:t>，现报上。</w:t>
      </w:r>
    </w:p>
    <w:p>
      <w:pPr>
        <w:spacing w:before="0" w:after="0" w:afterAutospacing="0"/>
        <w:ind w:left="0" w:right="0" w:firstLine="420" w:firstLineChars="200"/>
        <w:jc w:val="left"/>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3.我方</w:t>
      </w:r>
      <w:r>
        <w:rPr>
          <w:rFonts w:ascii="宋体" w:hAnsi="宋体"/>
          <w:color w:val="000000" w:themeColor="text1"/>
          <w:highlight w:val="none"/>
          <w14:textFill>
            <w14:solidFill>
              <w14:schemeClr w14:val="tx1"/>
            </w14:solidFill>
          </w14:textFill>
        </w:rPr>
        <w:t>承诺：在</w:t>
      </w:r>
      <w:r>
        <w:rPr>
          <w:rFonts w:hint="eastAsia" w:ascii="宋体" w:hAnsi="宋体"/>
          <w:color w:val="000000" w:themeColor="text1"/>
          <w:highlight w:val="none"/>
          <w14:textFill>
            <w14:solidFill>
              <w14:schemeClr w14:val="tx1"/>
            </w14:solidFill>
          </w14:textFill>
        </w:rPr>
        <w:t>评审</w:t>
      </w:r>
      <w:r>
        <w:rPr>
          <w:rFonts w:ascii="宋体" w:hAnsi="宋体"/>
          <w:color w:val="000000" w:themeColor="text1"/>
          <w:highlight w:val="none"/>
          <w14:textFill>
            <w14:solidFill>
              <w14:schemeClr w14:val="tx1"/>
            </w14:solidFill>
          </w14:textFill>
        </w:rPr>
        <w:t>过程中，贵方可调查、审核我方提交的与本</w:t>
      </w:r>
      <w:r>
        <w:rPr>
          <w:rFonts w:hint="eastAsia" w:ascii="宋体" w:hAnsi="宋体"/>
          <w:color w:val="000000" w:themeColor="text1"/>
          <w:highlight w:val="none"/>
          <w14:textFill>
            <w14:solidFill>
              <w14:schemeClr w14:val="tx1"/>
            </w14:solidFill>
          </w14:textFill>
        </w:rPr>
        <w:t>比选申请文件</w:t>
      </w:r>
      <w:r>
        <w:rPr>
          <w:rFonts w:ascii="宋体" w:hAnsi="宋体"/>
          <w:color w:val="000000" w:themeColor="text1"/>
          <w:highlight w:val="none"/>
          <w14:textFill>
            <w14:solidFill>
              <w14:schemeClr w14:val="tx1"/>
            </w14:solidFill>
          </w14:textFill>
        </w:rPr>
        <w:t>相关的声明、文件和资料，我方准备随时解答贵方提出的疑问。为此，我们授权任何相关的个人和公司向贵方提供要求的和必要的真实情况和资料以证实我们所填报的各项内容。</w:t>
      </w:r>
    </w:p>
    <w:p>
      <w:pPr>
        <w:spacing w:before="0" w:after="0" w:afterAutospacing="0"/>
        <w:ind w:left="0" w:right="0" w:firstLine="420" w:firstLineChars="200"/>
        <w:jc w:val="left"/>
        <w:rPr>
          <w:rFonts w:ascii="宋体" w:hAnsi="宋体"/>
          <w:b/>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4.我方</w:t>
      </w:r>
      <w:r>
        <w:rPr>
          <w:rFonts w:ascii="宋体" w:hAnsi="宋体"/>
          <w:color w:val="000000" w:themeColor="text1"/>
          <w:highlight w:val="none"/>
          <w14:textFill>
            <w14:solidFill>
              <w14:schemeClr w14:val="tx1"/>
            </w14:solidFill>
          </w14:textFill>
        </w:rPr>
        <w:t>郑重承诺：</w:t>
      </w:r>
      <w:r>
        <w:rPr>
          <w:rFonts w:ascii="宋体" w:hAnsi="宋体"/>
          <w:b/>
          <w:color w:val="000000" w:themeColor="text1"/>
          <w:highlight w:val="none"/>
          <w14:textFill>
            <w14:solidFill>
              <w14:schemeClr w14:val="tx1"/>
            </w14:solidFill>
          </w14:textFill>
        </w:rPr>
        <w:t>我方保证</w:t>
      </w:r>
      <w:r>
        <w:rPr>
          <w:rFonts w:hint="eastAsia" w:ascii="宋体" w:hAnsi="宋体"/>
          <w:b/>
          <w:color w:val="000000" w:themeColor="text1"/>
          <w:highlight w:val="none"/>
          <w14:textFill>
            <w14:solidFill>
              <w14:schemeClr w14:val="tx1"/>
            </w14:solidFill>
          </w14:textFill>
        </w:rPr>
        <w:t>没有处于被行政主管部门或业主取消比选申请资格的处罚期内，且没有处于被责令停业，财产被接管、破产状态；比选申请截止时间前3年内没有骗取中选、严重违约或重大质量安全责任事故的情况。</w:t>
      </w:r>
    </w:p>
    <w:p>
      <w:pPr>
        <w:spacing w:before="0" w:after="0" w:afterAutospacing="0" w:line="400" w:lineRule="exact"/>
        <w:ind w:left="0" w:right="0" w:firstLine="422" w:firstLineChars="200"/>
        <w:jc w:val="left"/>
        <w:rPr>
          <w:rFonts w:ascii="宋体" w:hAnsi="宋体"/>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5.</w:t>
      </w:r>
      <w:r>
        <w:rPr>
          <w:rFonts w:ascii="宋体" w:hAnsi="宋体"/>
          <w:color w:val="000000" w:themeColor="text1"/>
          <w:highlight w:val="none"/>
          <w14:textFill>
            <w14:solidFill>
              <w14:schemeClr w14:val="tx1"/>
            </w14:solidFill>
          </w14:textFill>
        </w:rPr>
        <w:t>如果</w:t>
      </w:r>
      <w:r>
        <w:rPr>
          <w:rFonts w:hint="eastAsia" w:ascii="宋体" w:hAnsi="宋体"/>
          <w:color w:val="000000" w:themeColor="text1"/>
          <w:highlight w:val="none"/>
          <w14:textFill>
            <w14:solidFill>
              <w14:schemeClr w14:val="tx1"/>
            </w14:solidFill>
          </w14:textFill>
        </w:rPr>
        <w:t>我公司</w:t>
      </w:r>
      <w:r>
        <w:rPr>
          <w:rFonts w:ascii="宋体" w:hAnsi="宋体"/>
          <w:color w:val="000000" w:themeColor="text1"/>
          <w:highlight w:val="none"/>
          <w14:textFill>
            <w14:solidFill>
              <w14:schemeClr w14:val="tx1"/>
            </w14:solidFill>
          </w14:textFill>
        </w:rPr>
        <w:t>在该项目</w:t>
      </w:r>
      <w:r>
        <w:rPr>
          <w:rFonts w:hint="eastAsia" w:ascii="宋体" w:hAnsi="宋体"/>
          <w:color w:val="000000" w:themeColor="text1"/>
          <w:highlight w:val="none"/>
          <w14:textFill>
            <w14:solidFill>
              <w14:schemeClr w14:val="tx1"/>
            </w14:solidFill>
          </w14:textFill>
        </w:rPr>
        <w:t>报名、</w:t>
      </w:r>
      <w:r>
        <w:rPr>
          <w:rFonts w:ascii="宋体" w:hAnsi="宋体"/>
          <w:color w:val="000000" w:themeColor="text1"/>
          <w:highlight w:val="none"/>
          <w14:textFill>
            <w14:solidFill>
              <w14:schemeClr w14:val="tx1"/>
            </w14:solidFill>
          </w14:textFill>
        </w:rPr>
        <w:t>比选申请过程中或者在中选后，比选人或者有管辖权的行政监管机构发现并查实我公司在所填报的该项目</w:t>
      </w:r>
      <w:r>
        <w:rPr>
          <w:rFonts w:hint="eastAsia" w:ascii="宋体" w:hAnsi="宋体"/>
          <w:color w:val="000000" w:themeColor="text1"/>
          <w:highlight w:val="none"/>
          <w14:textFill>
            <w14:solidFill>
              <w14:schemeClr w14:val="tx1"/>
            </w14:solidFill>
          </w14:textFill>
        </w:rPr>
        <w:t>比选申请文件</w:t>
      </w:r>
      <w:r>
        <w:rPr>
          <w:rFonts w:ascii="宋体" w:hAnsi="宋体"/>
          <w:color w:val="000000" w:themeColor="text1"/>
          <w:highlight w:val="none"/>
          <w14:textFill>
            <w14:solidFill>
              <w14:schemeClr w14:val="tx1"/>
            </w14:solidFill>
          </w14:textFill>
        </w:rPr>
        <w:t>中存在提供虚假或不真实的信息或者伪造数据、资料或证书等情况，</w:t>
      </w:r>
      <w:r>
        <w:rPr>
          <w:rFonts w:hint="eastAsia" w:ascii="宋体" w:hAnsi="宋体"/>
          <w:color w:val="000000" w:themeColor="text1"/>
          <w:highlight w:val="none"/>
          <w14:textFill>
            <w14:solidFill>
              <w14:schemeClr w14:val="tx1"/>
            </w14:solidFill>
          </w14:textFill>
        </w:rPr>
        <w:t>视为我公司违约，我公司愿意接受</w:t>
      </w:r>
      <w:r>
        <w:rPr>
          <w:rFonts w:ascii="宋体" w:hAnsi="宋体"/>
          <w:color w:val="000000" w:themeColor="text1"/>
          <w:highlight w:val="none"/>
          <w14:textFill>
            <w14:solidFill>
              <w14:schemeClr w14:val="tx1"/>
            </w14:solidFill>
          </w14:textFill>
        </w:rPr>
        <w:t>比选人或有管辖权的监管机构的处罚；如果我公司已</w:t>
      </w:r>
      <w:r>
        <w:rPr>
          <w:rFonts w:hint="eastAsia" w:ascii="宋体" w:hAnsi="宋体"/>
          <w:color w:val="000000" w:themeColor="text1"/>
          <w:highlight w:val="none"/>
          <w14:textFill>
            <w14:solidFill>
              <w14:schemeClr w14:val="tx1"/>
            </w14:solidFill>
          </w14:textFill>
        </w:rPr>
        <w:t>与比选人签订合同，则视为我公司违约，我司愿意按合同暂定总金额的20%向比选人支付违约金</w:t>
      </w:r>
      <w:r>
        <w:rPr>
          <w:rFonts w:ascii="宋体" w:hAnsi="宋体"/>
          <w:color w:val="000000" w:themeColor="text1"/>
          <w:highlight w:val="none"/>
          <w14:textFill>
            <w14:solidFill>
              <w14:schemeClr w14:val="tx1"/>
            </w14:solidFill>
          </w14:textFill>
        </w:rPr>
        <w:t>；由此造成的任何后果和损失均由我公司承担。本段承诺既是我公司</w:t>
      </w:r>
      <w:r>
        <w:rPr>
          <w:rFonts w:hint="eastAsia" w:ascii="宋体" w:hAnsi="宋体"/>
          <w:color w:val="000000" w:themeColor="text1"/>
          <w:highlight w:val="none"/>
          <w14:textFill>
            <w14:solidFill>
              <w14:schemeClr w14:val="tx1"/>
            </w14:solidFill>
          </w14:textFill>
        </w:rPr>
        <w:t>比选申请文件</w:t>
      </w:r>
      <w:r>
        <w:rPr>
          <w:rFonts w:ascii="宋体" w:hAnsi="宋体"/>
          <w:color w:val="000000" w:themeColor="text1"/>
          <w:highlight w:val="none"/>
          <w14:textFill>
            <w14:solidFill>
              <w14:schemeClr w14:val="tx1"/>
            </w14:solidFill>
          </w14:textFill>
        </w:rPr>
        <w:t>的有效组成内容，也是我公司真实意思的表示，对我公司在与该项目有关的任何行为中始终具有优先的法律约束力。</w:t>
      </w:r>
    </w:p>
    <w:p>
      <w:pPr>
        <w:spacing w:before="0" w:after="0" w:afterAutospacing="0" w:line="400" w:lineRule="exact"/>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w:t>
      </w:r>
      <w:r>
        <w:rPr>
          <w:rFonts w:ascii="宋体" w:hAnsi="宋体"/>
          <w:color w:val="000000" w:themeColor="text1"/>
          <w:highlight w:val="none"/>
          <w14:textFill>
            <w14:solidFill>
              <w14:schemeClr w14:val="tx1"/>
            </w14:solidFill>
          </w14:textFill>
        </w:rPr>
        <w:t>我方了解：无论</w:t>
      </w:r>
      <w:r>
        <w:rPr>
          <w:rFonts w:hint="eastAsia" w:ascii="宋体" w:hAnsi="宋体"/>
          <w:color w:val="000000" w:themeColor="text1"/>
          <w:highlight w:val="none"/>
          <w14:textFill>
            <w14:solidFill>
              <w14:schemeClr w14:val="tx1"/>
            </w14:solidFill>
          </w14:textFill>
        </w:rPr>
        <w:t>是否中选</w:t>
      </w:r>
      <w:r>
        <w:rPr>
          <w:rFonts w:ascii="宋体" w:hAnsi="宋体"/>
          <w:color w:val="000000" w:themeColor="text1"/>
          <w:highlight w:val="none"/>
          <w14:textFill>
            <w14:solidFill>
              <w14:schemeClr w14:val="tx1"/>
            </w14:solidFill>
          </w14:textFill>
        </w:rPr>
        <w:t>，我方将自行承担与</w:t>
      </w:r>
      <w:r>
        <w:rPr>
          <w:rFonts w:hint="eastAsia" w:ascii="宋体" w:hAnsi="宋体"/>
          <w:color w:val="000000" w:themeColor="text1"/>
          <w:highlight w:val="none"/>
          <w14:textFill>
            <w14:solidFill>
              <w14:schemeClr w14:val="tx1"/>
            </w14:solidFill>
          </w14:textFill>
        </w:rPr>
        <w:t>招比选申请</w:t>
      </w:r>
      <w:r>
        <w:rPr>
          <w:rFonts w:ascii="宋体" w:hAnsi="宋体"/>
          <w:color w:val="000000" w:themeColor="text1"/>
          <w:highlight w:val="none"/>
          <w14:textFill>
            <w14:solidFill>
              <w14:schemeClr w14:val="tx1"/>
            </w14:solidFill>
          </w14:textFill>
        </w:rPr>
        <w:t>活动所需的一切费用。</w:t>
      </w:r>
    </w:p>
    <w:p>
      <w:pPr>
        <w:spacing w:before="0" w:after="0" w:afterAutospacing="0" w:line="400" w:lineRule="exact"/>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7.我方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pPr>
        <w:spacing w:before="0" w:after="0" w:afterAutospacing="0" w:line="400" w:lineRule="exact"/>
        <w:ind w:left="0" w:right="0" w:firstLine="420" w:firstLineChars="200"/>
        <w:jc w:val="left"/>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我</w:t>
      </w:r>
      <w:r>
        <w:rPr>
          <w:rFonts w:hint="eastAsia" w:ascii="宋体" w:hAnsi="宋体"/>
          <w:color w:val="000000" w:themeColor="text1"/>
          <w:highlight w:val="none"/>
          <w14:textFill>
            <w14:solidFill>
              <w14:schemeClr w14:val="tx1"/>
            </w14:solidFill>
          </w14:textFill>
        </w:rPr>
        <w:t>方</w:t>
      </w:r>
      <w:r>
        <w:rPr>
          <w:rFonts w:ascii="宋体" w:hAnsi="宋体"/>
          <w:color w:val="000000" w:themeColor="text1"/>
          <w:highlight w:val="none"/>
          <w14:textFill>
            <w14:solidFill>
              <w14:schemeClr w14:val="tx1"/>
            </w14:solidFill>
          </w14:textFill>
        </w:rPr>
        <w:t>声明，我们所填报的资料是完全真实和准确的，并愿为此承担任何相关的法律责任。</w:t>
      </w:r>
    </w:p>
    <w:p>
      <w:pPr>
        <w:spacing w:before="0" w:after="0" w:afterAutospacing="0" w:line="400" w:lineRule="exact"/>
        <w:ind w:left="0" w:right="0" w:firstLine="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w:t>
      </w:r>
      <w:r>
        <w:rPr>
          <w:rFonts w:ascii="宋体" w:hAnsi="宋体"/>
          <w:color w:val="000000" w:themeColor="text1"/>
          <w:highlight w:val="none"/>
          <w14:textFill>
            <w14:solidFill>
              <w14:schemeClr w14:val="tx1"/>
            </w14:solidFill>
          </w14:textFill>
        </w:rPr>
        <w:t>地址：</w:t>
      </w:r>
    </w:p>
    <w:p>
      <w:pPr>
        <w:spacing w:before="0" w:after="0" w:afterAutospacing="0" w:line="400" w:lineRule="exact"/>
        <w:ind w:left="0" w:right="0" w:firstLine="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w:t>
      </w:r>
      <w:r>
        <w:rPr>
          <w:rFonts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u w:val="single"/>
          <w14:textFill>
            <w14:solidFill>
              <w14:schemeClr w14:val="tx1"/>
            </w14:solidFill>
          </w14:textFill>
        </w:rPr>
        <w:t>盖单位公章</w:t>
      </w:r>
      <w:r>
        <w:rPr>
          <w:rFonts w:ascii="宋体" w:hAnsi="宋体"/>
          <w:color w:val="000000" w:themeColor="text1"/>
          <w:highlight w:val="none"/>
          <w:u w:val="single"/>
          <w14:textFill>
            <w14:solidFill>
              <w14:schemeClr w14:val="tx1"/>
            </w14:solidFill>
          </w14:textFill>
        </w:rPr>
        <w:t>)</w:t>
      </w:r>
    </w:p>
    <w:p>
      <w:pPr>
        <w:spacing w:before="0" w:after="0" w:afterAutospacing="0" w:line="400" w:lineRule="exact"/>
        <w:ind w:left="0"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邮政编码：</w:t>
      </w:r>
    </w:p>
    <w:p>
      <w:pPr>
        <w:spacing w:before="0" w:after="0" w:afterAutospacing="0" w:line="400" w:lineRule="exact"/>
        <w:ind w:left="0" w:right="0" w:firstLine="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法定代表人（或委托代理人）：</w:t>
      </w:r>
      <w:r>
        <w:rPr>
          <w:rFonts w:ascii="宋体" w:hAnsi="宋体"/>
          <w:color w:val="000000" w:themeColor="text1"/>
          <w:highlight w:val="none"/>
          <w:u w:val="single"/>
          <w14:textFill>
            <w14:solidFill>
              <w14:schemeClr w14:val="tx1"/>
            </w14:solidFill>
          </w14:textFill>
        </w:rPr>
        <w:t>(签字</w:t>
      </w:r>
      <w:r>
        <w:rPr>
          <w:rFonts w:hint="eastAsia" w:ascii="宋体" w:hAnsi="宋体"/>
          <w:color w:val="000000" w:themeColor="text1"/>
          <w:highlight w:val="none"/>
          <w:u w:val="single"/>
          <w14:textFill>
            <w14:solidFill>
              <w14:schemeClr w14:val="tx1"/>
            </w14:solidFill>
          </w14:textFill>
        </w:rPr>
        <w:t>或盖章</w:t>
      </w:r>
      <w:r>
        <w:rPr>
          <w:rFonts w:ascii="宋体" w:hAnsi="宋体"/>
          <w:color w:val="000000" w:themeColor="text1"/>
          <w:highlight w:val="none"/>
          <w:u w:val="single"/>
          <w14:textFill>
            <w14:solidFill>
              <w14:schemeClr w14:val="tx1"/>
            </w14:solidFill>
          </w14:textFill>
        </w:rPr>
        <w:t>)</w:t>
      </w:r>
    </w:p>
    <w:p>
      <w:pPr>
        <w:spacing w:before="0" w:after="0" w:afterAutospacing="0" w:line="400" w:lineRule="exact"/>
        <w:ind w:left="0"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电话：</w:t>
      </w:r>
      <w:r>
        <w:rPr>
          <w:rFonts w:hint="eastAsia" w:ascii="宋体" w:hAnsi="宋体"/>
          <w:color w:val="000000" w:themeColor="text1"/>
          <w:highlight w:val="none"/>
          <w14:textFill>
            <w14:solidFill>
              <w14:schemeClr w14:val="tx1"/>
            </w14:solidFill>
          </w14:textFill>
        </w:rPr>
        <w:t xml:space="preserve">   </w:t>
      </w:r>
      <w:r>
        <w:rPr>
          <w:rFonts w:ascii="宋体" w:hAnsi="宋体"/>
          <w:color w:val="000000" w:themeColor="text1"/>
          <w:highlight w:val="none"/>
          <w:u w:val="single"/>
          <w14:textFill>
            <w14:solidFill>
              <w14:schemeClr w14:val="tx1"/>
            </w14:solidFill>
          </w14:textFill>
        </w:rPr>
        <w:t>　　</w:t>
      </w:r>
    </w:p>
    <w:p>
      <w:pPr>
        <w:spacing w:before="0" w:after="0" w:afterAutospacing="0" w:line="400" w:lineRule="exact"/>
        <w:ind w:left="0"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传真：</w:t>
      </w:r>
    </w:p>
    <w:p>
      <w:pPr>
        <w:spacing w:before="0" w:after="0" w:afterAutospacing="0" w:line="400" w:lineRule="exact"/>
        <w:ind w:left="0"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日期：年月日</w:t>
      </w:r>
    </w:p>
    <w:p>
      <w:pPr>
        <w:pStyle w:val="32"/>
        <w:ind w:firstLine="480"/>
        <w:rPr>
          <w:rFonts w:ascii="宋体" w:hAnsi="宋体"/>
          <w:color w:val="000000" w:themeColor="text1"/>
          <w:highlight w:val="none"/>
          <w14:textFill>
            <w14:solidFill>
              <w14:schemeClr w14:val="tx1"/>
            </w14:solidFill>
          </w14:textFill>
        </w:rPr>
      </w:pPr>
    </w:p>
    <w:p>
      <w:pPr>
        <w:pageBreakBefore/>
        <w:snapToGrid w:val="0"/>
        <w:ind w:right="0" w:firstLine="0"/>
        <w:jc w:val="left"/>
        <w:outlineLvl w:val="0"/>
        <w:rPr>
          <w:rFonts w:ascii="宋体" w:hAnsi="宋体"/>
          <w:b/>
          <w:color w:val="000000" w:themeColor="text1"/>
          <w:highlight w:val="none"/>
          <w14:textFill>
            <w14:solidFill>
              <w14:schemeClr w14:val="tx1"/>
            </w14:solidFill>
          </w14:textFill>
        </w:rPr>
      </w:pPr>
      <w:bookmarkStart w:id="1282" w:name="_Toc1976"/>
      <w:bookmarkStart w:id="1283" w:name="_Toc11390"/>
      <w:bookmarkStart w:id="1284" w:name="_Toc25750678"/>
      <w:bookmarkStart w:id="1285" w:name="_Toc114134666"/>
      <w:r>
        <w:rPr>
          <w:rFonts w:ascii="宋体" w:hAnsi="宋体"/>
          <w:b/>
          <w:color w:val="000000" w:themeColor="text1"/>
          <w:highlight w:val="none"/>
          <w14:textFill>
            <w14:solidFill>
              <w14:schemeClr w14:val="tx1"/>
            </w14:solidFill>
          </w14:textFill>
        </w:rPr>
        <w:t>A</w:t>
      </w:r>
      <w:r>
        <w:rPr>
          <w:rFonts w:hint="eastAsia" w:ascii="宋体" w:hAnsi="宋体"/>
          <w:b/>
          <w:color w:val="000000" w:themeColor="text1"/>
          <w:highlight w:val="none"/>
          <w14:textFill>
            <w14:solidFill>
              <w14:schemeClr w14:val="tx1"/>
            </w14:solidFill>
          </w14:textFill>
        </w:rPr>
        <w:t>4  类似项目</w:t>
      </w:r>
      <w:r>
        <w:rPr>
          <w:rFonts w:ascii="宋体" w:hAnsi="宋体"/>
          <w:b/>
          <w:color w:val="000000" w:themeColor="text1"/>
          <w:highlight w:val="none"/>
          <w14:textFill>
            <w14:solidFill>
              <w14:schemeClr w14:val="tx1"/>
            </w14:solidFill>
          </w14:textFill>
        </w:rPr>
        <w:t>业绩表格式</w:t>
      </w:r>
      <w:bookmarkEnd w:id="1282"/>
      <w:bookmarkEnd w:id="1283"/>
      <w:bookmarkEnd w:id="1284"/>
      <w:bookmarkEnd w:id="1285"/>
    </w:p>
    <w:p>
      <w:pPr>
        <w:spacing w:before="0"/>
        <w:ind w:right="-57" w:firstLine="0"/>
        <w:jc w:val="center"/>
        <w:rPr>
          <w:rFonts w:ascii="宋体" w:hAnsi="宋体"/>
          <w:b/>
          <w:color w:val="000000" w:themeColor="text1"/>
          <w:spacing w:val="20"/>
          <w:highlight w:val="none"/>
          <w14:textFill>
            <w14:solidFill>
              <w14:schemeClr w14:val="tx1"/>
            </w14:solidFill>
          </w14:textFill>
        </w:rPr>
      </w:pPr>
      <w:r>
        <w:rPr>
          <w:rFonts w:hint="eastAsia" w:ascii="宋体" w:hAnsi="宋体"/>
          <w:b/>
          <w:color w:val="000000" w:themeColor="text1"/>
          <w:spacing w:val="20"/>
          <w:highlight w:val="none"/>
          <w14:textFill>
            <w14:solidFill>
              <w14:schemeClr w14:val="tx1"/>
            </w14:solidFill>
          </w14:textFill>
        </w:rPr>
        <w:t>类似项目</w:t>
      </w:r>
      <w:r>
        <w:rPr>
          <w:rFonts w:ascii="宋体" w:hAnsi="宋体"/>
          <w:b/>
          <w:color w:val="000000" w:themeColor="text1"/>
          <w:spacing w:val="20"/>
          <w:highlight w:val="none"/>
          <w14:textFill>
            <w14:solidFill>
              <w14:schemeClr w14:val="tx1"/>
            </w14:solidFill>
          </w14:textFill>
        </w:rPr>
        <w:t>业绩表</w:t>
      </w:r>
    </w:p>
    <w:tbl>
      <w:tblPr>
        <w:tblStyle w:val="35"/>
        <w:tblW w:w="9932"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2"/>
        <w:gridCol w:w="993"/>
        <w:gridCol w:w="1388"/>
        <w:gridCol w:w="1044"/>
        <w:gridCol w:w="1043"/>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PrEx>
        <w:trPr>
          <w:trHeight w:val="440" w:hRule="atLeast"/>
          <w:jc w:val="center"/>
        </w:trPr>
        <w:tc>
          <w:tcPr>
            <w:tcW w:w="599"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序号</w:t>
            </w:r>
          </w:p>
        </w:tc>
        <w:tc>
          <w:tcPr>
            <w:tcW w:w="1092"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项目名称</w:t>
            </w:r>
          </w:p>
        </w:tc>
        <w:tc>
          <w:tcPr>
            <w:tcW w:w="1789"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合同内容（简述）</w:t>
            </w:r>
          </w:p>
        </w:tc>
        <w:tc>
          <w:tcPr>
            <w:tcW w:w="992" w:type="dxa"/>
            <w:tcBorders>
              <w:top w:val="double" w:color="auto" w:sz="4" w:space="0"/>
            </w:tcBorders>
          </w:tcPr>
          <w:p>
            <w:pPr>
              <w:ind w:lef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设计面积/㎡</w:t>
            </w:r>
          </w:p>
        </w:tc>
        <w:tc>
          <w:tcPr>
            <w:tcW w:w="992" w:type="dxa"/>
            <w:tcBorders>
              <w:top w:val="double" w:color="auto" w:sz="4" w:space="0"/>
            </w:tcBorders>
            <w:vAlign w:val="center"/>
          </w:tcPr>
          <w:p>
            <w:pPr>
              <w:ind w:left="0" w:firstLine="0"/>
              <w:jc w:val="center"/>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w:t>
            </w:r>
          </w:p>
          <w:p>
            <w:pPr>
              <w:ind w:lef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金额</w:t>
            </w:r>
          </w:p>
        </w:tc>
        <w:tc>
          <w:tcPr>
            <w:tcW w:w="993" w:type="dxa"/>
            <w:tcBorders>
              <w:top w:val="double" w:color="auto" w:sz="4" w:space="0"/>
            </w:tcBorders>
            <w:vAlign w:val="center"/>
          </w:tcPr>
          <w:p>
            <w:pPr>
              <w:ind w:left="0" w:firstLine="0"/>
              <w:jc w:val="center"/>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签订</w:t>
            </w:r>
          </w:p>
          <w:p>
            <w:pPr>
              <w:ind w:lef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时间</w:t>
            </w:r>
          </w:p>
        </w:tc>
        <w:tc>
          <w:tcPr>
            <w:tcW w:w="1388" w:type="dxa"/>
            <w:tcBorders>
              <w:top w:val="double" w:color="auto" w:sz="4" w:space="0"/>
            </w:tcBorders>
            <w:vAlign w:val="center"/>
          </w:tcPr>
          <w:p>
            <w:pPr>
              <w:ind w:left="0" w:firstLine="0"/>
              <w:jc w:val="center"/>
              <w:rPr>
                <w:rFonts w:ascii="宋体" w:hAnsi="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工期或服务</w:t>
            </w:r>
            <w:r>
              <w:rPr>
                <w:rFonts w:hint="eastAsia" w:ascii="宋体" w:hAnsi="宋体"/>
                <w:color w:val="000000" w:themeColor="text1"/>
                <w:highlight w:val="none"/>
                <w14:textFill>
                  <w14:solidFill>
                    <w14:schemeClr w14:val="tx1"/>
                  </w14:solidFill>
                </w14:textFill>
              </w:rPr>
              <w:t>时间</w:t>
            </w:r>
          </w:p>
        </w:tc>
        <w:tc>
          <w:tcPr>
            <w:tcW w:w="1044"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业主单位</w:t>
            </w:r>
          </w:p>
        </w:tc>
        <w:tc>
          <w:tcPr>
            <w:tcW w:w="1043"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联系电话</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pPr>
              <w:ind w:left="0" w:firstLine="0"/>
              <w:rPr>
                <w:rFonts w:ascii="宋体" w:hAnsi="宋体"/>
                <w:color w:val="000000" w:themeColor="text1"/>
                <w:highlight w:val="none"/>
                <w14:textFill>
                  <w14:solidFill>
                    <w14:schemeClr w14:val="tx1"/>
                  </w14:solidFill>
                </w14:textFill>
              </w:rPr>
            </w:pPr>
          </w:p>
        </w:tc>
        <w:tc>
          <w:tcPr>
            <w:tcW w:w="1092" w:type="dxa"/>
          </w:tcPr>
          <w:p>
            <w:pPr>
              <w:ind w:left="0" w:firstLine="0"/>
              <w:rPr>
                <w:rFonts w:ascii="宋体" w:hAnsi="宋体"/>
                <w:color w:val="000000" w:themeColor="text1"/>
                <w:highlight w:val="none"/>
                <w14:textFill>
                  <w14:solidFill>
                    <w14:schemeClr w14:val="tx1"/>
                  </w14:solidFill>
                </w14:textFill>
              </w:rPr>
            </w:pPr>
          </w:p>
        </w:tc>
        <w:tc>
          <w:tcPr>
            <w:tcW w:w="1789" w:type="dxa"/>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3" w:type="dxa"/>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tcPr>
          <w:p>
            <w:pPr>
              <w:ind w:left="0" w:firstLine="0"/>
              <w:rPr>
                <w:rFonts w:ascii="宋体" w:hAnsi="宋体"/>
                <w:color w:val="000000" w:themeColor="text1"/>
                <w:highlight w:val="none"/>
                <w14:textFill>
                  <w14:solidFill>
                    <w14:schemeClr w14:val="tx1"/>
                  </w14:solidFill>
                </w14:textFill>
              </w:rPr>
            </w:pPr>
          </w:p>
        </w:tc>
        <w:tc>
          <w:tcPr>
            <w:tcW w:w="1043" w:type="dxa"/>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bl>
    <w:p>
      <w:pPr>
        <w:spacing w:before="0"/>
        <w:ind w:left="567" w:right="-57" w:hanging="567"/>
        <w:jc w:val="left"/>
        <w:rPr>
          <w:rFonts w:ascii="宋体" w:hAnsi="宋体"/>
          <w:color w:val="000000" w:themeColor="text1"/>
          <w:highlight w:val="none"/>
          <w14:textFill>
            <w14:solidFill>
              <w14:schemeClr w14:val="tx1"/>
            </w14:solidFill>
          </w14:textFill>
        </w:rPr>
      </w:pPr>
    </w:p>
    <w:p>
      <w:pPr>
        <w:spacing w:before="0" w:after="0" w:afterAutospacing="0"/>
        <w:ind w:left="0" w:right="0" w:firstLine="420" w:firstLineChars="200"/>
        <w:rPr>
          <w:rFonts w:hint="eastAsia" w:ascii="宋体" w:hAnsi="宋体" w:eastAsia="宋体"/>
          <w:color w:val="000000" w:themeColor="text1"/>
          <w:highlight w:val="none"/>
          <w:lang w:eastAsia="zh-CN"/>
          <w14:textFill>
            <w14:solidFill>
              <w14:schemeClr w14:val="tx1"/>
            </w14:solidFill>
          </w14:textFill>
        </w:rPr>
      </w:pPr>
      <w:r>
        <w:rPr>
          <w:rFonts w:ascii="宋体" w:hAnsi="宋体"/>
          <w:color w:val="000000" w:themeColor="text1"/>
          <w:highlight w:val="none"/>
          <w14:textFill>
            <w14:solidFill>
              <w14:schemeClr w14:val="tx1"/>
            </w14:solidFill>
          </w14:textFill>
        </w:rPr>
        <w:t>注：1.</w:t>
      </w:r>
      <w:r>
        <w:rPr>
          <w:rFonts w:hint="eastAsia" w:ascii="宋体" w:hAnsi="宋体"/>
          <w:color w:val="000000" w:themeColor="text1"/>
          <w:highlight w:val="none"/>
          <w14:textFill>
            <w14:solidFill>
              <w14:schemeClr w14:val="tx1"/>
            </w14:solidFill>
          </w14:textFill>
        </w:rPr>
        <w:t>类似项目业绩：</w:t>
      </w:r>
      <w:r>
        <w:rPr>
          <w:rFonts w:hint="eastAsia" w:ascii="宋体" w:hAnsi="宋体"/>
          <w:color w:val="000000" w:themeColor="text1"/>
          <w:highlight w:val="none"/>
          <w:lang w:val="en-US" w:eastAsia="zh-CN"/>
          <w14:textFill>
            <w14:solidFill>
              <w14:schemeClr w14:val="tx1"/>
            </w14:solidFill>
          </w14:textFill>
        </w:rPr>
        <w:t>比选申请人自2021年1月1日至比选申请截止时间前，承接过（完工/在建项目）1个及以上40万元（含）以上的市政工程设计项目。</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项目按照时间顺序排列，时间以合同签订时间为准。</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比选申请人须提供相应的业绩证明材料：提供下述材料之一即可：①合同文件；②中标通知书。所提供的材料须能明确反映类似项目特征，复印件加盖比选申请人公章。</w:t>
      </w:r>
    </w:p>
    <w:p>
      <w:pPr>
        <w:snapToGrid w:val="0"/>
        <w:spacing w:after="50" w:line="280" w:lineRule="exact"/>
        <w:ind w:left="955" w:right="-817" w:firstLine="2520" w:firstLineChars="1200"/>
        <w:rPr>
          <w:rFonts w:ascii="宋体" w:hAnsi="宋体"/>
          <w:color w:val="000000" w:themeColor="text1"/>
          <w:highlight w:val="none"/>
          <w14:textFill>
            <w14:solidFill>
              <w14:schemeClr w14:val="tx1"/>
            </w14:solidFill>
          </w14:textFill>
        </w:rPr>
      </w:pPr>
    </w:p>
    <w:p>
      <w:pPr>
        <w:snapToGrid w:val="0"/>
        <w:spacing w:after="50" w:line="280" w:lineRule="exact"/>
        <w:ind w:left="955" w:right="-817" w:firstLine="2520" w:firstLineChars="1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比选申请人名称（盖章）：</w:t>
      </w:r>
    </w:p>
    <w:p>
      <w:pPr>
        <w:snapToGrid w:val="0"/>
        <w:spacing w:after="50" w:line="280" w:lineRule="exact"/>
        <w:ind w:right="-817" w:firstLine="2625" w:firstLineChars="125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法定代表人或被授权人（签字）：</w:t>
      </w:r>
    </w:p>
    <w:p>
      <w:pPr>
        <w:ind w:left="710" w:leftChars="338" w:right="-57" w:firstLine="3234" w:firstLineChars="1540"/>
        <w:jc w:val="left"/>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日  期：年月日</w:t>
      </w:r>
    </w:p>
    <w:p>
      <w:pPr>
        <w:pStyle w:val="2"/>
        <w:pageBreakBefore/>
        <w:spacing w:after="100"/>
        <w:ind w:left="0" w:right="-57" w:firstLine="0"/>
        <w:jc w:val="center"/>
        <w:rPr>
          <w:rFonts w:ascii="宋体" w:hAnsi="宋体"/>
          <w:color w:val="000000" w:themeColor="text1"/>
          <w:sz w:val="24"/>
          <w:szCs w:val="24"/>
          <w:highlight w:val="none"/>
          <w14:textFill>
            <w14:solidFill>
              <w14:schemeClr w14:val="tx1"/>
            </w14:solidFill>
          </w14:textFill>
        </w:rPr>
      </w:pPr>
      <w:bookmarkStart w:id="1286" w:name="_Toc27820"/>
      <w:bookmarkStart w:id="1287" w:name="_Toc12983551"/>
      <w:bookmarkStart w:id="1288" w:name="_Toc492478807"/>
      <w:bookmarkStart w:id="1289" w:name="_Toc414290525"/>
      <w:bookmarkStart w:id="1290" w:name="_Toc8914"/>
      <w:bookmarkStart w:id="1291" w:name="_Toc17687"/>
      <w:bookmarkStart w:id="1292" w:name="_Toc23770"/>
      <w:bookmarkStart w:id="1293" w:name="_Toc14988"/>
      <w:bookmarkStart w:id="1294" w:name="_Toc8451"/>
      <w:bookmarkStart w:id="1295" w:name="_Toc8874"/>
      <w:bookmarkStart w:id="1296" w:name="_Toc11582"/>
      <w:bookmarkStart w:id="1297" w:name="_Toc12677"/>
      <w:bookmarkStart w:id="1298" w:name="_Toc12984811"/>
      <w:bookmarkStart w:id="1299" w:name="_Toc13328"/>
      <w:bookmarkStart w:id="1300" w:name="_Toc24971"/>
      <w:bookmarkStart w:id="1301" w:name="_Toc10812"/>
      <w:bookmarkStart w:id="1302" w:name="_Toc14586"/>
      <w:bookmarkStart w:id="1303" w:name="_Toc29358"/>
      <w:bookmarkStart w:id="1304" w:name="_Toc28662"/>
      <w:bookmarkStart w:id="1305" w:name="_Toc18876"/>
      <w:bookmarkStart w:id="1306" w:name="_Toc16676"/>
      <w:bookmarkStart w:id="1307" w:name="_Toc4087"/>
      <w:bookmarkStart w:id="1308" w:name="_Toc114134667"/>
      <w:bookmarkStart w:id="1309" w:name="_Toc4061"/>
      <w:r>
        <w:rPr>
          <w:rFonts w:ascii="宋体" w:hAnsi="宋体"/>
          <w:color w:val="000000" w:themeColor="text1"/>
          <w:sz w:val="24"/>
          <w:szCs w:val="24"/>
          <w:highlight w:val="none"/>
          <w14:textFill>
            <w14:solidFill>
              <w14:schemeClr w14:val="tx1"/>
            </w14:solidFill>
          </w14:textFill>
        </w:rPr>
        <w:t xml:space="preserve">B </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r>
        <w:rPr>
          <w:rFonts w:hint="eastAsia" w:ascii="宋体" w:hAnsi="宋体"/>
          <w:color w:val="000000" w:themeColor="text1"/>
          <w:sz w:val="24"/>
          <w:szCs w:val="24"/>
          <w:highlight w:val="none"/>
          <w14:textFill>
            <w14:solidFill>
              <w14:schemeClr w14:val="tx1"/>
            </w14:solidFill>
          </w14:textFill>
        </w:rPr>
        <w:t>价格文件</w:t>
      </w:r>
      <w:bookmarkEnd w:id="1307"/>
      <w:bookmarkEnd w:id="1308"/>
      <w:bookmarkEnd w:id="1309"/>
    </w:p>
    <w:p>
      <w:pPr>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价格文件格式</w:t>
      </w:r>
    </w:p>
    <w:p>
      <w:pPr>
        <w:spacing w:before="0" w:after="0" w:afterAutospacing="0" w:line="276" w:lineRule="auto"/>
        <w:ind w:left="0" w:right="0"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）比选申请报价一览表（格式见B1）；</w:t>
      </w:r>
    </w:p>
    <w:p>
      <w:pPr>
        <w:spacing w:before="0" w:after="0" w:afterAutospacing="0" w:line="276" w:lineRule="auto"/>
        <w:ind w:left="0" w:right="0"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）比选申请函（格式见B2）；</w:t>
      </w:r>
    </w:p>
    <w:p>
      <w:pPr>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（3）比选申请人认为应提交的其他比选申请资料（如有）。</w:t>
      </w:r>
    </w:p>
    <w:p>
      <w:pPr>
        <w:pStyle w:val="3"/>
        <w:tabs>
          <w:tab w:val="left" w:pos="567"/>
          <w:tab w:val="left" w:pos="720"/>
        </w:tabs>
        <w:snapToGrid w:val="0"/>
        <w:spacing w:after="0" w:line="360" w:lineRule="auto"/>
        <w:ind w:right="-57"/>
        <w:jc w:val="left"/>
        <w:rPr>
          <w:rFonts w:ascii="宋体" w:hAnsi="宋体" w:eastAsia="宋体"/>
          <w:color w:val="000000" w:themeColor="text1"/>
          <w:sz w:val="21"/>
          <w:szCs w:val="21"/>
          <w:highlight w:val="none"/>
          <w14:textFill>
            <w14:solidFill>
              <w14:schemeClr w14:val="tx1"/>
            </w14:solidFill>
          </w14:textFill>
        </w:rPr>
        <w:sectPr>
          <w:headerReference r:id="rId17" w:type="first"/>
          <w:headerReference r:id="rId16" w:type="default"/>
          <w:pgSz w:w="11905" w:h="16838"/>
          <w:pgMar w:top="1418" w:right="1418" w:bottom="1304" w:left="1418" w:header="454" w:footer="567" w:gutter="0"/>
          <w:cols w:space="720" w:num="1"/>
          <w:docGrid w:linePitch="312" w:charSpace="0"/>
        </w:sectPr>
      </w:pPr>
      <w:bookmarkStart w:id="1310" w:name="_Toc13980"/>
      <w:bookmarkStart w:id="1311" w:name="_Toc29231"/>
      <w:bookmarkStart w:id="1312" w:name="_Toc1158"/>
      <w:bookmarkStart w:id="1313" w:name="_Toc375564355"/>
      <w:bookmarkStart w:id="1314" w:name="_Toc23615"/>
      <w:bookmarkStart w:id="1315" w:name="_Toc6992"/>
      <w:bookmarkStart w:id="1316" w:name="_Toc7004"/>
      <w:bookmarkStart w:id="1317" w:name="_Toc10991"/>
      <w:bookmarkStart w:id="1318" w:name="_Toc9861"/>
      <w:bookmarkStart w:id="1319" w:name="_Toc492478808"/>
      <w:bookmarkStart w:id="1320" w:name="_Toc25419"/>
      <w:bookmarkStart w:id="1321" w:name="_Toc5823"/>
      <w:bookmarkStart w:id="1322" w:name="_Toc29688"/>
      <w:bookmarkStart w:id="1323" w:name="_Toc12984812"/>
      <w:bookmarkStart w:id="1324" w:name="_Toc114134668"/>
      <w:bookmarkStart w:id="1325" w:name="_Toc24487"/>
      <w:bookmarkStart w:id="1326" w:name="_Toc12951"/>
      <w:bookmarkStart w:id="1327" w:name="_Toc9560"/>
      <w:bookmarkStart w:id="1328" w:name="_Toc12983552"/>
      <w:bookmarkStart w:id="1329" w:name="_Toc24326"/>
      <w:bookmarkStart w:id="1330" w:name="_Toc414290526"/>
      <w:bookmarkStart w:id="1331" w:name="_Toc21674"/>
      <w:bookmarkStart w:id="1332" w:name="_Toc25750680"/>
      <w:bookmarkStart w:id="1333" w:name="_Toc18516"/>
      <w:bookmarkStart w:id="1334" w:name="_Toc18340"/>
      <w:bookmarkStart w:id="1335" w:name="_Toc27610"/>
      <w:bookmarkStart w:id="1336" w:name="_Toc16489"/>
    </w:p>
    <w:p>
      <w:pPr>
        <w:pStyle w:val="3"/>
        <w:tabs>
          <w:tab w:val="left" w:pos="567"/>
          <w:tab w:val="left" w:pos="720"/>
        </w:tabs>
        <w:snapToGrid w:val="0"/>
        <w:spacing w:after="0" w:line="360" w:lineRule="auto"/>
        <w:ind w:right="-57"/>
        <w:jc w:val="left"/>
        <w:rPr>
          <w:rFonts w:ascii="宋体" w:hAnsi="宋体" w:eastAsia="宋体"/>
          <w:color w:val="000000" w:themeColor="text1"/>
          <w:sz w:val="21"/>
          <w:szCs w:val="21"/>
          <w:highlight w:val="yellow"/>
          <w14:textFill>
            <w14:solidFill>
              <w14:schemeClr w14:val="tx1"/>
            </w14:solidFill>
          </w14:textFill>
        </w:rPr>
      </w:pPr>
      <w:r>
        <w:rPr>
          <w:rFonts w:ascii="宋体" w:hAnsi="宋体" w:eastAsia="宋体"/>
          <w:color w:val="000000" w:themeColor="text1"/>
          <w:sz w:val="21"/>
          <w:szCs w:val="21"/>
          <w:highlight w:val="none"/>
          <w14:textFill>
            <w14:solidFill>
              <w14:schemeClr w14:val="tx1"/>
            </w14:solidFill>
          </w14:textFill>
        </w:rPr>
        <w:t>B1比选申请报价一览表</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pPr>
        <w:snapToGrid w:val="0"/>
        <w:spacing w:after="50"/>
        <w:ind w:right="-57" w:firstLine="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比选申请报价一览表</w:t>
      </w:r>
    </w:p>
    <w:tbl>
      <w:tblPr>
        <w:tblStyle w:val="35"/>
        <w:tblW w:w="1420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39"/>
        <w:gridCol w:w="2557"/>
        <w:gridCol w:w="2427"/>
        <w:gridCol w:w="1523"/>
        <w:gridCol w:w="1529"/>
        <w:gridCol w:w="1776"/>
        <w:gridCol w:w="1535"/>
        <w:gridCol w:w="17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1139" w:type="dxa"/>
            <w:tcBorders>
              <w:top w:val="single" w:color="000000" w:sz="8" w:space="0"/>
              <w:left w:val="single" w:color="000000" w:sz="8"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序号</w:t>
            </w:r>
          </w:p>
        </w:tc>
        <w:tc>
          <w:tcPr>
            <w:tcW w:w="2557" w:type="dxa"/>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项目</w:t>
            </w:r>
          </w:p>
        </w:tc>
        <w:tc>
          <w:tcPr>
            <w:tcW w:w="2427" w:type="dxa"/>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4"/>
                <w:szCs w:val="24"/>
                <w:highlight w:val="none"/>
                <w:u w:val="none"/>
                <w:lang w:val="en-US"/>
              </w:rPr>
            </w:pPr>
            <w:r>
              <w:rPr>
                <w:rFonts w:hint="eastAsia" w:ascii="宋体" w:hAnsi="宋体" w:cs="宋体"/>
                <w:b/>
                <w:bCs/>
                <w:i w:val="0"/>
                <w:iCs w:val="0"/>
                <w:color w:val="000000"/>
                <w:kern w:val="0"/>
                <w:sz w:val="24"/>
                <w:szCs w:val="24"/>
                <w:highlight w:val="none"/>
                <w:u w:val="none"/>
                <w:lang w:val="en-US" w:eastAsia="zh-CN" w:bidi="ar"/>
              </w:rPr>
              <w:t>建安费用（万元）</w:t>
            </w:r>
          </w:p>
        </w:tc>
        <w:tc>
          <w:tcPr>
            <w:tcW w:w="1523" w:type="dxa"/>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ind w:left="0" w:right="0" w:firstLine="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cs="宋体"/>
                <w:b/>
                <w:bCs/>
                <w:i w:val="0"/>
                <w:iCs w:val="0"/>
                <w:color w:val="000000"/>
                <w:kern w:val="0"/>
                <w:sz w:val="24"/>
                <w:szCs w:val="24"/>
                <w:highlight w:val="none"/>
                <w:u w:val="none"/>
                <w:lang w:val="en-US" w:eastAsia="zh-CN" w:bidi="ar"/>
              </w:rPr>
              <w:t>工程设计收费暂定基准价（元）</w:t>
            </w:r>
          </w:p>
        </w:tc>
        <w:tc>
          <w:tcPr>
            <w:tcW w:w="1529" w:type="dxa"/>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ind w:left="0" w:right="-28" w:firstLine="0"/>
              <w:jc w:val="left"/>
              <w:textAlignment w:val="center"/>
              <w:rPr>
                <w:rFonts w:hint="default" w:ascii="宋体" w:hAnsi="宋体" w:eastAsia="宋体" w:cs="宋体"/>
                <w:b/>
                <w:bCs/>
                <w:i w:val="0"/>
                <w:iCs w:val="0"/>
                <w:color w:val="000000"/>
                <w:sz w:val="24"/>
                <w:szCs w:val="24"/>
                <w:highlight w:val="none"/>
                <w:u w:val="none"/>
                <w:lang w:val="en-US" w:eastAsia="zh-CN"/>
              </w:rPr>
            </w:pPr>
            <w:r>
              <w:rPr>
                <w:rFonts w:hint="eastAsia" w:ascii="宋体" w:hAnsi="宋体" w:cs="宋体"/>
                <w:b/>
                <w:bCs/>
                <w:i w:val="0"/>
                <w:iCs w:val="0"/>
                <w:color w:val="000000"/>
                <w:sz w:val="24"/>
                <w:szCs w:val="24"/>
                <w:highlight w:val="none"/>
                <w:u w:val="none"/>
                <w:lang w:val="en-US" w:eastAsia="zh-CN"/>
              </w:rPr>
              <w:t>下浮系数报价（%）</w:t>
            </w:r>
          </w:p>
        </w:tc>
        <w:tc>
          <w:tcPr>
            <w:tcW w:w="1776" w:type="dxa"/>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after="0" w:afterAutospacing="0"/>
              <w:ind w:left="0" w:right="0" w:firstLine="0"/>
              <w:jc w:val="center"/>
              <w:textAlignment w:val="center"/>
              <w:rPr>
                <w:rFonts w:hint="eastAsia" w:ascii="宋体" w:hAnsi="宋体" w:eastAsia="宋体" w:cs="宋体"/>
                <w:b/>
                <w:bCs/>
                <w:i w:val="0"/>
                <w:iCs w:val="0"/>
                <w:color w:val="000000"/>
                <w:sz w:val="24"/>
                <w:szCs w:val="24"/>
                <w:highlight w:val="none"/>
                <w:u w:val="none"/>
                <w:lang w:val="en-US" w:eastAsia="zh-CN"/>
              </w:rPr>
            </w:pPr>
            <w:r>
              <w:rPr>
                <w:rFonts w:hint="eastAsia" w:ascii="宋体" w:hAnsi="宋体" w:cs="宋体"/>
                <w:b/>
                <w:bCs/>
                <w:i w:val="0"/>
                <w:iCs w:val="0"/>
                <w:color w:val="000000"/>
                <w:sz w:val="24"/>
                <w:szCs w:val="24"/>
                <w:highlight w:val="none"/>
                <w:u w:val="none"/>
                <w:lang w:val="en-US" w:eastAsia="zh-CN"/>
              </w:rPr>
              <w:t>合同暂定含税总价（元）</w:t>
            </w:r>
          </w:p>
        </w:tc>
        <w:tc>
          <w:tcPr>
            <w:tcW w:w="1535" w:type="dxa"/>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4"/>
                <w:szCs w:val="24"/>
                <w:highlight w:val="none"/>
                <w:u w:val="none"/>
                <w:lang w:val="en-US" w:eastAsia="zh-CN"/>
              </w:rPr>
            </w:pPr>
            <w:r>
              <w:rPr>
                <w:rFonts w:hint="eastAsia" w:ascii="宋体" w:hAnsi="宋体" w:cs="宋体"/>
                <w:b/>
                <w:bCs/>
                <w:i w:val="0"/>
                <w:iCs w:val="0"/>
                <w:color w:val="000000"/>
                <w:sz w:val="24"/>
                <w:szCs w:val="24"/>
                <w:highlight w:val="none"/>
                <w:u w:val="none"/>
                <w:lang w:val="en-US" w:eastAsia="zh-CN"/>
              </w:rPr>
              <w:t>增值税税率</w:t>
            </w:r>
          </w:p>
        </w:tc>
        <w:tc>
          <w:tcPr>
            <w:tcW w:w="1719" w:type="dxa"/>
            <w:tcBorders>
              <w:top w:val="single" w:color="000000" w:sz="8" w:space="0"/>
              <w:left w:val="single" w:color="000000" w:sz="4" w:space="0"/>
              <w:bottom w:val="single" w:color="000000" w:sz="4" w:space="0"/>
              <w:right w:val="single" w:color="000000" w:sz="8"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cs="宋体"/>
                <w:b/>
                <w:bCs/>
                <w:i w:val="0"/>
                <w:iCs w:val="0"/>
                <w:color w:val="000000"/>
                <w:kern w:val="0"/>
                <w:sz w:val="24"/>
                <w:szCs w:val="24"/>
                <w:highlight w:val="none"/>
                <w:u w:val="none"/>
                <w:lang w:val="en-US" w:eastAsia="zh-CN" w:bidi="ar"/>
              </w:rPr>
              <w:t>增值</w:t>
            </w:r>
            <w:r>
              <w:rPr>
                <w:rFonts w:hint="eastAsia" w:ascii="宋体" w:hAnsi="宋体" w:eastAsia="宋体" w:cs="宋体"/>
                <w:b/>
                <w:bCs/>
                <w:i w:val="0"/>
                <w:iCs w:val="0"/>
                <w:color w:val="000000"/>
                <w:kern w:val="0"/>
                <w:sz w:val="24"/>
                <w:szCs w:val="24"/>
                <w:highlight w:val="none"/>
                <w:u w:val="none"/>
                <w:lang w:val="en-US" w:eastAsia="zh-CN" w:bidi="ar"/>
              </w:rPr>
              <w:t>税金（元）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0" w:type="auto"/>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after="0" w:afterAutospacing="0"/>
              <w:ind w:left="0" w:right="0" w:firstLine="0"/>
              <w:jc w:val="center"/>
              <w:textAlignment w:val="cente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kern w:val="0"/>
                <w:sz w:val="24"/>
                <w:szCs w:val="24"/>
                <w:highlight w:val="none"/>
                <w:u w:val="none"/>
                <w:lang w:val="en-US" w:eastAsia="zh-CN" w:bidi="ar"/>
              </w:rPr>
              <w:t>南宁市白沙半岛片区城中村改造项目安置住房小区4号地块配套基础设施-纵一路设计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i w:val="0"/>
                <w:iCs w:val="0"/>
                <w:color w:val="000000"/>
                <w:sz w:val="24"/>
                <w:szCs w:val="24"/>
                <w:highlight w:val="none"/>
                <w:u w:val="none"/>
                <w:lang w:val="en-US"/>
              </w:rPr>
            </w:pPr>
            <w:r>
              <w:rPr>
                <w:rFonts w:hint="eastAsia" w:ascii="宋体" w:hAnsi="宋体" w:cs="宋体"/>
                <w:i w:val="0"/>
                <w:iCs w:val="0"/>
                <w:color w:val="000000"/>
                <w:sz w:val="24"/>
                <w:szCs w:val="24"/>
                <w:highlight w:val="none"/>
                <w:u w:val="none"/>
                <w:lang w:val="en-US" w:eastAsia="zh-CN"/>
              </w:rPr>
              <w:t>2461.46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815510.90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719" w:type="dxa"/>
            <w:tcBorders>
              <w:top w:val="single" w:color="000000" w:sz="4" w:space="0"/>
              <w:left w:val="single" w:color="000000" w:sz="4" w:space="0"/>
              <w:bottom w:val="single" w:color="000000" w:sz="4"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0" w:type="auto"/>
            <w:tcBorders>
              <w:top w:val="single" w:color="000000" w:sz="4" w:space="0"/>
              <w:left w:val="single" w:color="000000" w:sz="8"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cs="宋体"/>
                <w:b/>
                <w:bCs/>
                <w:i w:val="0"/>
                <w:iCs w:val="0"/>
                <w:color w:val="000000"/>
                <w:kern w:val="0"/>
                <w:sz w:val="24"/>
                <w:szCs w:val="24"/>
                <w:highlight w:val="none"/>
                <w:u w:val="none"/>
                <w:lang w:val="en-US" w:eastAsia="zh-CN" w:bidi="ar"/>
              </w:rPr>
              <w:t>2</w:t>
            </w: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总计</w:t>
            </w: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4"/>
                <w:szCs w:val="24"/>
                <w:highlight w:val="none"/>
                <w:u w:val="none"/>
                <w:lang w:val="en-US"/>
              </w:rPr>
            </w:pP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highlight w:val="none"/>
                <w:u w:val="none"/>
              </w:rPr>
            </w:pPr>
          </w:p>
        </w:tc>
        <w:tc>
          <w:tcPr>
            <w:tcW w:w="1776" w:type="dxa"/>
            <w:tcBorders>
              <w:top w:val="single" w:color="000000" w:sz="4" w:space="0"/>
              <w:left w:val="single" w:color="000000" w:sz="4" w:space="0"/>
              <w:bottom w:val="single" w:color="000000" w:sz="8"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highlight w:val="none"/>
                <w:u w:val="none"/>
              </w:rPr>
            </w:pPr>
          </w:p>
        </w:tc>
        <w:tc>
          <w:tcPr>
            <w:tcW w:w="1719" w:type="dxa"/>
            <w:tcBorders>
              <w:top w:val="single" w:color="000000" w:sz="4" w:space="0"/>
              <w:left w:val="single" w:color="000000" w:sz="4" w:space="0"/>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4"/>
                <w:szCs w:val="24"/>
                <w:highlight w:val="none"/>
                <w:u w:val="none"/>
              </w:rPr>
            </w:pPr>
          </w:p>
        </w:tc>
      </w:tr>
    </w:tbl>
    <w:p>
      <w:pPr>
        <w:spacing w:before="0" w:after="0" w:afterAutospacing="0"/>
        <w:ind w:left="0" w:leftChars="0" w:right="0" w:firstLine="0" w:firstLineChars="0"/>
        <w:rPr>
          <w:rFonts w:hAnsi="宋体"/>
          <w:color w:val="000000" w:themeColor="text1"/>
          <w:highlight w:val="none"/>
          <w14:textFill>
            <w14:solidFill>
              <w14:schemeClr w14:val="tx1"/>
            </w14:solidFill>
          </w14:textFill>
        </w:rPr>
      </w:pPr>
    </w:p>
    <w:p>
      <w:pPr>
        <w:numPr>
          <w:ilvl w:val="255"/>
          <w:numId w:val="0"/>
        </w:numPr>
        <w:spacing w:before="0" w:after="0" w:afterAutospacing="0" w:line="240" w:lineRule="auto"/>
        <w:ind w:right="0" w:firstLine="424" w:firstLineChars="202"/>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注</w:t>
      </w:r>
      <w:r>
        <w:rPr>
          <w:rFonts w:ascii="宋体" w:hAnsi="宋体"/>
          <w:color w:val="000000" w:themeColor="text1"/>
          <w:highlight w:val="none"/>
          <w14:textFill>
            <w14:solidFill>
              <w14:schemeClr w14:val="tx1"/>
            </w14:solidFill>
          </w14:textFill>
        </w:rPr>
        <w:t>:</w:t>
      </w:r>
    </w:p>
    <w:p>
      <w:pPr>
        <w:pStyle w:val="11"/>
        <w:keepNext w:val="0"/>
        <w:keepLines w:val="0"/>
        <w:pageBreakBefore w:val="0"/>
        <w:widowControl/>
        <w:numPr>
          <w:ilvl w:val="0"/>
          <w:numId w:val="9"/>
        </w:numPr>
        <w:kinsoku/>
        <w:wordWrap/>
        <w:overflowPunct/>
        <w:topLinePunct w:val="0"/>
        <w:autoSpaceDE/>
        <w:autoSpaceDN/>
        <w:bidi w:val="0"/>
        <w:adjustRightInd/>
        <w:snapToGrid/>
        <w:spacing w:before="0" w:line="219" w:lineRule="auto"/>
        <w:ind w:left="0" w:right="0" w:firstLine="206" w:firstLineChars="100"/>
        <w:textAlignment w:val="auto"/>
        <w:rPr>
          <w:spacing w:val="-2"/>
          <w:sz w:val="21"/>
          <w:szCs w:val="21"/>
          <w:highlight w:val="none"/>
        </w:rPr>
      </w:pPr>
      <w:r>
        <w:rPr>
          <w:spacing w:val="-2"/>
          <w:sz w:val="21"/>
          <w:szCs w:val="21"/>
          <w:highlight w:val="none"/>
        </w:rPr>
        <w:t>设计费</w:t>
      </w:r>
      <w:r>
        <w:rPr>
          <w:rFonts w:hint="eastAsia"/>
          <w:spacing w:val="-2"/>
          <w:sz w:val="21"/>
          <w:szCs w:val="21"/>
          <w:highlight w:val="none"/>
          <w:lang w:eastAsia="zh-CN"/>
        </w:rPr>
        <w:t>（</w:t>
      </w:r>
      <w:r>
        <w:rPr>
          <w:rFonts w:hint="eastAsia"/>
          <w:spacing w:val="-2"/>
          <w:sz w:val="21"/>
          <w:szCs w:val="21"/>
          <w:highlight w:val="none"/>
          <w:lang w:val="en-US" w:eastAsia="zh-CN"/>
        </w:rPr>
        <w:t>合同价含税总价</w:t>
      </w:r>
      <w:r>
        <w:rPr>
          <w:rFonts w:hint="eastAsia"/>
          <w:spacing w:val="-2"/>
          <w:sz w:val="21"/>
          <w:szCs w:val="21"/>
          <w:highlight w:val="none"/>
          <w:lang w:eastAsia="zh-CN"/>
        </w:rPr>
        <w:t>）</w:t>
      </w:r>
      <w:r>
        <w:rPr>
          <w:spacing w:val="-2"/>
          <w:sz w:val="21"/>
          <w:szCs w:val="21"/>
          <w:highlight w:val="none"/>
        </w:rPr>
        <w:t>=工程设计收费基准价×（1</w:t>
      </w:r>
      <w:r>
        <w:rPr>
          <w:rFonts w:hint="eastAsia"/>
          <w:spacing w:val="-2"/>
          <w:sz w:val="21"/>
          <w:szCs w:val="21"/>
          <w:highlight w:val="none"/>
          <w:lang w:val="en-US" w:eastAsia="zh-CN"/>
        </w:rPr>
        <w:t>-</w:t>
      </w:r>
      <w:r>
        <w:rPr>
          <w:spacing w:val="-2"/>
          <w:sz w:val="21"/>
          <w:szCs w:val="21"/>
          <w:highlight w:val="none"/>
        </w:rPr>
        <w:t>中标的下浮系数报价）【备注：本工程按《广西壮族自治区工程建设其他费用定额（桂建标[2018]37号)》、《工程勘察设计收费标准》（2002年修订版）标准，计算本工程设计收费基准价。其中工程专业调整系数取</w:t>
      </w:r>
      <w:r>
        <w:rPr>
          <w:rFonts w:hint="eastAsia"/>
          <w:spacing w:val="-2"/>
          <w:sz w:val="21"/>
          <w:szCs w:val="21"/>
          <w:highlight w:val="none"/>
          <w:lang w:val="en-US" w:eastAsia="zh-CN"/>
        </w:rPr>
        <w:t>1.0</w:t>
      </w:r>
      <w:r>
        <w:rPr>
          <w:spacing w:val="-2"/>
          <w:sz w:val="21"/>
          <w:szCs w:val="21"/>
          <w:highlight w:val="none"/>
        </w:rPr>
        <w:t>，工程复杂程度调整系数取</w:t>
      </w:r>
      <w:r>
        <w:rPr>
          <w:rFonts w:hint="eastAsia"/>
          <w:spacing w:val="-2"/>
          <w:sz w:val="21"/>
          <w:szCs w:val="21"/>
          <w:highlight w:val="none"/>
          <w:lang w:val="en-US" w:eastAsia="zh-CN"/>
        </w:rPr>
        <w:t>1.0</w:t>
      </w:r>
      <w:r>
        <w:rPr>
          <w:spacing w:val="-2"/>
          <w:sz w:val="21"/>
          <w:szCs w:val="21"/>
          <w:highlight w:val="none"/>
        </w:rPr>
        <w:t>，附加调整系数</w:t>
      </w:r>
      <w:r>
        <w:rPr>
          <w:rFonts w:hint="eastAsia"/>
          <w:spacing w:val="-2"/>
          <w:sz w:val="21"/>
          <w:szCs w:val="21"/>
          <w:highlight w:val="none"/>
          <w:lang w:val="en-US" w:eastAsia="zh-CN"/>
        </w:rPr>
        <w:t>1.0</w:t>
      </w:r>
      <w:r>
        <w:rPr>
          <w:spacing w:val="-2"/>
          <w:sz w:val="21"/>
          <w:szCs w:val="21"/>
          <w:highlight w:val="none"/>
        </w:rPr>
        <w:t>，施工图预算编制费按</w:t>
      </w:r>
      <w:r>
        <w:rPr>
          <w:rFonts w:hint="eastAsia"/>
          <w:spacing w:val="-2"/>
          <w:sz w:val="21"/>
          <w:szCs w:val="21"/>
          <w:highlight w:val="none"/>
          <w:lang w:val="en-US" w:eastAsia="zh-CN"/>
        </w:rPr>
        <w:t>5%</w:t>
      </w:r>
      <w:r>
        <w:rPr>
          <w:spacing w:val="-2"/>
          <w:sz w:val="21"/>
          <w:szCs w:val="21"/>
          <w:highlight w:val="none"/>
        </w:rPr>
        <w:t>收取，该费用已经包含方案设计、初步设计（投资概算）、施工图（含预算）、工程概算编制、规划技术审查费用的相关设 计服务及按上述合同条件、技术规范以中标下浮系数承包本项目招标范围内的设计工作的所有 内容费用及相关服务。</w:t>
      </w:r>
    </w:p>
    <w:p>
      <w:pPr>
        <w:pStyle w:val="11"/>
        <w:keepNext w:val="0"/>
        <w:keepLines w:val="0"/>
        <w:pageBreakBefore w:val="0"/>
        <w:widowControl/>
        <w:numPr>
          <w:ilvl w:val="0"/>
          <w:numId w:val="9"/>
        </w:numPr>
        <w:kinsoku/>
        <w:wordWrap/>
        <w:overflowPunct/>
        <w:topLinePunct w:val="0"/>
        <w:autoSpaceDE/>
        <w:autoSpaceDN/>
        <w:bidi w:val="0"/>
        <w:adjustRightInd/>
        <w:snapToGrid/>
        <w:spacing w:before="0" w:line="219" w:lineRule="auto"/>
        <w:ind w:left="0" w:right="0" w:firstLine="210" w:firstLineChars="100"/>
        <w:textAlignment w:val="auto"/>
        <w:rPr>
          <w:spacing w:val="-2"/>
          <w:sz w:val="21"/>
          <w:szCs w:val="21"/>
          <w:highlight w:val="none"/>
        </w:rPr>
      </w:pPr>
      <w:r>
        <w:rPr>
          <w:sz w:val="21"/>
          <w:szCs w:val="21"/>
          <w:highlight w:val="none"/>
        </w:rPr>
        <w:t>工程设计费结算时间为项目竣工验收合格后，工程设计费结算最终的计费基价以批复的</w:t>
      </w:r>
      <w:r>
        <w:rPr>
          <w:rFonts w:hint="eastAsia"/>
          <w:sz w:val="21"/>
          <w:szCs w:val="21"/>
          <w:highlight w:val="none"/>
          <w:lang w:val="en-US" w:eastAsia="zh-CN"/>
        </w:rPr>
        <w:t>工程可行性研究对应估算建安投资</w:t>
      </w:r>
      <w:r>
        <w:rPr>
          <w:sz w:val="21"/>
          <w:szCs w:val="21"/>
          <w:highlight w:val="none"/>
        </w:rPr>
        <w:t>根据上述收费标准确定，最终结算价按国家及南宁市有关规定执行审定后为准。</w:t>
      </w:r>
    </w:p>
    <w:p>
      <w:pPr>
        <w:numPr>
          <w:ilvl w:val="0"/>
          <w:numId w:val="9"/>
        </w:numPr>
        <w:spacing w:before="0" w:after="0" w:afterAutospacing="0" w:line="340" w:lineRule="exact"/>
        <w:ind w:left="0" w:leftChars="0" w:right="0" w:firstLine="206" w:firstLineChars="100"/>
        <w:rPr>
          <w:rFonts w:hint="eastAsia" w:ascii="Times New Roman" w:hAnsi="Times New Roman" w:eastAsia="宋体" w:cs="Times New Roman"/>
          <w:spacing w:val="-2"/>
          <w:sz w:val="21"/>
          <w:szCs w:val="21"/>
          <w:highlight w:val="none"/>
          <w:lang w:val="en-US" w:eastAsia="zh-CN" w:bidi="ar-SA"/>
        </w:rPr>
      </w:pPr>
      <w:r>
        <w:rPr>
          <w:rFonts w:ascii="Times New Roman" w:hAnsi="Times New Roman" w:eastAsia="宋体" w:cs="Times New Roman"/>
          <w:spacing w:val="-2"/>
          <w:sz w:val="21"/>
          <w:szCs w:val="21"/>
          <w:highlight w:val="none"/>
          <w:lang w:val="en-US" w:eastAsia="zh-CN" w:bidi="ar-SA"/>
        </w:rPr>
        <w:t>本项目的有效报价范围为：</w:t>
      </w:r>
      <w:r>
        <w:rPr>
          <w:rFonts w:hint="eastAsia" w:cs="Times New Roman"/>
          <w:spacing w:val="-2"/>
          <w:sz w:val="21"/>
          <w:szCs w:val="21"/>
          <w:highlight w:val="none"/>
          <w:lang w:val="en-US" w:eastAsia="zh-CN" w:bidi="ar-SA"/>
        </w:rPr>
        <w:t>25</w:t>
      </w:r>
      <w:r>
        <w:rPr>
          <w:rFonts w:hint="eastAsia" w:ascii="Times New Roman" w:hAnsi="Times New Roman" w:eastAsia="宋体" w:cs="Times New Roman"/>
          <w:spacing w:val="-2"/>
          <w:sz w:val="21"/>
          <w:szCs w:val="21"/>
          <w:highlight w:val="none"/>
          <w:lang w:val="en-US" w:eastAsia="zh-CN" w:bidi="ar-SA"/>
        </w:rPr>
        <w:t>%≤下浮系数≤100%</w:t>
      </w:r>
    </w:p>
    <w:p>
      <w:pPr>
        <w:numPr>
          <w:ilvl w:val="0"/>
          <w:numId w:val="9"/>
        </w:numPr>
        <w:spacing w:before="0" w:after="0" w:afterAutospacing="0" w:line="340" w:lineRule="exact"/>
        <w:ind w:left="0" w:leftChars="0" w:right="0" w:firstLine="210" w:firstLineChars="100"/>
        <w:rPr>
          <w:rFonts w:ascii="宋体" w:hAnsi="宋体"/>
          <w:color w:val="000000" w:themeColor="text1"/>
          <w:highlight w:val="none"/>
          <w14:textFill>
            <w14:solidFill>
              <w14:schemeClr w14:val="tx1"/>
            </w14:solidFill>
          </w14:textFill>
        </w:rPr>
      </w:pPr>
      <w:r>
        <w:rPr>
          <w:rFonts w:hint="eastAsia" w:ascii="宋体" w:hAnsi="宋体"/>
          <w:bCs/>
          <w:color w:val="000000" w:themeColor="text1"/>
          <w:highlight w:val="none"/>
          <w14:textFill>
            <w14:solidFill>
              <w14:schemeClr w14:val="tx1"/>
            </w14:solidFill>
          </w14:textFill>
        </w:rPr>
        <w:t>比选申请人在填报比选报价时，应充分考虑合同实施过程中因人力成本的增加、材料的价格上涨、国家宏观调控、经济环境变化等因素所产生费用的增加。比选文件中要求列入的费用（含配置、功能）。</w:t>
      </w:r>
    </w:p>
    <w:p>
      <w:pPr>
        <w:spacing w:before="0" w:after="0" w:afterAutospacing="0"/>
        <w:ind w:left="0" w:right="0" w:firstLine="420" w:firstLineChars="200"/>
        <w:rPr>
          <w:rFonts w:hAnsi="宋体"/>
          <w:color w:val="000000" w:themeColor="text1"/>
          <w:highlight w:val="none"/>
          <w14:textFill>
            <w14:solidFill>
              <w14:schemeClr w14:val="tx1"/>
            </w14:solidFill>
          </w14:textFill>
        </w:rPr>
      </w:pPr>
    </w:p>
    <w:p>
      <w:pPr>
        <w:snapToGrid w:val="0"/>
        <w:spacing w:before="0" w:after="0" w:afterAutospacing="0" w:line="400" w:lineRule="exact"/>
        <w:ind w:left="0" w:right="0" w:firstLine="426"/>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w:t>
      </w:r>
      <w:r>
        <w:rPr>
          <w:rFonts w:ascii="宋体" w:hAnsi="宋体"/>
          <w:color w:val="000000" w:themeColor="text1"/>
          <w:highlight w:val="none"/>
          <w14:textFill>
            <w14:solidFill>
              <w14:schemeClr w14:val="tx1"/>
            </w14:solidFill>
          </w14:textFill>
        </w:rPr>
        <w:t>人</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u w:val="single"/>
          <w14:textFill>
            <w14:solidFill>
              <w14:schemeClr w14:val="tx1"/>
            </w14:solidFill>
          </w14:textFill>
        </w:rPr>
        <w:t xml:space="preserve"> </w:t>
      </w:r>
      <w:r>
        <w:rPr>
          <w:rFonts w:hint="eastAsia" w:ascii="宋体" w:hAnsi="宋体" w:cs="Arial"/>
          <w:color w:val="000000" w:themeColor="text1"/>
          <w:highlight w:val="none"/>
          <w:u w:val="single"/>
          <w14:textFill>
            <w14:solidFill>
              <w14:schemeClr w14:val="tx1"/>
            </w14:solidFill>
          </w14:textFill>
        </w:rPr>
        <w:t>（填写）</w:t>
      </w:r>
      <w:r>
        <w:rPr>
          <w:rFonts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u w:val="single"/>
          <w14:textFill>
            <w14:solidFill>
              <w14:schemeClr w14:val="tx1"/>
            </w14:solidFill>
          </w14:textFill>
        </w:rPr>
        <w:t>盖单位公章</w:t>
      </w:r>
      <w:r>
        <w:rPr>
          <w:rFonts w:ascii="宋体" w:hAnsi="宋体"/>
          <w:color w:val="000000" w:themeColor="text1"/>
          <w:highlight w:val="none"/>
          <w:u w:val="single"/>
          <w14:textFill>
            <w14:solidFill>
              <w14:schemeClr w14:val="tx1"/>
            </w14:solidFill>
          </w14:textFill>
        </w:rPr>
        <w:t>)</w:t>
      </w:r>
    </w:p>
    <w:p>
      <w:pPr>
        <w:snapToGrid w:val="0"/>
        <w:spacing w:before="0" w:after="0" w:afterAutospacing="0" w:line="400" w:lineRule="exact"/>
        <w:ind w:left="0" w:right="0" w:firstLine="426"/>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法定代表人（或委托代理人）：</w:t>
      </w:r>
      <w:r>
        <w:rPr>
          <w:rFonts w:ascii="宋体" w:hAnsi="宋体"/>
          <w:color w:val="000000" w:themeColor="text1"/>
          <w:highlight w:val="none"/>
          <w:u w:val="single"/>
          <w14:textFill>
            <w14:solidFill>
              <w14:schemeClr w14:val="tx1"/>
            </w14:solidFill>
          </w14:textFill>
        </w:rPr>
        <w:t>(签字</w:t>
      </w:r>
      <w:r>
        <w:rPr>
          <w:rFonts w:hint="eastAsia" w:ascii="宋体" w:hAnsi="宋体"/>
          <w:color w:val="000000" w:themeColor="text1"/>
          <w:highlight w:val="none"/>
          <w:u w:val="single"/>
          <w14:textFill>
            <w14:solidFill>
              <w14:schemeClr w14:val="tx1"/>
            </w14:solidFill>
          </w14:textFill>
        </w:rPr>
        <w:t>或盖章</w:t>
      </w:r>
      <w:r>
        <w:rPr>
          <w:rFonts w:ascii="宋体" w:hAnsi="宋体"/>
          <w:color w:val="000000" w:themeColor="text1"/>
          <w:highlight w:val="none"/>
          <w:u w:val="single"/>
          <w14:textFill>
            <w14:solidFill>
              <w14:schemeClr w14:val="tx1"/>
            </w14:solidFill>
          </w14:textFill>
        </w:rPr>
        <w:t>)</w:t>
      </w:r>
    </w:p>
    <w:p>
      <w:pPr>
        <w:pStyle w:val="32"/>
        <w:ind w:firstLine="482"/>
        <w:rPr>
          <w:rFonts w:ascii="宋体" w:hAnsi="宋体"/>
          <w:b/>
          <w:color w:val="000000" w:themeColor="text1"/>
          <w:szCs w:val="24"/>
          <w:highlight w:val="none"/>
          <w14:textFill>
            <w14:solidFill>
              <w14:schemeClr w14:val="tx1"/>
            </w14:solidFill>
          </w14:textFill>
        </w:rPr>
      </w:pPr>
    </w:p>
    <w:p>
      <w:pPr>
        <w:pStyle w:val="33"/>
        <w:ind w:left="0" w:leftChars="0" w:firstLine="0" w:firstLineChars="0"/>
        <w:sectPr>
          <w:pgSz w:w="16838" w:h="11905" w:orient="landscape"/>
          <w:pgMar w:top="1418" w:right="1418" w:bottom="1418" w:left="1304" w:header="454" w:footer="567" w:gutter="0"/>
          <w:cols w:space="720" w:num="1"/>
          <w:docGrid w:linePitch="312" w:charSpace="0"/>
        </w:sectPr>
      </w:pPr>
    </w:p>
    <w:p>
      <w:pPr>
        <w:pStyle w:val="32"/>
        <w:ind w:left="0" w:leftChars="0" w:firstLine="0" w:firstLineChars="0"/>
        <w:rPr>
          <w:rFonts w:ascii="宋体" w:hAnsi="宋体"/>
          <w:b/>
          <w:color w:val="000000" w:themeColor="text1"/>
          <w:szCs w:val="24"/>
          <w:highlight w:val="none"/>
          <w14:textFill>
            <w14:solidFill>
              <w14:schemeClr w14:val="tx1"/>
            </w14:solidFill>
          </w14:textFill>
        </w:rPr>
      </w:pPr>
    </w:p>
    <w:p>
      <w:pPr>
        <w:pStyle w:val="3"/>
        <w:tabs>
          <w:tab w:val="left" w:pos="567"/>
          <w:tab w:val="left" w:pos="720"/>
        </w:tabs>
        <w:snapToGrid w:val="0"/>
        <w:spacing w:after="0" w:line="360" w:lineRule="auto"/>
        <w:ind w:right="0"/>
        <w:jc w:val="left"/>
        <w:rPr>
          <w:rFonts w:ascii="宋体" w:hAnsi="宋体" w:eastAsia="宋体" w:cs="Arial"/>
          <w:color w:val="000000" w:themeColor="text1"/>
          <w:highlight w:val="none"/>
          <w14:textFill>
            <w14:solidFill>
              <w14:schemeClr w14:val="tx1"/>
            </w14:solidFill>
          </w14:textFill>
        </w:rPr>
      </w:pPr>
      <w:bookmarkStart w:id="1337" w:name="_Toc61680485"/>
      <w:bookmarkStart w:id="1338" w:name="_Toc68859063"/>
      <w:bookmarkStart w:id="1339" w:name="_Toc110413986"/>
      <w:bookmarkStart w:id="1340" w:name="_Toc58124833"/>
      <w:bookmarkStart w:id="1341" w:name="_Toc27888"/>
      <w:bookmarkStart w:id="1342" w:name="_Toc10260"/>
      <w:bookmarkStart w:id="1343" w:name="_Toc14503"/>
      <w:bookmarkStart w:id="1344" w:name="_Toc6833"/>
      <w:bookmarkStart w:id="1345" w:name="_Toc20737"/>
      <w:bookmarkStart w:id="1346" w:name="_Toc6270"/>
      <w:bookmarkStart w:id="1347" w:name="_Toc414290527"/>
      <w:bookmarkStart w:id="1348" w:name="_Toc12983553"/>
      <w:bookmarkStart w:id="1349" w:name="_Toc30580"/>
      <w:bookmarkStart w:id="1350" w:name="_Toc2257"/>
      <w:bookmarkStart w:id="1351" w:name="_Toc25750681"/>
      <w:bookmarkStart w:id="1352" w:name="_Toc14859"/>
      <w:bookmarkStart w:id="1353" w:name="_Toc375564356"/>
      <w:bookmarkStart w:id="1354" w:name="_Toc17112"/>
      <w:bookmarkStart w:id="1355" w:name="_Toc32224"/>
      <w:bookmarkStart w:id="1356" w:name="_Toc15419"/>
      <w:bookmarkStart w:id="1357" w:name="_Toc11065"/>
      <w:bookmarkStart w:id="1358" w:name="_Toc20864"/>
      <w:bookmarkStart w:id="1359" w:name="_Toc12984813"/>
      <w:bookmarkStart w:id="1360" w:name="_Toc21109"/>
      <w:bookmarkStart w:id="1361" w:name="_Toc25869"/>
      <w:bookmarkStart w:id="1362" w:name="_Toc492478809"/>
      <w:bookmarkStart w:id="1363" w:name="_Toc29702"/>
      <w:bookmarkStart w:id="1364" w:name="_Toc4976"/>
      <w:bookmarkStart w:id="1365" w:name="_Toc114134669"/>
      <w:bookmarkStart w:id="1366" w:name="_Toc8713"/>
      <w:bookmarkStart w:id="1367" w:name="_Toc2585"/>
      <w:bookmarkStart w:id="1368" w:name="_Toc241920153"/>
      <w:r>
        <w:rPr>
          <w:rFonts w:ascii="宋体" w:hAnsi="宋体" w:eastAsia="宋体"/>
          <w:color w:val="000000" w:themeColor="text1"/>
          <w:sz w:val="21"/>
          <w:szCs w:val="21"/>
          <w:highlight w:val="none"/>
          <w14:textFill>
            <w14:solidFill>
              <w14:schemeClr w14:val="tx1"/>
            </w14:solidFill>
          </w14:textFill>
        </w:rPr>
        <w:t>B2比选申请</w:t>
      </w:r>
      <w:bookmarkEnd w:id="1337"/>
      <w:bookmarkEnd w:id="1338"/>
      <w:bookmarkEnd w:id="1339"/>
      <w:bookmarkEnd w:id="1340"/>
      <w:r>
        <w:rPr>
          <w:rFonts w:ascii="宋体" w:hAnsi="宋体" w:eastAsia="宋体"/>
          <w:color w:val="000000" w:themeColor="text1"/>
          <w:sz w:val="21"/>
          <w:szCs w:val="21"/>
          <w:highlight w:val="none"/>
          <w14:textFill>
            <w14:solidFill>
              <w14:schemeClr w14:val="tx1"/>
            </w14:solidFill>
          </w14:textFill>
        </w:rPr>
        <w:t>函格式</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pPr>
        <w:spacing w:before="0" w:after="0" w:afterAutospacing="0"/>
        <w:ind w:right="0" w:firstLine="0"/>
        <w:jc w:val="center"/>
        <w:rPr>
          <w:rFonts w:ascii="宋体" w:hAnsi="宋体"/>
          <w:b/>
          <w:color w:val="000000" w:themeColor="text1"/>
          <w:sz w:val="32"/>
          <w:szCs w:val="32"/>
          <w:highlight w:val="none"/>
          <w14:textFill>
            <w14:solidFill>
              <w14:schemeClr w14:val="tx1"/>
            </w14:solidFill>
          </w14:textFill>
        </w:rPr>
      </w:pPr>
      <w:r>
        <w:rPr>
          <w:rFonts w:ascii="宋体" w:hAnsi="宋体"/>
          <w:b/>
          <w:color w:val="000000" w:themeColor="text1"/>
          <w:sz w:val="32"/>
          <w:szCs w:val="32"/>
          <w:highlight w:val="none"/>
          <w14:textFill>
            <w14:solidFill>
              <w14:schemeClr w14:val="tx1"/>
            </w14:solidFill>
          </w14:textFill>
        </w:rPr>
        <w:t>比选申请函</w:t>
      </w:r>
    </w:p>
    <w:p>
      <w:pPr>
        <w:spacing w:before="0" w:after="0" w:afterAutospacing="0"/>
        <w:ind w:left="0" w:right="0" w:firstLine="0"/>
        <w:rPr>
          <w:rFonts w:hint="eastAsia" w:ascii="宋体" w:hAnsi="宋体" w:eastAsia="宋体"/>
          <w:color w:val="000000" w:themeColor="text1"/>
          <w:highlight w:val="none"/>
          <w:lang w:eastAsia="zh-CN"/>
          <w14:textFill>
            <w14:solidFill>
              <w14:schemeClr w14:val="tx1"/>
            </w14:solidFill>
          </w14:textFill>
        </w:rPr>
      </w:pPr>
      <w:r>
        <w:rPr>
          <w:rFonts w:ascii="宋体" w:hAnsi="宋体"/>
          <w:color w:val="000000" w:themeColor="text1"/>
          <w:highlight w:val="none"/>
          <w14:textFill>
            <w14:solidFill>
              <w14:schemeClr w14:val="tx1"/>
            </w14:solidFill>
          </w14:textFill>
        </w:rPr>
        <w:t>致：</w:t>
      </w:r>
      <w:r>
        <w:rPr>
          <w:rFonts w:hint="eastAsia" w:ascii="宋体" w:hAnsi="宋体"/>
          <w:color w:val="000000" w:themeColor="text1"/>
          <w:highlight w:val="none"/>
          <w:lang w:eastAsia="zh-CN"/>
          <w14:textFill>
            <w14:solidFill>
              <w14:schemeClr w14:val="tx1"/>
            </w14:solidFill>
          </w14:textFill>
        </w:rPr>
        <w:t>南宁兴邕城市更新有限责任公司</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根据贵方为</w:t>
      </w:r>
      <w:r>
        <w:rPr>
          <w:rFonts w:hint="eastAsia" w:ascii="宋体" w:hAnsi="宋体"/>
          <w:color w:val="000000" w:themeColor="text1"/>
          <w:highlight w:val="none"/>
          <w14:textFill>
            <w14:solidFill>
              <w14:schemeClr w14:val="tx1"/>
            </w14:solidFill>
          </w14:textFill>
        </w:rPr>
        <w:t>采购项目</w:t>
      </w:r>
      <w:r>
        <w:rPr>
          <w:rFonts w:ascii="宋体" w:hAnsi="宋体"/>
          <w:color w:val="000000" w:themeColor="text1"/>
          <w:highlight w:val="none"/>
          <w14:textFill>
            <w14:solidFill>
              <w14:schemeClr w14:val="tx1"/>
            </w14:solidFill>
          </w14:textFill>
        </w:rPr>
        <w:t>比选申请邀请，签字人</w:t>
      </w:r>
      <w:r>
        <w:rPr>
          <w:rFonts w:ascii="宋体" w:hAnsi="宋体"/>
          <w:color w:val="000000" w:themeColor="text1"/>
          <w:highlight w:val="none"/>
          <w:u w:val="single"/>
          <w14:textFill>
            <w14:solidFill>
              <w14:schemeClr w14:val="tx1"/>
            </w14:solidFill>
          </w14:textFill>
        </w:rPr>
        <w:t>(全名、职务)</w:t>
      </w:r>
      <w:r>
        <w:rPr>
          <w:rFonts w:ascii="宋体" w:hAnsi="宋体"/>
          <w:color w:val="000000" w:themeColor="text1"/>
          <w:highlight w:val="none"/>
          <w14:textFill>
            <w14:solidFill>
              <w14:schemeClr w14:val="tx1"/>
            </w14:solidFill>
          </w14:textFill>
        </w:rPr>
        <w:t>经正式授权并代表比选申请人</w:t>
      </w:r>
      <w:r>
        <w:rPr>
          <w:rFonts w:ascii="宋体" w:hAnsi="宋体"/>
          <w:color w:val="000000" w:themeColor="text1"/>
          <w:highlight w:val="none"/>
          <w:u w:val="single"/>
          <w14:textFill>
            <w14:solidFill>
              <w14:schemeClr w14:val="tx1"/>
            </w14:solidFill>
          </w14:textFill>
        </w:rPr>
        <w:t>（比选申请人名称、地址）</w:t>
      </w:r>
      <w:r>
        <w:rPr>
          <w:rFonts w:ascii="宋体" w:hAnsi="宋体"/>
          <w:color w:val="000000" w:themeColor="text1"/>
          <w:highlight w:val="none"/>
          <w14:textFill>
            <w14:solidFill>
              <w14:schemeClr w14:val="tx1"/>
            </w14:solidFill>
          </w14:textFill>
        </w:rPr>
        <w:t>提交</w:t>
      </w:r>
      <w:r>
        <w:rPr>
          <w:rFonts w:hint="eastAsia" w:ascii="宋体" w:hAnsi="宋体"/>
          <w:color w:val="000000" w:themeColor="text1"/>
          <w:highlight w:val="none"/>
          <w14:textFill>
            <w14:solidFill>
              <w14:schemeClr w14:val="tx1"/>
            </w14:solidFill>
          </w14:textFill>
        </w:rPr>
        <w:t>比选申请文件</w:t>
      </w:r>
      <w:r>
        <w:rPr>
          <w:rFonts w:ascii="宋体" w:hAnsi="宋体"/>
          <w:color w:val="000000" w:themeColor="text1"/>
          <w:highlight w:val="none"/>
          <w14:textFill>
            <w14:solidFill>
              <w14:schemeClr w14:val="tx1"/>
            </w14:solidFill>
          </w14:textFill>
        </w:rPr>
        <w:t>正本</w:t>
      </w:r>
      <w:r>
        <w:rPr>
          <w:rFonts w:ascii="宋体" w:hAnsi="宋体"/>
          <w:color w:val="000000" w:themeColor="text1"/>
          <w:highlight w:val="none"/>
          <w:u w:val="single"/>
          <w14:textFill>
            <w14:solidFill>
              <w14:schemeClr w14:val="tx1"/>
            </w14:solidFill>
          </w14:textFill>
        </w:rPr>
        <w:t>1</w:t>
      </w:r>
      <w:r>
        <w:rPr>
          <w:rFonts w:ascii="宋体" w:hAnsi="宋体"/>
          <w:color w:val="000000" w:themeColor="text1"/>
          <w:highlight w:val="none"/>
          <w14:textFill>
            <w14:solidFill>
              <w14:schemeClr w14:val="tx1"/>
            </w14:solidFill>
          </w14:textFill>
        </w:rPr>
        <w:t>份、副本</w:t>
      </w:r>
      <w:r>
        <w:rPr>
          <w:rFonts w:hint="eastAsia" w:ascii="宋体" w:hAnsi="宋体"/>
          <w:color w:val="000000" w:themeColor="text1"/>
          <w:highlight w:val="none"/>
          <w:u w:val="single"/>
          <w:lang w:val="en-US" w:eastAsia="zh-CN"/>
          <w14:textFill>
            <w14:solidFill>
              <w14:schemeClr w14:val="tx1"/>
            </w14:solidFill>
          </w14:textFill>
        </w:rPr>
        <w:t>4</w:t>
      </w:r>
      <w:r>
        <w:rPr>
          <w:rFonts w:ascii="宋体" w:hAnsi="宋体"/>
          <w:color w:val="000000" w:themeColor="text1"/>
          <w:highlight w:val="none"/>
          <w14:textFill>
            <w14:solidFill>
              <w14:schemeClr w14:val="tx1"/>
            </w14:solidFill>
          </w14:textFill>
        </w:rPr>
        <w:t>份及电子文件</w:t>
      </w:r>
      <w:r>
        <w:rPr>
          <w:rFonts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u w:val="single"/>
          <w:lang w:val="en-US" w:eastAsia="zh-CN"/>
          <w14:textFill>
            <w14:solidFill>
              <w14:schemeClr w14:val="tx1"/>
            </w14:solidFill>
          </w14:textFill>
        </w:rPr>
        <w:t>1</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份（U盘）。</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据此，签字人宣布同意如下：</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bookmarkStart w:id="1369" w:name="_Toc375564357"/>
      <w:r>
        <w:rPr>
          <w:rFonts w:ascii="宋体" w:hAnsi="宋体"/>
          <w:color w:val="000000" w:themeColor="text1"/>
          <w:highlight w:val="none"/>
          <w14:textFill>
            <w14:solidFill>
              <w14:schemeClr w14:val="tx1"/>
            </w14:solidFill>
          </w14:textFill>
        </w:rPr>
        <w:t>1. 按比选文件要求规定的应提交和交付的服务并履行全部合同义务的比选申请</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总价如本比选申请文件</w:t>
      </w:r>
      <w:r>
        <w:rPr>
          <w:rFonts w:hint="eastAsia" w:ascii="宋体" w:hAnsi="宋体"/>
          <w:color w:val="000000" w:themeColor="text1"/>
          <w:highlight w:val="none"/>
          <w14:textFill>
            <w14:solidFill>
              <w14:schemeClr w14:val="tx1"/>
            </w14:solidFill>
          </w14:textFill>
        </w:rPr>
        <w:t>价格文件</w:t>
      </w:r>
      <w:r>
        <w:rPr>
          <w:rFonts w:ascii="宋体" w:hAnsi="宋体"/>
          <w:color w:val="000000" w:themeColor="text1"/>
          <w:highlight w:val="none"/>
          <w14:textFill>
            <w14:solidFill>
              <w14:schemeClr w14:val="tx1"/>
            </w14:solidFill>
          </w14:textFill>
        </w:rPr>
        <w:t>“比选申请报价一览表”所述。</w:t>
      </w:r>
      <w:bookmarkEnd w:id="1369"/>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.按比选文件的规定履行合同责任和义务。</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ascii="宋体" w:hAnsi="宋体"/>
          <w:color w:val="000000" w:themeColor="text1"/>
          <w:highlight w:val="none"/>
          <w14:textFill>
            <w14:solidFill>
              <w14:schemeClr w14:val="tx1"/>
            </w14:solidFill>
          </w14:textFill>
        </w:rPr>
        <w:t>.已详细审查全部比选文件，包括修改文件（如有的话）以及全部接口资料和有关附件。我们完全理解并同意放弃对这方面有不明及误解的权利。</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w:t>
      </w:r>
      <w:r>
        <w:rPr>
          <w:rFonts w:ascii="宋体" w:hAnsi="宋体"/>
          <w:color w:val="000000" w:themeColor="text1"/>
          <w:highlight w:val="none"/>
          <w14:textFill>
            <w14:solidFill>
              <w14:schemeClr w14:val="tx1"/>
            </w14:solidFill>
          </w14:textFill>
        </w:rPr>
        <w:t>.本比选申请有效期为比选申请截止日起</w:t>
      </w:r>
      <w:r>
        <w:rPr>
          <w:rFonts w:hint="eastAsia" w:ascii="宋体" w:hAnsi="宋体"/>
          <w:b/>
          <w:color w:val="000000" w:themeColor="text1"/>
          <w:highlight w:val="none"/>
          <w:u w:val="single"/>
          <w14:textFill>
            <w14:solidFill>
              <w14:schemeClr w14:val="tx1"/>
            </w14:solidFill>
          </w14:textFill>
        </w:rPr>
        <w:t>（备注：与前附表一致）</w:t>
      </w:r>
      <w:r>
        <w:rPr>
          <w:rFonts w:ascii="宋体" w:hAnsi="宋体"/>
          <w:color w:val="000000" w:themeColor="text1"/>
          <w:highlight w:val="none"/>
          <w14:textFill>
            <w14:solidFill>
              <w14:schemeClr w14:val="tx1"/>
            </w14:solidFill>
          </w14:textFill>
        </w:rPr>
        <w:t>日历天内。</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5</w:t>
      </w:r>
      <w:r>
        <w:rPr>
          <w:rFonts w:ascii="宋体" w:hAnsi="宋体"/>
          <w:color w:val="000000" w:themeColor="text1"/>
          <w:highlight w:val="none"/>
          <w14:textFill>
            <w14:solidFill>
              <w14:schemeClr w14:val="tx1"/>
            </w14:solidFill>
          </w14:textFill>
        </w:rPr>
        <w:t>.如果在规定的</w:t>
      </w:r>
      <w:r>
        <w:rPr>
          <w:rFonts w:hint="eastAsia" w:ascii="宋体" w:hAnsi="宋体"/>
          <w:color w:val="000000" w:themeColor="text1"/>
          <w:highlight w:val="none"/>
          <w14:textFill>
            <w14:solidFill>
              <w14:schemeClr w14:val="tx1"/>
            </w14:solidFill>
          </w14:textFill>
        </w:rPr>
        <w:t>比选文件递交</w:t>
      </w:r>
      <w:r>
        <w:rPr>
          <w:rFonts w:ascii="宋体" w:hAnsi="宋体"/>
          <w:color w:val="000000" w:themeColor="text1"/>
          <w:highlight w:val="none"/>
          <w14:textFill>
            <w14:solidFill>
              <w14:schemeClr w14:val="tx1"/>
            </w14:solidFill>
          </w14:textFill>
        </w:rPr>
        <w:t>时间后，</w:t>
      </w:r>
      <w:r>
        <w:rPr>
          <w:rFonts w:hint="eastAsia" w:ascii="宋体" w:hAnsi="宋体"/>
          <w:color w:val="000000" w:themeColor="text1"/>
          <w:highlight w:val="none"/>
          <w14:textFill>
            <w14:solidFill>
              <w14:schemeClr w14:val="tx1"/>
            </w14:solidFill>
          </w14:textFill>
        </w:rPr>
        <w:t>我公司</w:t>
      </w:r>
      <w:r>
        <w:rPr>
          <w:rFonts w:ascii="宋体" w:hAnsi="宋体"/>
          <w:color w:val="000000" w:themeColor="text1"/>
          <w:highlight w:val="none"/>
          <w14:textFill>
            <w14:solidFill>
              <w14:schemeClr w14:val="tx1"/>
            </w14:solidFill>
          </w14:textFill>
        </w:rPr>
        <w:t>在比选申请有效期内撤销比选申请，</w:t>
      </w:r>
      <w:r>
        <w:rPr>
          <w:rFonts w:hint="eastAsia" w:ascii="宋体" w:hAnsi="宋体"/>
          <w:color w:val="000000" w:themeColor="text1"/>
          <w:highlight w:val="none"/>
          <w14:textFill>
            <w14:solidFill>
              <w14:schemeClr w14:val="tx1"/>
            </w14:solidFill>
          </w14:textFill>
        </w:rPr>
        <w:t>所造成的损失我公司承担</w:t>
      </w:r>
      <w:r>
        <w:rPr>
          <w:rFonts w:ascii="宋体" w:hAnsi="宋体"/>
          <w:color w:val="000000" w:themeColor="text1"/>
          <w:highlight w:val="none"/>
          <w14:textFill>
            <w14:solidFill>
              <w14:schemeClr w14:val="tx1"/>
            </w14:solidFill>
          </w14:textFill>
        </w:rPr>
        <w:t>。</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w:t>
      </w:r>
      <w:r>
        <w:rPr>
          <w:rFonts w:ascii="宋体" w:hAnsi="宋体"/>
          <w:color w:val="000000" w:themeColor="text1"/>
          <w:highlight w:val="none"/>
          <w14:textFill>
            <w14:solidFill>
              <w14:schemeClr w14:val="tx1"/>
            </w14:solidFill>
          </w14:textFill>
        </w:rPr>
        <w:t>.同意按照贵方的要求提供与本比选申请有关的一切数据或资料，完全理解贵方不一定要接受最低价的比选申请或收到的任何比选申请。</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7</w:t>
      </w:r>
      <w:r>
        <w:rPr>
          <w:rFonts w:ascii="宋体" w:hAnsi="宋体"/>
          <w:color w:val="000000" w:themeColor="text1"/>
          <w:highlight w:val="none"/>
          <w14:textFill>
            <w14:solidFill>
              <w14:schemeClr w14:val="tx1"/>
            </w14:solidFill>
          </w14:textFill>
        </w:rPr>
        <w:t xml:space="preserve">. </w:t>
      </w:r>
      <w:r>
        <w:rPr>
          <w:rFonts w:hint="eastAsia" w:ascii="宋体" w:hAnsi="宋体"/>
          <w:b/>
          <w:color w:val="000000" w:themeColor="text1"/>
          <w:highlight w:val="none"/>
          <w14:textFill>
            <w14:solidFill>
              <w14:schemeClr w14:val="tx1"/>
            </w14:solidFill>
          </w14:textFill>
        </w:rPr>
        <w:t>本项目采用不含税报价进行商务评审，含税报价为合同暂定价，合同的最终税金在结算阶段，按实际产生的税金进行核算，但合同不含税价格不因国家税率调整而调整。</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8</w:t>
      </w:r>
      <w:r>
        <w:rPr>
          <w:rFonts w:ascii="宋体" w:hAnsi="宋体"/>
          <w:color w:val="000000" w:themeColor="text1"/>
          <w:highlight w:val="none"/>
          <w14:textFill>
            <w14:solidFill>
              <w14:schemeClr w14:val="tx1"/>
            </w14:solidFill>
          </w14:textFill>
        </w:rPr>
        <w:t>.与本比选申请有关的一切正式往来通讯请发往：</w:t>
      </w:r>
      <w:r>
        <w:rPr>
          <w:rFonts w:ascii="宋体" w:hAnsi="宋体"/>
          <w:color w:val="000000" w:themeColor="text1"/>
          <w:highlight w:val="none"/>
          <w14:textFill>
            <w14:solidFill>
              <w14:schemeClr w14:val="tx1"/>
            </w14:solidFill>
          </w14:textFill>
        </w:rPr>
        <w:tab/>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地址：</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邮编：传真：</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电话：电子邮件：</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比选申请人名称：</w:t>
      </w:r>
      <w:r>
        <w:rPr>
          <w:rFonts w:ascii="宋体" w:hAnsi="宋体"/>
          <w:color w:val="000000" w:themeColor="text1"/>
          <w:highlight w:val="none"/>
          <w:u w:val="single"/>
          <w14:textFill>
            <w14:solidFill>
              <w14:schemeClr w14:val="tx1"/>
            </w14:solidFill>
          </w14:textFill>
        </w:rPr>
        <w:t>（全称并加盖公章）</w:t>
      </w:r>
    </w:p>
    <w:p>
      <w:pPr>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比选申请人法定代表人（或其委托代理人）签字</w:t>
      </w:r>
      <w:r>
        <w:rPr>
          <w:rFonts w:hint="eastAsia" w:ascii="宋体" w:hAnsi="宋体"/>
          <w:color w:val="000000" w:themeColor="text1"/>
          <w:highlight w:val="none"/>
          <w14:textFill>
            <w14:solidFill>
              <w14:schemeClr w14:val="tx1"/>
            </w14:solidFill>
          </w14:textFill>
        </w:rPr>
        <w:t>或盖章</w:t>
      </w:r>
      <w:r>
        <w:rPr>
          <w:rFonts w:hint="eastAsia" w:ascii="宋体" w:hAnsi="宋体" w:cs="Arial"/>
          <w:color w:val="000000" w:themeColor="text1"/>
          <w:highlight w:val="none"/>
          <w14:textFill>
            <w14:solidFill>
              <w14:schemeClr w14:val="tx1"/>
            </w14:solidFill>
          </w14:textFill>
        </w:rPr>
        <w:t>：</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sectPr>
          <w:pgSz w:w="11905" w:h="16838"/>
          <w:pgMar w:top="1418" w:right="1418" w:bottom="1304" w:left="1418" w:header="454" w:footer="567" w:gutter="0"/>
          <w:cols w:space="720" w:num="1"/>
          <w:docGrid w:linePitch="312" w:charSpace="0"/>
        </w:sectPr>
      </w:pPr>
      <w:r>
        <w:rPr>
          <w:rFonts w:hint="eastAsia" w:ascii="宋体" w:hAnsi="宋体" w:cs="Arial"/>
          <w:color w:val="000000" w:themeColor="text1"/>
          <w:highlight w:val="none"/>
          <w14:textFill>
            <w14:solidFill>
              <w14:schemeClr w14:val="tx1"/>
            </w14:solidFill>
          </w14:textFill>
        </w:rPr>
        <w:t xml:space="preserve">日期：   </w:t>
      </w:r>
      <w:r>
        <w:rPr>
          <w:rFonts w:ascii="宋体" w:hAnsi="宋体"/>
          <w:color w:val="000000" w:themeColor="text1"/>
          <w:highlight w:val="none"/>
          <w14:textFill>
            <w14:solidFill>
              <w14:schemeClr w14:val="tx1"/>
            </w14:solidFill>
          </w14:textFill>
        </w:rPr>
        <w:t>年月日</w:t>
      </w:r>
    </w:p>
    <w:p>
      <w:pPr>
        <w:ind w:left="0" w:firstLine="0"/>
        <w:rPr>
          <w:rFonts w:ascii="宋体" w:hAnsi="宋体"/>
          <w:b/>
          <w:bCs/>
          <w:color w:val="000000" w:themeColor="text1"/>
          <w:highlight w:val="none"/>
          <w14:textFill>
            <w14:solidFill>
              <w14:schemeClr w14:val="tx1"/>
            </w14:solidFill>
          </w14:textFill>
        </w:rPr>
      </w:pPr>
      <w:r>
        <w:rPr>
          <w:rFonts w:ascii="宋体" w:hAnsi="宋体"/>
          <w:b/>
          <w:bCs/>
          <w:color w:val="000000" w:themeColor="text1"/>
          <w:highlight w:val="none"/>
          <w14:textFill>
            <w14:solidFill>
              <w14:schemeClr w14:val="tx1"/>
            </w14:solidFill>
          </w14:textFill>
        </w:rPr>
        <w:t>B</w:t>
      </w:r>
      <w:r>
        <w:rPr>
          <w:rFonts w:hint="eastAsia" w:ascii="宋体" w:hAnsi="宋体"/>
          <w:b/>
          <w:bCs/>
          <w:color w:val="000000" w:themeColor="text1"/>
          <w:highlight w:val="none"/>
          <w14:textFill>
            <w14:solidFill>
              <w14:schemeClr w14:val="tx1"/>
            </w14:solidFill>
          </w14:textFill>
        </w:rPr>
        <w:t>3比选申请人认为应提交的其他比选申请资料（如有）。</w:t>
      </w:r>
    </w:p>
    <w:p>
      <w:pPr>
        <w:pStyle w:val="2"/>
        <w:pageBreakBefore/>
        <w:spacing w:after="100"/>
        <w:ind w:right="-57" w:firstLine="0"/>
        <w:jc w:val="center"/>
        <w:rPr>
          <w:rFonts w:hAnsi="宋体"/>
          <w:b w:val="0"/>
          <w:color w:val="000000" w:themeColor="text1"/>
          <w:sz w:val="24"/>
          <w:szCs w:val="24"/>
          <w:highlight w:val="none"/>
          <w14:textFill>
            <w14:solidFill>
              <w14:schemeClr w14:val="tx1"/>
            </w14:solidFill>
          </w14:textFill>
        </w:rPr>
      </w:pPr>
      <w:bookmarkStart w:id="1370" w:name="_Toc19107"/>
      <w:bookmarkStart w:id="1371" w:name="_Toc492478827"/>
      <w:bookmarkStart w:id="1372" w:name="_Toc414290562"/>
      <w:bookmarkStart w:id="1373" w:name="_Toc19413"/>
      <w:bookmarkStart w:id="1374" w:name="_Toc32381"/>
      <w:bookmarkStart w:id="1375" w:name="_Toc13870"/>
      <w:bookmarkStart w:id="1376" w:name="_Toc114134670"/>
      <w:bookmarkStart w:id="1377" w:name="_Toc8563"/>
      <w:bookmarkStart w:id="1378" w:name="_Toc30812"/>
      <w:bookmarkStart w:id="1379" w:name="_Toc22423"/>
      <w:bookmarkStart w:id="1380" w:name="_Toc6034"/>
      <w:bookmarkStart w:id="1381" w:name="_Toc15451"/>
      <w:bookmarkStart w:id="1382" w:name="_Toc17664"/>
      <w:bookmarkStart w:id="1383" w:name="_Toc14091"/>
      <w:bookmarkStart w:id="1384" w:name="_Toc29577"/>
      <w:bookmarkStart w:id="1385" w:name="_Toc13548"/>
      <w:bookmarkStart w:id="1386" w:name="_Toc9876"/>
      <w:bookmarkStart w:id="1387" w:name="_Toc2327"/>
      <w:bookmarkStart w:id="1388" w:name="_Toc25635"/>
      <w:bookmarkStart w:id="1389" w:name="_Toc30649"/>
      <w:bookmarkStart w:id="1390" w:name="_Toc25220"/>
      <w:bookmarkStart w:id="1391" w:name="_Toc3307"/>
      <w:r>
        <w:rPr>
          <w:rFonts w:hint="eastAsia"/>
          <w:color w:val="000000" w:themeColor="text1"/>
          <w:sz w:val="24"/>
          <w:szCs w:val="24"/>
          <w:highlight w:val="none"/>
          <w14:textFill>
            <w14:solidFill>
              <w14:schemeClr w14:val="tx1"/>
            </w14:solidFill>
          </w14:textFill>
        </w:rPr>
        <w:t>C</w:t>
      </w:r>
      <w:r>
        <w:rPr>
          <w:rFonts w:hAnsi="宋体"/>
          <w:color w:val="000000" w:themeColor="text1"/>
          <w:sz w:val="24"/>
          <w:szCs w:val="24"/>
          <w:highlight w:val="none"/>
          <w14:textFill>
            <w14:solidFill>
              <w14:schemeClr w14:val="tx1"/>
            </w14:solidFill>
          </w14:textFill>
        </w:rPr>
        <w:t>技术</w:t>
      </w:r>
      <w:bookmarkEnd w:id="1370"/>
      <w:bookmarkEnd w:id="1371"/>
      <w:bookmarkEnd w:id="1372"/>
      <w:bookmarkStart w:id="1392" w:name="_Toc17887241"/>
      <w:bookmarkStart w:id="1393" w:name="_Toc99697927"/>
      <w:bookmarkStart w:id="1394" w:name="_Toc74938308"/>
      <w:bookmarkStart w:id="1395" w:name="_Toc18770050"/>
      <w:bookmarkStart w:id="1396" w:name="_Toc224010320"/>
      <w:r>
        <w:rPr>
          <w:rFonts w:hint="eastAsia" w:hAnsi="宋体"/>
          <w:color w:val="000000" w:themeColor="text1"/>
          <w:sz w:val="24"/>
          <w:szCs w:val="24"/>
          <w:highlight w:val="none"/>
          <w14:textFill>
            <w14:solidFill>
              <w14:schemeClr w14:val="tx1"/>
            </w14:solidFill>
          </w14:textFill>
        </w:rPr>
        <w:t>文件</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pPr>
        <w:spacing w:before="0" w:after="0" w:afterAutospacing="0"/>
        <w:ind w:left="0" w:right="0" w:firstLine="422" w:firstLineChars="200"/>
        <w:jc w:val="left"/>
        <w:rPr>
          <w:rFonts w:hAnsi="宋体"/>
          <w:b/>
          <w:color w:val="000000" w:themeColor="text1"/>
          <w:sz w:val="44"/>
          <w:szCs w:val="44"/>
          <w:highlight w:val="none"/>
          <w14:textFill>
            <w14:solidFill>
              <w14:schemeClr w14:val="tx1"/>
            </w14:solidFill>
          </w14:textFill>
        </w:rPr>
      </w:pPr>
      <w:r>
        <w:rPr>
          <w:rFonts w:hint="eastAsia" w:hAnsi="宋体"/>
          <w:b/>
          <w:color w:val="000000" w:themeColor="text1"/>
          <w:highlight w:val="none"/>
          <w14:textFill>
            <w14:solidFill>
              <w14:schemeClr w14:val="tx1"/>
            </w14:solidFill>
          </w14:textFill>
        </w:rPr>
        <w:t>技术文件格式</w:t>
      </w:r>
    </w:p>
    <w:p>
      <w:pPr>
        <w:spacing w:before="0" w:after="0" w:afterAutospacing="0"/>
        <w:ind w:left="0" w:right="0" w:firstLine="315" w:firstLineChars="15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bookmarkEnd w:id="1392"/>
      <w:bookmarkEnd w:id="1393"/>
      <w:bookmarkEnd w:id="1394"/>
      <w:bookmarkEnd w:id="1395"/>
      <w:bookmarkEnd w:id="1396"/>
      <w:bookmarkStart w:id="1397" w:name="_Toc25750684"/>
      <w:r>
        <w:rPr>
          <w:rFonts w:hint="eastAsia"/>
          <w:color w:val="000000" w:themeColor="text1"/>
          <w:highlight w:val="none"/>
          <w14:textFill>
            <w14:solidFill>
              <w14:schemeClr w14:val="tx1"/>
            </w14:solidFill>
          </w14:textFill>
        </w:rPr>
        <w:t>技术响应表（格式见C1）；</w:t>
      </w:r>
    </w:p>
    <w:p>
      <w:pPr>
        <w:spacing w:before="0" w:after="0" w:afterAutospacing="0"/>
        <w:ind w:left="0" w:right="0" w:firstLine="315" w:firstLineChars="15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（2）商务响应表（格式见C2）；</w:t>
      </w:r>
    </w:p>
    <w:p>
      <w:pPr>
        <w:spacing w:before="0" w:after="0" w:afterAutospacing="0"/>
        <w:ind w:left="0" w:right="0" w:firstLine="315" w:firstLineChars="15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（3）项目人员配置（格式见C3）</w:t>
      </w:r>
    </w:p>
    <w:p>
      <w:pPr>
        <w:spacing w:before="0" w:after="0" w:afterAutospacing="0"/>
        <w:ind w:left="0" w:right="0" w:firstLine="315" w:firstLineChars="15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服务建议书</w:t>
      </w:r>
      <w:r>
        <w:rPr>
          <w:rFonts w:hint="eastAsia"/>
          <w:color w:val="000000" w:themeColor="text1"/>
          <w:highlight w:val="none"/>
          <w14:textFill>
            <w14:solidFill>
              <w14:schemeClr w14:val="tx1"/>
            </w14:solidFill>
          </w14:textFill>
        </w:rPr>
        <w:t>（格式见C</w:t>
      </w:r>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14:textFill>
            <w14:solidFill>
              <w14:schemeClr w14:val="tx1"/>
            </w14:solidFill>
          </w14:textFill>
        </w:rPr>
        <w:t>）</w:t>
      </w:r>
    </w:p>
    <w:p>
      <w:pPr>
        <w:spacing w:before="0" w:after="0" w:afterAutospacing="0"/>
        <w:ind w:left="0" w:right="0"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5</w:t>
      </w:r>
      <w:r>
        <w:rPr>
          <w:rFonts w:hint="eastAsia"/>
          <w:color w:val="000000" w:themeColor="text1"/>
          <w:highlight w:val="none"/>
          <w14:textFill>
            <w14:solidFill>
              <w14:schemeClr w14:val="tx1"/>
            </w14:solidFill>
          </w14:textFill>
        </w:rPr>
        <w:t>）业绩：</w:t>
      </w:r>
      <w:r>
        <w:rPr>
          <w:rFonts w:hint="eastAsia" w:ascii="宋体" w:hAnsi="宋体"/>
          <w:color w:val="000000" w:themeColor="text1"/>
          <w:highlight w:val="none"/>
          <w:lang w:val="en-US" w:eastAsia="zh-CN"/>
          <w14:textFill>
            <w14:solidFill>
              <w14:schemeClr w14:val="tx1"/>
            </w14:solidFill>
          </w14:textFill>
        </w:rPr>
        <w:t>比选申请人自2021年1月1日至比选申请截止时间前，承接过（完工/在建项目）1个及以上50万元（含）以上的市政工程设计项目</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提供下述材料之一即可：①合同文件；②中标</w:t>
      </w:r>
      <w:r>
        <w:rPr>
          <w:rFonts w:hint="eastAsia"/>
          <w:color w:val="000000" w:themeColor="text1"/>
          <w:highlight w:val="none"/>
          <w:lang w:val="en-US" w:eastAsia="zh-CN"/>
          <w14:textFill>
            <w14:solidFill>
              <w14:schemeClr w14:val="tx1"/>
            </w14:solidFill>
          </w14:textFill>
        </w:rPr>
        <w:t>/中选</w:t>
      </w:r>
      <w:r>
        <w:rPr>
          <w:rFonts w:hint="eastAsia"/>
          <w:color w:val="000000" w:themeColor="text1"/>
          <w:highlight w:val="none"/>
          <w14:textFill>
            <w14:solidFill>
              <w14:schemeClr w14:val="tx1"/>
            </w14:solidFill>
          </w14:textFill>
        </w:rPr>
        <w:t>通知书。所提供的材料须能明确反映类似项目特征，复印件加盖比选申请人公章（格式见C</w:t>
      </w:r>
      <w:r>
        <w:rPr>
          <w:rFonts w:hint="eastAsia"/>
          <w:color w:val="000000" w:themeColor="text1"/>
          <w:highlight w:val="none"/>
          <w:lang w:val="en-US" w:eastAsia="zh-CN"/>
          <w14:textFill>
            <w14:solidFill>
              <w14:schemeClr w14:val="tx1"/>
            </w14:solidFill>
          </w14:textFill>
        </w:rPr>
        <w:t>5</w:t>
      </w:r>
      <w:r>
        <w:rPr>
          <w:rFonts w:hint="eastAsia"/>
          <w:color w:val="000000" w:themeColor="text1"/>
          <w:highlight w:val="none"/>
          <w14:textFill>
            <w14:solidFill>
              <w14:schemeClr w14:val="tx1"/>
            </w14:solidFill>
          </w14:textFill>
        </w:rPr>
        <w:t>）。</w:t>
      </w:r>
    </w:p>
    <w:p>
      <w:pPr>
        <w:spacing w:before="0" w:after="0" w:afterAutospacing="0"/>
        <w:ind w:left="0" w:right="0" w:firstLine="315" w:firstLineChars="15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6</w:t>
      </w:r>
      <w:r>
        <w:rPr>
          <w:rFonts w:hint="eastAsia"/>
          <w:color w:val="000000" w:themeColor="text1"/>
          <w:highlight w:val="none"/>
          <w14:textFill>
            <w14:solidFill>
              <w14:schemeClr w14:val="tx1"/>
            </w14:solidFill>
          </w14:textFill>
        </w:rPr>
        <w:t>）比选申请人认为应提交的其他比选申请资料（如有）。</w:t>
      </w: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11"/>
        <w:rPr>
          <w:rFonts w:ascii="宋体" w:hAnsi="宋体"/>
          <w:color w:val="000000" w:themeColor="text1"/>
          <w:highlight w:val="none"/>
          <w14:textFill>
            <w14:solidFill>
              <w14:schemeClr w14:val="tx1"/>
            </w14:solidFill>
          </w14:textFill>
        </w:rPr>
      </w:pPr>
    </w:p>
    <w:p>
      <w:pPr>
        <w:pStyle w:val="11"/>
        <w:rPr>
          <w:rFonts w:ascii="宋体" w:hAnsi="宋体"/>
          <w:color w:val="000000" w:themeColor="text1"/>
          <w:highlight w:val="none"/>
          <w14:textFill>
            <w14:solidFill>
              <w14:schemeClr w14:val="tx1"/>
            </w14:solidFill>
          </w14:textFill>
        </w:rPr>
      </w:pPr>
    </w:p>
    <w:p>
      <w:pPr>
        <w:pStyle w:val="11"/>
        <w:rPr>
          <w:rFonts w:ascii="宋体" w:hAnsi="宋体"/>
          <w:color w:val="000000" w:themeColor="text1"/>
          <w:highlight w:val="none"/>
          <w14:textFill>
            <w14:solidFill>
              <w14:schemeClr w14:val="tx1"/>
            </w14:solidFill>
          </w14:textFill>
        </w:rPr>
      </w:pPr>
    </w:p>
    <w:p>
      <w:pPr>
        <w:pStyle w:val="11"/>
        <w:rPr>
          <w:rFonts w:ascii="宋体" w:hAnsi="宋体"/>
          <w:color w:val="000000" w:themeColor="text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11"/>
        <w:rPr>
          <w:color w:val="000000" w:themeColor="text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bookmarkStart w:id="1398" w:name="_Toc114134671"/>
      <w:bookmarkStart w:id="1399" w:name="_Toc7867"/>
      <w:bookmarkStart w:id="1400" w:name="_Toc559"/>
      <w:r>
        <w:rPr>
          <w:rFonts w:hint="eastAsia" w:ascii="宋体" w:hAnsi="宋体" w:eastAsia="宋体"/>
          <w:color w:val="000000" w:themeColor="text1"/>
          <w:sz w:val="21"/>
          <w:szCs w:val="21"/>
          <w:highlight w:val="none"/>
          <w14:textFill>
            <w14:solidFill>
              <w14:schemeClr w14:val="tx1"/>
            </w14:solidFill>
          </w14:textFill>
        </w:rPr>
        <w:t xml:space="preserve">C1 </w:t>
      </w:r>
      <w:r>
        <w:rPr>
          <w:rFonts w:ascii="宋体" w:hAnsi="宋体" w:eastAsia="宋体"/>
          <w:color w:val="000000" w:themeColor="text1"/>
          <w:sz w:val="21"/>
          <w:szCs w:val="21"/>
          <w:highlight w:val="none"/>
          <w14:textFill>
            <w14:solidFill>
              <w14:schemeClr w14:val="tx1"/>
            </w14:solidFill>
          </w14:textFill>
        </w:rPr>
        <w:t>技术响应表</w:t>
      </w:r>
      <w:r>
        <w:rPr>
          <w:rFonts w:hint="eastAsia" w:ascii="宋体" w:hAnsi="宋体" w:eastAsia="宋体"/>
          <w:color w:val="000000" w:themeColor="text1"/>
          <w:sz w:val="21"/>
          <w:szCs w:val="21"/>
          <w:highlight w:val="none"/>
          <w14:textFill>
            <w14:solidFill>
              <w14:schemeClr w14:val="tx1"/>
            </w14:solidFill>
          </w14:textFill>
        </w:rPr>
        <w:t>格式</w:t>
      </w:r>
      <w:bookmarkEnd w:id="1397"/>
      <w:bookmarkEnd w:id="1398"/>
      <w:bookmarkEnd w:id="1399"/>
      <w:bookmarkEnd w:id="1400"/>
    </w:p>
    <w:p>
      <w:pPr>
        <w:spacing w:before="0"/>
        <w:ind w:right="-57" w:firstLine="0"/>
        <w:jc w:val="center"/>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技术响应表</w:t>
      </w:r>
      <w:r>
        <w:rPr>
          <w:rFonts w:hint="eastAsia" w:ascii="宋体" w:hAnsi="宋体" w:cs="宋体"/>
          <w:color w:val="000000" w:themeColor="text1"/>
          <w:sz w:val="16"/>
          <w:szCs w:val="16"/>
          <w:highlight w:val="none"/>
          <w14:textFill>
            <w14:solidFill>
              <w14:schemeClr w14:val="tx1"/>
            </w14:solidFill>
          </w14:textFill>
        </w:rPr>
        <w:t>（不论有无偏离，均须逐项填写偏离情况）</w:t>
      </w:r>
    </w:p>
    <w:p>
      <w:pPr>
        <w:spacing w:before="0" w:after="0" w:afterAutospacing="0"/>
        <w:ind w:right="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比选申请人名称：</w:t>
      </w:r>
    </w:p>
    <w:tbl>
      <w:tblPr>
        <w:tblStyle w:val="35"/>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序号</w:t>
            </w:r>
          </w:p>
        </w:tc>
        <w:tc>
          <w:tcPr>
            <w:tcW w:w="1593"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偏离</w:t>
            </w:r>
          </w:p>
        </w:tc>
        <w:tc>
          <w:tcPr>
            <w:tcW w:w="1177"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cs="Arial"/>
                <w:color w:val="000000" w:themeColor="text1"/>
                <w:kern w:val="2"/>
                <w:highlight w:val="none"/>
                <w:u w:val="single"/>
                <w14:textFill>
                  <w14:solidFill>
                    <w14:schemeClr w14:val="tx1"/>
                  </w14:solidFill>
                </w14:textFill>
              </w:rPr>
              <w:t>1</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"_Toc25750588"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第一章</w:t>
            </w:r>
            <w:r>
              <w:rPr>
                <w:rFonts w:hint="eastAsia" w:ascii="宋体" w:hAnsi="宋体"/>
                <w:color w:val="000000" w:themeColor="text1"/>
                <w:highlight w:val="none"/>
                <w14:textFill>
                  <w14:solidFill>
                    <w14:schemeClr w14:val="tx1"/>
                  </w14:solidFill>
                </w14:textFill>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000000" w:themeColor="text1"/>
                <w:kern w:val="2"/>
                <w:highlight w:val="none"/>
                <w:u w:val="singl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cs="Arial"/>
                <w:color w:val="000000" w:themeColor="text1"/>
                <w:kern w:val="2"/>
                <w:highlight w:val="none"/>
                <w:u w:val="single"/>
                <w14:textFill>
                  <w14:solidFill>
                    <w14:schemeClr w14:val="tx1"/>
                  </w14:solidFill>
                </w14:textFill>
              </w:rPr>
              <w:t>2</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"_Toc25750588"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第二章</w:t>
            </w:r>
            <w:r>
              <w:rPr>
                <w:rFonts w:hint="eastAsia" w:ascii="宋体" w:hAnsi="宋体"/>
                <w:color w:val="000000" w:themeColor="text1"/>
                <w:highlight w:val="none"/>
                <w14:textFill>
                  <w14:solidFill>
                    <w14:schemeClr w14:val="tx1"/>
                  </w14:solidFill>
                </w14:textFill>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000000" w:themeColor="text1"/>
                <w:kern w:val="2"/>
                <w:highlight w:val="none"/>
                <w:u w:val="singl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cs="Arial"/>
                <w:color w:val="000000" w:themeColor="text1"/>
                <w:kern w:val="2"/>
                <w:highlight w:val="none"/>
                <w:u w:val="single"/>
                <w14:textFill>
                  <w14:solidFill>
                    <w14:schemeClr w14:val="tx1"/>
                  </w14:solidFill>
                </w14:textFill>
              </w:rPr>
              <w:t>3</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"_Toc25750588"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第三章</w:t>
            </w:r>
            <w:r>
              <w:rPr>
                <w:rFonts w:hint="eastAsia" w:ascii="宋体" w:hAnsi="宋体"/>
                <w:color w:val="000000" w:themeColor="text1"/>
                <w:highlight w:val="none"/>
                <w14:textFill>
                  <w14:solidFill>
                    <w14:schemeClr w14:val="tx1"/>
                  </w14:solidFill>
                </w14:textFill>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000000" w:themeColor="text1"/>
                <w:kern w:val="2"/>
                <w:highlight w:val="none"/>
                <w:u w:val="singl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cs="Arial"/>
                <w:color w:val="000000" w:themeColor="text1"/>
                <w:kern w:val="2"/>
                <w:highlight w:val="none"/>
                <w:u w:val="single"/>
                <w14:textFill>
                  <w14:solidFill>
                    <w14:schemeClr w14:val="tx1"/>
                  </w14:solidFill>
                </w14:textFill>
              </w:rPr>
              <w:t>4</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"_Toc25750588"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第四章</w:t>
            </w:r>
            <w:r>
              <w:rPr>
                <w:rFonts w:hint="eastAsia" w:ascii="宋体" w:hAnsi="宋体"/>
                <w:color w:val="000000" w:themeColor="text1"/>
                <w:highlight w:val="none"/>
                <w14:textFill>
                  <w14:solidFill>
                    <w14:schemeClr w14:val="tx1"/>
                  </w14:solidFill>
                </w14:textFill>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000000" w:themeColor="text1"/>
                <w:kern w:val="2"/>
                <w:highlight w:val="none"/>
                <w:u w:val="singl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pPr>
              <w:widowControl w:val="0"/>
              <w:rPr>
                <w:rFonts w:cs="Arial"/>
                <w:color w:val="000000" w:themeColor="text1"/>
                <w:kern w:val="2"/>
                <w:highlight w:val="none"/>
                <w14:textFill>
                  <w14:solidFill>
                    <w14:schemeClr w14:val="tx1"/>
                  </w14:solidFill>
                </w14:textFill>
              </w:rPr>
            </w:pPr>
            <w:r>
              <w:rPr>
                <w:rFonts w:hint="eastAsia" w:cs="Arial"/>
                <w:color w:val="000000" w:themeColor="text1"/>
                <w:highlight w:val="none"/>
                <w14:textFill>
                  <w14:solidFill>
                    <w14:schemeClr w14:val="tx1"/>
                  </w14:solidFill>
                </w14:textFill>
              </w:rPr>
              <w:t>我方确认：除了表中所列的条款外，我方的比选申请函将依从比选文件对于技术的全部要求和规定。</w:t>
            </w:r>
          </w:p>
        </w:tc>
      </w:tr>
    </w:tbl>
    <w:p>
      <w:pPr>
        <w:snapToGrid w:val="0"/>
        <w:spacing w:after="50" w:line="280" w:lineRule="exact"/>
        <w:ind w:left="955" w:leftChars="455" w:right="-817" w:firstLine="2832" w:firstLineChars="1349"/>
        <w:rPr>
          <w:rFonts w:ascii="宋体" w:hAnsi="宋体"/>
          <w:color w:val="000000" w:themeColor="text1"/>
          <w:highlight w:val="none"/>
          <w14:textFill>
            <w14:solidFill>
              <w14:schemeClr w14:val="tx1"/>
            </w14:solidFill>
          </w14:textFill>
        </w:rPr>
      </w:pPr>
    </w:p>
    <w:p>
      <w:pPr>
        <w:snapToGrid w:val="0"/>
        <w:spacing w:after="50" w:line="280" w:lineRule="exact"/>
        <w:ind w:left="955" w:leftChars="455" w:right="-817" w:firstLine="2832" w:firstLineChars="1349"/>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比选申请人名称（盖章）：</w:t>
      </w:r>
    </w:p>
    <w:p>
      <w:pPr>
        <w:snapToGrid w:val="0"/>
        <w:spacing w:after="50" w:line="280" w:lineRule="exact"/>
        <w:ind w:left="707" w:right="-817" w:firstLine="0"/>
        <w:jc w:val="center"/>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法定代表人或被授权人（签字）：</w:t>
      </w:r>
    </w:p>
    <w:p>
      <w:pPr>
        <w:spacing w:before="0"/>
        <w:ind w:right="-57"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日  期：  年  月  日</w:t>
      </w:r>
    </w:p>
    <w:p>
      <w:pPr>
        <w:spacing w:before="0" w:after="0" w:afterAutospacing="0"/>
        <w:ind w:left="607" w:right="0" w:hanging="607" w:hangingChars="336"/>
        <w:rPr>
          <w:rFonts w:ascii="宋体" w:hAnsi="宋体"/>
          <w:b/>
          <w:color w:val="000000" w:themeColor="text1"/>
          <w:sz w:val="18"/>
          <w:szCs w:val="18"/>
          <w:highlight w:val="none"/>
          <w14:textFill>
            <w14:solidFill>
              <w14:schemeClr w14:val="tx1"/>
            </w14:solidFill>
          </w14:textFill>
        </w:rPr>
      </w:pPr>
      <w:r>
        <w:rPr>
          <w:rFonts w:ascii="宋体" w:hAnsi="宋体"/>
          <w:b/>
          <w:color w:val="000000" w:themeColor="text1"/>
          <w:sz w:val="18"/>
          <w:szCs w:val="18"/>
          <w:highlight w:val="none"/>
          <w14:textFill>
            <w14:solidFill>
              <w14:schemeClr w14:val="tx1"/>
            </w14:solidFill>
          </w14:textFill>
        </w:rPr>
        <w:t>说明：</w:t>
      </w:r>
    </w:p>
    <w:p>
      <w:pPr>
        <w:pStyle w:val="48"/>
        <w:tabs>
          <w:tab w:val="left" w:pos="720"/>
        </w:tabs>
        <w:spacing w:before="0" w:after="0" w:afterAutospacing="0"/>
        <w:ind w:left="0" w:right="0" w:firstLine="360" w:firstLineChars="200"/>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1.对完全响应的条目在本表“偏离情况”列中选注“完全响应”。对有偏离的条目在本表“偏离情况”列中选注“正偏离”或“负偏离”，并对“正偏离”或“负偏离”加以说明。</w:t>
      </w:r>
    </w:p>
    <w:p>
      <w:pPr>
        <w:tabs>
          <w:tab w:val="left" w:pos="720"/>
        </w:tabs>
        <w:spacing w:before="0" w:after="0" w:afterAutospacing="0"/>
        <w:ind w:left="0" w:right="0" w:firstLine="360" w:firstLineChars="200"/>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2.</w:t>
      </w:r>
      <w:r>
        <w:rPr>
          <w:rFonts w:ascii="宋体" w:hAnsi="宋体"/>
          <w:color w:val="000000" w:themeColor="text1"/>
          <w:sz w:val="18"/>
          <w:szCs w:val="18"/>
          <w:highlight w:val="none"/>
          <w14:textFill>
            <w14:solidFill>
              <w14:schemeClr w14:val="tx1"/>
            </w14:solidFill>
          </w14:textFill>
        </w:rPr>
        <w:t>正偏离是指应答的条件高于比选文件要求，负偏离是指应答的条件低于比选文件要求。</w:t>
      </w:r>
    </w:p>
    <w:p>
      <w:pPr>
        <w:tabs>
          <w:tab w:val="left" w:pos="720"/>
        </w:tabs>
        <w:spacing w:before="0" w:after="0" w:afterAutospacing="0"/>
        <w:ind w:left="0" w:right="0" w:firstLine="360" w:firstLineChars="200"/>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3.</w:t>
      </w:r>
      <w:r>
        <w:rPr>
          <w:rFonts w:ascii="宋体" w:hAnsi="宋体"/>
          <w:color w:val="000000" w:themeColor="text1"/>
          <w:sz w:val="18"/>
          <w:szCs w:val="18"/>
          <w:highlight w:val="none"/>
          <w14:textFill>
            <w14:solidFill>
              <w14:schemeClr w14:val="tx1"/>
            </w14:solidFill>
          </w14:textFill>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color w:val="000000" w:themeColor="text1"/>
          <w:sz w:val="18"/>
          <w:szCs w:val="18"/>
          <w:highlight w:val="none"/>
          <w14:textFill>
            <w14:solidFill>
              <w14:schemeClr w14:val="tx1"/>
            </w14:solidFill>
          </w14:textFill>
        </w:rPr>
        <w:t xml:space="preserve">。     </w:t>
      </w:r>
    </w:p>
    <w:p>
      <w:pPr>
        <w:spacing w:before="0"/>
        <w:ind w:left="105" w:leftChars="50" w:right="-57" w:firstLine="271" w:firstLineChars="150"/>
        <w:rPr>
          <w:rFonts w:ascii="宋体" w:hAnsi="宋体"/>
          <w:b/>
          <w:color w:val="000000" w:themeColor="text1"/>
          <w:sz w:val="18"/>
          <w:szCs w:val="18"/>
          <w:highlight w:val="none"/>
          <w14:textFill>
            <w14:solidFill>
              <w14:schemeClr w14:val="tx1"/>
            </w14:solidFill>
          </w14:textFill>
        </w:rPr>
      </w:pPr>
      <w:r>
        <w:rPr>
          <w:rFonts w:hint="eastAsia" w:ascii="宋体" w:hAnsi="宋体"/>
          <w:b/>
          <w:color w:val="000000" w:themeColor="text1"/>
          <w:sz w:val="18"/>
          <w:szCs w:val="18"/>
          <w:highlight w:val="none"/>
          <w14:textFill>
            <w14:solidFill>
              <w14:schemeClr w14:val="tx1"/>
            </w14:solidFill>
          </w14:textFill>
        </w:rPr>
        <w:t>6.如有任意一项负偏离，比选申请人将不能通过符合性评审。</w:t>
      </w: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18"/>
          <w:szCs w:val="18"/>
          <w:highlight w:val="none"/>
          <w14:textFill>
            <w14:solidFill>
              <w14:schemeClr w14:val="tx1"/>
            </w14:solidFill>
          </w14:textFill>
        </w:rPr>
        <w:sectPr>
          <w:pgSz w:w="11905" w:h="16838"/>
          <w:pgMar w:top="1418" w:right="1418" w:bottom="1304" w:left="1418" w:header="454" w:footer="567" w:gutter="0"/>
          <w:cols w:space="720" w:num="1"/>
          <w:docGrid w:linePitch="312" w:charSpace="0"/>
        </w:sectPr>
      </w:pPr>
      <w:bookmarkStart w:id="1401" w:name="_Toc25750685"/>
    </w:p>
    <w:bookmarkEnd w:id="1401"/>
    <w:p>
      <w:pPr>
        <w:pStyle w:val="3"/>
        <w:tabs>
          <w:tab w:val="left" w:pos="567"/>
          <w:tab w:val="left" w:pos="720"/>
        </w:tabs>
        <w:snapToGrid w:val="0"/>
        <w:spacing w:before="120" w:after="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bookmarkStart w:id="1402" w:name="_Toc22766"/>
      <w:bookmarkStart w:id="1403" w:name="_Toc114134672"/>
      <w:bookmarkStart w:id="1404" w:name="_Toc25750687"/>
      <w:bookmarkStart w:id="1405" w:name="_Toc32633"/>
      <w:r>
        <w:rPr>
          <w:rFonts w:hint="eastAsia" w:ascii="宋体" w:hAnsi="宋体" w:eastAsia="宋体"/>
          <w:color w:val="000000" w:themeColor="text1"/>
          <w:sz w:val="21"/>
          <w:szCs w:val="21"/>
          <w:highlight w:val="none"/>
          <w14:textFill>
            <w14:solidFill>
              <w14:schemeClr w14:val="tx1"/>
            </w14:solidFill>
          </w14:textFill>
        </w:rPr>
        <w:t>C2商务响应表</w:t>
      </w:r>
      <w:r>
        <w:rPr>
          <w:rFonts w:ascii="宋体" w:hAnsi="宋体" w:eastAsia="宋体"/>
          <w:color w:val="000000" w:themeColor="text1"/>
          <w:sz w:val="21"/>
          <w:szCs w:val="21"/>
          <w:highlight w:val="none"/>
          <w14:textFill>
            <w14:solidFill>
              <w14:schemeClr w14:val="tx1"/>
            </w14:solidFill>
          </w14:textFill>
        </w:rPr>
        <w:t>格式</w:t>
      </w:r>
      <w:bookmarkEnd w:id="1402"/>
      <w:bookmarkEnd w:id="1403"/>
      <w:bookmarkEnd w:id="1404"/>
      <w:bookmarkEnd w:id="1405"/>
    </w:p>
    <w:p>
      <w:pPr>
        <w:ind w:right="-57" w:firstLine="0"/>
        <w:jc w:val="center"/>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商务响应表</w:t>
      </w:r>
    </w:p>
    <w:p>
      <w:pPr>
        <w:spacing w:before="0" w:after="0" w:afterAutospacing="0"/>
        <w:ind w:right="-57" w:firstLine="0"/>
        <w:jc w:val="left"/>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项目名称：</w:t>
      </w:r>
    </w:p>
    <w:tbl>
      <w:tblPr>
        <w:tblStyle w:val="35"/>
        <w:tblW w:w="9049"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2977"/>
        <w:gridCol w:w="2410"/>
        <w:gridCol w:w="1842"/>
        <w:gridCol w:w="1003"/>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比选文件要求内容所在章节</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包含内容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比选申请人承诺是否响应比选文件要求</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备注</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049" w:type="dxa"/>
            <w:gridSpan w:val="5"/>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第二章</w:t>
            </w:r>
            <w:r>
              <w:rPr>
                <w:rFonts w:ascii="宋体" w:hAnsi="宋体"/>
                <w:color w:val="000000" w:themeColor="text1"/>
                <w:highlight w:val="none"/>
                <w14:textFill>
                  <w14:solidFill>
                    <w14:schemeClr w14:val="tx1"/>
                  </w14:solidFill>
                </w14:textFill>
              </w:rPr>
              <w:t> </w:t>
            </w:r>
            <w:r>
              <w:rPr>
                <w:rFonts w:hint="eastAsia" w:ascii="宋体" w:hAnsi="宋体"/>
                <w:color w:val="000000" w:themeColor="text1"/>
                <w:highlight w:val="none"/>
                <w14:textFill>
                  <w14:solidFill>
                    <w14:schemeClr w14:val="tx1"/>
                  </w14:solidFill>
                </w14:textFill>
              </w:rPr>
              <w:t>比选申请须知</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1</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比选申请须知前附表</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2</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比选申请须知正文</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049" w:type="dxa"/>
            <w:gridSpan w:val="5"/>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第三章</w:t>
            </w:r>
            <w:r>
              <w:rPr>
                <w:rFonts w:ascii="宋体" w:hAnsi="宋体"/>
                <w:color w:val="000000" w:themeColor="text1"/>
                <w:highlight w:val="none"/>
                <w14:textFill>
                  <w14:solidFill>
                    <w14:schemeClr w14:val="tx1"/>
                  </w14:solidFill>
                </w14:textFill>
              </w:rPr>
              <w:t> </w:t>
            </w:r>
            <w:r>
              <w:rPr>
                <w:rFonts w:hint="eastAsia" w:ascii="宋体" w:hAnsi="宋体"/>
                <w:color w:val="000000" w:themeColor="text1"/>
                <w:highlight w:val="none"/>
                <w14:textFill>
                  <w14:solidFill>
                    <w14:schemeClr w14:val="tx1"/>
                  </w14:solidFill>
                </w14:textFill>
              </w:rPr>
              <w:t>合同条款</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1</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合同协议书</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2</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合同条款</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p>
        </w:tc>
      </w:tr>
    </w:tbl>
    <w:p>
      <w:pPr>
        <w:snapToGrid w:val="0"/>
        <w:spacing w:after="50"/>
        <w:ind w:right="-57" w:firstLine="0"/>
        <w:rPr>
          <w:rFonts w:ascii="宋体" w:hAnsi="宋体"/>
          <w:color w:val="000000" w:themeColor="text1"/>
          <w:spacing w:val="20"/>
          <w:sz w:val="24"/>
          <w:szCs w:val="24"/>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注：上述响应要求必须全部为“完全响应”，否则，比选申请人将不能通过符合性评审。</w:t>
      </w:r>
    </w:p>
    <w:p>
      <w:pPr>
        <w:snapToGrid w:val="0"/>
        <w:spacing w:after="50"/>
        <w:ind w:right="-57" w:firstLine="0"/>
        <w:rPr>
          <w:rFonts w:ascii="宋体" w:hAnsi="宋体"/>
          <w:color w:val="000000" w:themeColor="text1"/>
          <w:spacing w:val="20"/>
          <w:sz w:val="24"/>
          <w:szCs w:val="24"/>
          <w:highlight w:val="none"/>
          <w14:textFill>
            <w14:solidFill>
              <w14:schemeClr w14:val="tx1"/>
            </w14:solidFill>
          </w14:textFill>
        </w:rPr>
      </w:pPr>
    </w:p>
    <w:p>
      <w:pPr>
        <w:snapToGrid w:val="0"/>
        <w:spacing w:after="50" w:line="280" w:lineRule="exact"/>
        <w:ind w:left="953" w:right="-817" w:firstLine="1443"/>
        <w:rPr>
          <w:rFonts w:ascii="宋体" w:hAnsi="宋体"/>
          <w:color w:val="000000" w:themeColor="text1"/>
          <w:sz w:val="24"/>
          <w:szCs w:val="24"/>
          <w:highlight w:val="none"/>
          <w14:textFill>
            <w14:solidFill>
              <w14:schemeClr w14:val="tx1"/>
            </w14:solidFill>
          </w14:textFill>
        </w:rPr>
      </w:pPr>
    </w:p>
    <w:p>
      <w:pPr>
        <w:snapToGrid w:val="0"/>
        <w:spacing w:after="50" w:line="280" w:lineRule="exact"/>
        <w:ind w:left="955" w:right="-817" w:firstLine="2835" w:firstLineChars="135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比选申请人名称（盖章）：</w:t>
      </w:r>
    </w:p>
    <w:p>
      <w:pPr>
        <w:snapToGrid w:val="0"/>
        <w:spacing w:after="50" w:line="280" w:lineRule="exact"/>
        <w:ind w:left="707" w:right="-817" w:firstLine="0"/>
        <w:jc w:val="center"/>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 xml:space="preserve"> 法定代表人或被授权人（签字）：</w:t>
      </w:r>
    </w:p>
    <w:p>
      <w:pPr>
        <w:spacing w:before="0"/>
        <w:ind w:right="-57"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日期：年月日</w:t>
      </w:r>
    </w:p>
    <w:p>
      <w:pPr>
        <w:spacing w:before="0"/>
        <w:ind w:left="105" w:leftChars="50" w:right="-57" w:firstLine="316" w:firstLineChars="150"/>
        <w:rPr>
          <w:rFonts w:ascii="宋体" w:hAnsi="宋体"/>
          <w:b/>
          <w:color w:val="000000" w:themeColor="text1"/>
          <w:highlight w:val="none"/>
          <w14:textFill>
            <w14:solidFill>
              <w14:schemeClr w14:val="tx1"/>
            </w14:solidFill>
          </w14:textFill>
        </w:rPr>
      </w:pPr>
    </w:p>
    <w:p>
      <w:pPr>
        <w:spacing w:before="0" w:after="0" w:afterAutospacing="0" w:line="240" w:lineRule="auto"/>
        <w:ind w:left="0" w:right="0" w:firstLine="0"/>
        <w:jc w:val="left"/>
        <w:rPr>
          <w:rFonts w:ascii="宋体" w:hAnsi="宋体"/>
          <w:color w:val="000000" w:themeColor="text1"/>
          <w:highlight w:val="none"/>
          <w14:textFill>
            <w14:solidFill>
              <w14:schemeClr w14:val="tx1"/>
            </w14:solidFill>
          </w14:textFill>
        </w:rPr>
        <w:sectPr>
          <w:pgSz w:w="12240" w:h="15840"/>
          <w:pgMar w:top="1440" w:right="1800" w:bottom="1440" w:left="1800" w:header="720" w:footer="720" w:gutter="0"/>
          <w:cols w:space="720" w:num="1"/>
        </w:sectPr>
      </w:pPr>
      <w:bookmarkStart w:id="1406" w:name="_Toc114134673"/>
      <w:bookmarkStart w:id="1407" w:name="_Toc12695"/>
      <w:bookmarkStart w:id="1408" w:name="_Toc6454"/>
      <w:bookmarkStart w:id="1409" w:name="_Toc9597"/>
      <w:bookmarkStart w:id="1410" w:name="_Toc5010"/>
      <w:bookmarkStart w:id="1411" w:name="_Toc25061"/>
      <w:bookmarkStart w:id="1412" w:name="_Toc20298"/>
      <w:bookmarkStart w:id="1413" w:name="_Toc31681"/>
      <w:bookmarkStart w:id="1414" w:name="_Toc14566"/>
      <w:bookmarkStart w:id="1415" w:name="_Toc328"/>
      <w:bookmarkStart w:id="1416" w:name="_Toc26409"/>
      <w:bookmarkStart w:id="1417" w:name="_Toc25750688"/>
      <w:bookmarkStart w:id="1418" w:name="_Toc28535"/>
      <w:bookmarkStart w:id="1419" w:name="_Toc16754"/>
      <w:bookmarkStart w:id="1420" w:name="_Toc13941"/>
      <w:bookmarkStart w:id="1421" w:name="_Toc30897"/>
      <w:bookmarkStart w:id="1422" w:name="_Toc492478835"/>
      <w:bookmarkStart w:id="1423" w:name="_Toc28135"/>
      <w:bookmarkStart w:id="1424" w:name="_Toc6337"/>
      <w:bookmarkStart w:id="1425" w:name="_Toc21321"/>
    </w:p>
    <w:p>
      <w:pPr>
        <w:pStyle w:val="3"/>
        <w:tabs>
          <w:tab w:val="left" w:pos="567"/>
          <w:tab w:val="left" w:pos="720"/>
        </w:tabs>
        <w:snapToGrid w:val="0"/>
        <w:spacing w:before="120" w:after="0" w:line="360" w:lineRule="auto"/>
        <w:ind w:right="-57"/>
        <w:jc w:val="left"/>
        <w:rPr>
          <w:b/>
          <w:bCs/>
          <w:color w:val="000000" w:themeColor="text1"/>
          <w:sz w:val="24"/>
          <w:szCs w:val="24"/>
          <w:highlight w:val="none"/>
          <w14:textFill>
            <w14:solidFill>
              <w14:schemeClr w14:val="tx1"/>
            </w14:solidFill>
          </w14:textFill>
        </w:rPr>
      </w:pPr>
      <w:bookmarkStart w:id="1426" w:name="_Toc8068"/>
      <w:bookmarkStart w:id="1427" w:name="_Toc6884"/>
      <w:r>
        <w:rPr>
          <w:rFonts w:hint="eastAsia" w:ascii="宋体" w:hAnsi="宋体" w:eastAsia="宋体"/>
          <w:color w:val="000000" w:themeColor="text1"/>
          <w:sz w:val="21"/>
          <w:szCs w:val="21"/>
          <w:highlight w:val="none"/>
          <w14:textFill>
            <w14:solidFill>
              <w14:schemeClr w14:val="tx1"/>
            </w14:solidFill>
          </w14:textFill>
        </w:rPr>
        <w:t xml:space="preserve">C3 </w:t>
      </w:r>
      <w:bookmarkEnd w:id="1406"/>
      <w:bookmarkEnd w:id="1426"/>
      <w:bookmarkEnd w:id="1427"/>
      <w:r>
        <w:rPr>
          <w:rFonts w:hint="eastAsia" w:ascii="宋体" w:hAnsi="宋体" w:eastAsia="宋体"/>
          <w:color w:val="000000" w:themeColor="text1"/>
          <w:sz w:val="21"/>
          <w:szCs w:val="21"/>
          <w:highlight w:val="none"/>
          <w14:textFill>
            <w14:solidFill>
              <w14:schemeClr w14:val="tx1"/>
            </w14:solidFill>
          </w14:textFill>
        </w:rPr>
        <w:t>拟投入人员配置表（格式）</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9"/>
        <w:gridCol w:w="1088"/>
        <w:gridCol w:w="962"/>
        <w:gridCol w:w="1000"/>
        <w:gridCol w:w="1050"/>
        <w:gridCol w:w="1063"/>
        <w:gridCol w:w="1050"/>
        <w:gridCol w:w="1200"/>
        <w:gridCol w:w="1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32"/>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序号</w:t>
            </w:r>
          </w:p>
        </w:tc>
        <w:tc>
          <w:tcPr>
            <w:tcW w:w="1088" w:type="dxa"/>
          </w:tcPr>
          <w:p>
            <w:pPr>
              <w:pStyle w:val="32"/>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姓名</w:t>
            </w:r>
          </w:p>
        </w:tc>
        <w:tc>
          <w:tcPr>
            <w:tcW w:w="962" w:type="dxa"/>
          </w:tcPr>
          <w:p>
            <w:pPr>
              <w:pStyle w:val="32"/>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年龄</w:t>
            </w:r>
          </w:p>
        </w:tc>
        <w:tc>
          <w:tcPr>
            <w:tcW w:w="1000" w:type="dxa"/>
          </w:tcPr>
          <w:p>
            <w:pPr>
              <w:pStyle w:val="32"/>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性别</w:t>
            </w:r>
          </w:p>
        </w:tc>
        <w:tc>
          <w:tcPr>
            <w:tcW w:w="1050" w:type="dxa"/>
          </w:tcPr>
          <w:p>
            <w:pPr>
              <w:pStyle w:val="32"/>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学历</w:t>
            </w:r>
          </w:p>
        </w:tc>
        <w:tc>
          <w:tcPr>
            <w:tcW w:w="1063" w:type="dxa"/>
          </w:tcPr>
          <w:p>
            <w:pPr>
              <w:pStyle w:val="32"/>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职称</w:t>
            </w:r>
          </w:p>
        </w:tc>
        <w:tc>
          <w:tcPr>
            <w:tcW w:w="1050" w:type="dxa"/>
          </w:tcPr>
          <w:p>
            <w:pPr>
              <w:pStyle w:val="32"/>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相关证书</w:t>
            </w:r>
          </w:p>
        </w:tc>
        <w:tc>
          <w:tcPr>
            <w:tcW w:w="1200" w:type="dxa"/>
          </w:tcPr>
          <w:p>
            <w:pPr>
              <w:pStyle w:val="32"/>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工作职责分工</w:t>
            </w:r>
          </w:p>
        </w:tc>
        <w:tc>
          <w:tcPr>
            <w:tcW w:w="1243" w:type="dxa"/>
          </w:tcPr>
          <w:p>
            <w:pPr>
              <w:pStyle w:val="32"/>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32"/>
              <w:ind w:firstLine="482"/>
              <w:rPr>
                <w:b/>
                <w:bCs/>
                <w:color w:val="000000" w:themeColor="text1"/>
                <w:szCs w:val="24"/>
                <w:highlight w:val="none"/>
                <w14:textFill>
                  <w14:solidFill>
                    <w14:schemeClr w14:val="tx1"/>
                  </w14:solidFill>
                </w14:textFill>
              </w:rPr>
            </w:pPr>
          </w:p>
        </w:tc>
        <w:tc>
          <w:tcPr>
            <w:tcW w:w="1088" w:type="dxa"/>
          </w:tcPr>
          <w:p>
            <w:pPr>
              <w:pStyle w:val="32"/>
              <w:ind w:firstLine="482"/>
              <w:rPr>
                <w:b/>
                <w:bCs/>
                <w:color w:val="000000" w:themeColor="text1"/>
                <w:szCs w:val="24"/>
                <w:highlight w:val="none"/>
                <w14:textFill>
                  <w14:solidFill>
                    <w14:schemeClr w14:val="tx1"/>
                  </w14:solidFill>
                </w14:textFill>
              </w:rPr>
            </w:pPr>
          </w:p>
        </w:tc>
        <w:tc>
          <w:tcPr>
            <w:tcW w:w="962" w:type="dxa"/>
          </w:tcPr>
          <w:p>
            <w:pPr>
              <w:pStyle w:val="32"/>
              <w:ind w:firstLine="482"/>
              <w:rPr>
                <w:b/>
                <w:bCs/>
                <w:color w:val="000000" w:themeColor="text1"/>
                <w:szCs w:val="24"/>
                <w:highlight w:val="none"/>
                <w14:textFill>
                  <w14:solidFill>
                    <w14:schemeClr w14:val="tx1"/>
                  </w14:solidFill>
                </w14:textFill>
              </w:rPr>
            </w:pPr>
          </w:p>
        </w:tc>
        <w:tc>
          <w:tcPr>
            <w:tcW w:w="1000" w:type="dxa"/>
          </w:tcPr>
          <w:p>
            <w:pPr>
              <w:pStyle w:val="32"/>
              <w:ind w:firstLine="482"/>
              <w:rPr>
                <w:b/>
                <w:bCs/>
                <w:color w:val="000000" w:themeColor="text1"/>
                <w:szCs w:val="24"/>
                <w:highlight w:val="none"/>
                <w14:textFill>
                  <w14:solidFill>
                    <w14:schemeClr w14:val="tx1"/>
                  </w14:solidFill>
                </w14:textFill>
              </w:rPr>
            </w:pPr>
          </w:p>
        </w:tc>
        <w:tc>
          <w:tcPr>
            <w:tcW w:w="1050" w:type="dxa"/>
          </w:tcPr>
          <w:p>
            <w:pPr>
              <w:pStyle w:val="32"/>
              <w:ind w:firstLine="482"/>
              <w:rPr>
                <w:b/>
                <w:bCs/>
                <w:color w:val="000000" w:themeColor="text1"/>
                <w:szCs w:val="24"/>
                <w:highlight w:val="none"/>
                <w14:textFill>
                  <w14:solidFill>
                    <w14:schemeClr w14:val="tx1"/>
                  </w14:solidFill>
                </w14:textFill>
              </w:rPr>
            </w:pPr>
          </w:p>
        </w:tc>
        <w:tc>
          <w:tcPr>
            <w:tcW w:w="1063" w:type="dxa"/>
          </w:tcPr>
          <w:p>
            <w:pPr>
              <w:pStyle w:val="32"/>
              <w:ind w:firstLine="482"/>
              <w:rPr>
                <w:b/>
                <w:bCs/>
                <w:color w:val="000000" w:themeColor="text1"/>
                <w:szCs w:val="24"/>
                <w:highlight w:val="none"/>
                <w14:textFill>
                  <w14:solidFill>
                    <w14:schemeClr w14:val="tx1"/>
                  </w14:solidFill>
                </w14:textFill>
              </w:rPr>
            </w:pPr>
          </w:p>
        </w:tc>
        <w:tc>
          <w:tcPr>
            <w:tcW w:w="1050" w:type="dxa"/>
          </w:tcPr>
          <w:p>
            <w:pPr>
              <w:pStyle w:val="32"/>
              <w:ind w:firstLine="482"/>
              <w:rPr>
                <w:b/>
                <w:bCs/>
                <w:color w:val="000000" w:themeColor="text1"/>
                <w:szCs w:val="24"/>
                <w:highlight w:val="none"/>
                <w14:textFill>
                  <w14:solidFill>
                    <w14:schemeClr w14:val="tx1"/>
                  </w14:solidFill>
                </w14:textFill>
              </w:rPr>
            </w:pPr>
          </w:p>
        </w:tc>
        <w:tc>
          <w:tcPr>
            <w:tcW w:w="1200" w:type="dxa"/>
          </w:tcPr>
          <w:p>
            <w:pPr>
              <w:pStyle w:val="32"/>
              <w:ind w:firstLine="482"/>
              <w:rPr>
                <w:b/>
                <w:bCs/>
                <w:color w:val="000000" w:themeColor="text1"/>
                <w:szCs w:val="24"/>
                <w:highlight w:val="none"/>
                <w14:textFill>
                  <w14:solidFill>
                    <w14:schemeClr w14:val="tx1"/>
                  </w14:solidFill>
                </w14:textFill>
              </w:rPr>
            </w:pPr>
          </w:p>
        </w:tc>
        <w:tc>
          <w:tcPr>
            <w:tcW w:w="1243" w:type="dxa"/>
          </w:tcPr>
          <w:p>
            <w:pPr>
              <w:pStyle w:val="32"/>
              <w:ind w:firstLine="482"/>
              <w:rPr>
                <w:b/>
                <w:bCs/>
                <w:color w:val="000000" w:themeColor="text1"/>
                <w:szCs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32"/>
              <w:ind w:firstLine="482"/>
              <w:rPr>
                <w:b/>
                <w:bCs/>
                <w:color w:val="000000" w:themeColor="text1"/>
                <w:szCs w:val="24"/>
                <w:highlight w:val="none"/>
                <w14:textFill>
                  <w14:solidFill>
                    <w14:schemeClr w14:val="tx1"/>
                  </w14:solidFill>
                </w14:textFill>
              </w:rPr>
            </w:pPr>
          </w:p>
        </w:tc>
        <w:tc>
          <w:tcPr>
            <w:tcW w:w="1088" w:type="dxa"/>
          </w:tcPr>
          <w:p>
            <w:pPr>
              <w:pStyle w:val="32"/>
              <w:ind w:firstLine="482"/>
              <w:rPr>
                <w:b/>
                <w:bCs/>
                <w:color w:val="000000" w:themeColor="text1"/>
                <w:szCs w:val="24"/>
                <w:highlight w:val="none"/>
                <w14:textFill>
                  <w14:solidFill>
                    <w14:schemeClr w14:val="tx1"/>
                  </w14:solidFill>
                </w14:textFill>
              </w:rPr>
            </w:pPr>
          </w:p>
        </w:tc>
        <w:tc>
          <w:tcPr>
            <w:tcW w:w="962" w:type="dxa"/>
          </w:tcPr>
          <w:p>
            <w:pPr>
              <w:pStyle w:val="32"/>
              <w:ind w:firstLine="482"/>
              <w:rPr>
                <w:b/>
                <w:bCs/>
                <w:color w:val="000000" w:themeColor="text1"/>
                <w:szCs w:val="24"/>
                <w:highlight w:val="none"/>
                <w14:textFill>
                  <w14:solidFill>
                    <w14:schemeClr w14:val="tx1"/>
                  </w14:solidFill>
                </w14:textFill>
              </w:rPr>
            </w:pPr>
          </w:p>
        </w:tc>
        <w:tc>
          <w:tcPr>
            <w:tcW w:w="1000" w:type="dxa"/>
          </w:tcPr>
          <w:p>
            <w:pPr>
              <w:pStyle w:val="32"/>
              <w:ind w:firstLine="482"/>
              <w:rPr>
                <w:b/>
                <w:bCs/>
                <w:color w:val="000000" w:themeColor="text1"/>
                <w:szCs w:val="24"/>
                <w:highlight w:val="none"/>
                <w14:textFill>
                  <w14:solidFill>
                    <w14:schemeClr w14:val="tx1"/>
                  </w14:solidFill>
                </w14:textFill>
              </w:rPr>
            </w:pPr>
          </w:p>
        </w:tc>
        <w:tc>
          <w:tcPr>
            <w:tcW w:w="1050" w:type="dxa"/>
          </w:tcPr>
          <w:p>
            <w:pPr>
              <w:pStyle w:val="32"/>
              <w:ind w:firstLine="482"/>
              <w:rPr>
                <w:b/>
                <w:bCs/>
                <w:color w:val="000000" w:themeColor="text1"/>
                <w:szCs w:val="24"/>
                <w:highlight w:val="none"/>
                <w14:textFill>
                  <w14:solidFill>
                    <w14:schemeClr w14:val="tx1"/>
                  </w14:solidFill>
                </w14:textFill>
              </w:rPr>
            </w:pPr>
          </w:p>
        </w:tc>
        <w:tc>
          <w:tcPr>
            <w:tcW w:w="1063" w:type="dxa"/>
          </w:tcPr>
          <w:p>
            <w:pPr>
              <w:pStyle w:val="32"/>
              <w:ind w:firstLine="482"/>
              <w:rPr>
                <w:b/>
                <w:bCs/>
                <w:color w:val="000000" w:themeColor="text1"/>
                <w:szCs w:val="24"/>
                <w:highlight w:val="none"/>
                <w14:textFill>
                  <w14:solidFill>
                    <w14:schemeClr w14:val="tx1"/>
                  </w14:solidFill>
                </w14:textFill>
              </w:rPr>
            </w:pPr>
          </w:p>
        </w:tc>
        <w:tc>
          <w:tcPr>
            <w:tcW w:w="1050" w:type="dxa"/>
          </w:tcPr>
          <w:p>
            <w:pPr>
              <w:pStyle w:val="32"/>
              <w:ind w:firstLine="482"/>
              <w:rPr>
                <w:b/>
                <w:bCs/>
                <w:color w:val="000000" w:themeColor="text1"/>
                <w:szCs w:val="24"/>
                <w:highlight w:val="none"/>
                <w14:textFill>
                  <w14:solidFill>
                    <w14:schemeClr w14:val="tx1"/>
                  </w14:solidFill>
                </w14:textFill>
              </w:rPr>
            </w:pPr>
          </w:p>
        </w:tc>
        <w:tc>
          <w:tcPr>
            <w:tcW w:w="1200" w:type="dxa"/>
          </w:tcPr>
          <w:p>
            <w:pPr>
              <w:pStyle w:val="32"/>
              <w:ind w:firstLine="482"/>
              <w:rPr>
                <w:b/>
                <w:bCs/>
                <w:color w:val="000000" w:themeColor="text1"/>
                <w:szCs w:val="24"/>
                <w:highlight w:val="none"/>
                <w14:textFill>
                  <w14:solidFill>
                    <w14:schemeClr w14:val="tx1"/>
                  </w14:solidFill>
                </w14:textFill>
              </w:rPr>
            </w:pPr>
          </w:p>
        </w:tc>
        <w:tc>
          <w:tcPr>
            <w:tcW w:w="1243" w:type="dxa"/>
          </w:tcPr>
          <w:p>
            <w:pPr>
              <w:pStyle w:val="32"/>
              <w:ind w:firstLine="482"/>
              <w:rPr>
                <w:b/>
                <w:bCs/>
                <w:color w:val="000000" w:themeColor="text1"/>
                <w:szCs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32"/>
              <w:ind w:firstLine="482"/>
              <w:rPr>
                <w:b/>
                <w:bCs/>
                <w:color w:val="000000" w:themeColor="text1"/>
                <w:szCs w:val="24"/>
                <w:highlight w:val="none"/>
                <w14:textFill>
                  <w14:solidFill>
                    <w14:schemeClr w14:val="tx1"/>
                  </w14:solidFill>
                </w14:textFill>
              </w:rPr>
            </w:pPr>
          </w:p>
        </w:tc>
        <w:tc>
          <w:tcPr>
            <w:tcW w:w="1088" w:type="dxa"/>
          </w:tcPr>
          <w:p>
            <w:pPr>
              <w:pStyle w:val="32"/>
              <w:ind w:firstLine="482"/>
              <w:rPr>
                <w:b/>
                <w:bCs/>
                <w:color w:val="000000" w:themeColor="text1"/>
                <w:szCs w:val="24"/>
                <w:highlight w:val="none"/>
                <w14:textFill>
                  <w14:solidFill>
                    <w14:schemeClr w14:val="tx1"/>
                  </w14:solidFill>
                </w14:textFill>
              </w:rPr>
            </w:pPr>
          </w:p>
        </w:tc>
        <w:tc>
          <w:tcPr>
            <w:tcW w:w="962" w:type="dxa"/>
          </w:tcPr>
          <w:p>
            <w:pPr>
              <w:pStyle w:val="32"/>
              <w:ind w:firstLine="482"/>
              <w:rPr>
                <w:b/>
                <w:bCs/>
                <w:color w:val="000000" w:themeColor="text1"/>
                <w:szCs w:val="24"/>
                <w:highlight w:val="none"/>
                <w14:textFill>
                  <w14:solidFill>
                    <w14:schemeClr w14:val="tx1"/>
                  </w14:solidFill>
                </w14:textFill>
              </w:rPr>
            </w:pPr>
          </w:p>
        </w:tc>
        <w:tc>
          <w:tcPr>
            <w:tcW w:w="1000" w:type="dxa"/>
          </w:tcPr>
          <w:p>
            <w:pPr>
              <w:pStyle w:val="32"/>
              <w:ind w:firstLine="482"/>
              <w:rPr>
                <w:b/>
                <w:bCs/>
                <w:color w:val="000000" w:themeColor="text1"/>
                <w:szCs w:val="24"/>
                <w:highlight w:val="none"/>
                <w14:textFill>
                  <w14:solidFill>
                    <w14:schemeClr w14:val="tx1"/>
                  </w14:solidFill>
                </w14:textFill>
              </w:rPr>
            </w:pPr>
          </w:p>
        </w:tc>
        <w:tc>
          <w:tcPr>
            <w:tcW w:w="1050" w:type="dxa"/>
          </w:tcPr>
          <w:p>
            <w:pPr>
              <w:pStyle w:val="32"/>
              <w:ind w:firstLine="482"/>
              <w:rPr>
                <w:b/>
                <w:bCs/>
                <w:color w:val="000000" w:themeColor="text1"/>
                <w:szCs w:val="24"/>
                <w:highlight w:val="none"/>
                <w14:textFill>
                  <w14:solidFill>
                    <w14:schemeClr w14:val="tx1"/>
                  </w14:solidFill>
                </w14:textFill>
              </w:rPr>
            </w:pPr>
          </w:p>
        </w:tc>
        <w:tc>
          <w:tcPr>
            <w:tcW w:w="1063" w:type="dxa"/>
          </w:tcPr>
          <w:p>
            <w:pPr>
              <w:pStyle w:val="32"/>
              <w:ind w:firstLine="482"/>
              <w:rPr>
                <w:b/>
                <w:bCs/>
                <w:color w:val="000000" w:themeColor="text1"/>
                <w:szCs w:val="24"/>
                <w:highlight w:val="none"/>
                <w14:textFill>
                  <w14:solidFill>
                    <w14:schemeClr w14:val="tx1"/>
                  </w14:solidFill>
                </w14:textFill>
              </w:rPr>
            </w:pPr>
          </w:p>
        </w:tc>
        <w:tc>
          <w:tcPr>
            <w:tcW w:w="1050" w:type="dxa"/>
          </w:tcPr>
          <w:p>
            <w:pPr>
              <w:pStyle w:val="32"/>
              <w:ind w:firstLine="482"/>
              <w:rPr>
                <w:b/>
                <w:bCs/>
                <w:color w:val="000000" w:themeColor="text1"/>
                <w:szCs w:val="24"/>
                <w:highlight w:val="none"/>
                <w14:textFill>
                  <w14:solidFill>
                    <w14:schemeClr w14:val="tx1"/>
                  </w14:solidFill>
                </w14:textFill>
              </w:rPr>
            </w:pPr>
          </w:p>
        </w:tc>
        <w:tc>
          <w:tcPr>
            <w:tcW w:w="1200" w:type="dxa"/>
          </w:tcPr>
          <w:p>
            <w:pPr>
              <w:pStyle w:val="32"/>
              <w:ind w:firstLine="482"/>
              <w:rPr>
                <w:b/>
                <w:bCs/>
                <w:color w:val="000000" w:themeColor="text1"/>
                <w:szCs w:val="24"/>
                <w:highlight w:val="none"/>
                <w14:textFill>
                  <w14:solidFill>
                    <w14:schemeClr w14:val="tx1"/>
                  </w14:solidFill>
                </w14:textFill>
              </w:rPr>
            </w:pPr>
          </w:p>
        </w:tc>
        <w:tc>
          <w:tcPr>
            <w:tcW w:w="1243" w:type="dxa"/>
          </w:tcPr>
          <w:p>
            <w:pPr>
              <w:pStyle w:val="32"/>
              <w:ind w:firstLine="482"/>
              <w:rPr>
                <w:b/>
                <w:bCs/>
                <w:color w:val="000000" w:themeColor="text1"/>
                <w:szCs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32"/>
              <w:ind w:firstLine="482"/>
              <w:rPr>
                <w:b/>
                <w:bCs/>
                <w:color w:val="000000" w:themeColor="text1"/>
                <w:szCs w:val="24"/>
                <w:highlight w:val="none"/>
                <w14:textFill>
                  <w14:solidFill>
                    <w14:schemeClr w14:val="tx1"/>
                  </w14:solidFill>
                </w14:textFill>
              </w:rPr>
            </w:pPr>
          </w:p>
        </w:tc>
        <w:tc>
          <w:tcPr>
            <w:tcW w:w="1088" w:type="dxa"/>
          </w:tcPr>
          <w:p>
            <w:pPr>
              <w:pStyle w:val="32"/>
              <w:ind w:firstLine="482"/>
              <w:rPr>
                <w:b/>
                <w:bCs/>
                <w:color w:val="000000" w:themeColor="text1"/>
                <w:szCs w:val="24"/>
                <w:highlight w:val="none"/>
                <w14:textFill>
                  <w14:solidFill>
                    <w14:schemeClr w14:val="tx1"/>
                  </w14:solidFill>
                </w14:textFill>
              </w:rPr>
            </w:pPr>
          </w:p>
        </w:tc>
        <w:tc>
          <w:tcPr>
            <w:tcW w:w="962" w:type="dxa"/>
          </w:tcPr>
          <w:p>
            <w:pPr>
              <w:pStyle w:val="32"/>
              <w:ind w:firstLine="482"/>
              <w:rPr>
                <w:b/>
                <w:bCs/>
                <w:color w:val="000000" w:themeColor="text1"/>
                <w:szCs w:val="24"/>
                <w:highlight w:val="none"/>
                <w14:textFill>
                  <w14:solidFill>
                    <w14:schemeClr w14:val="tx1"/>
                  </w14:solidFill>
                </w14:textFill>
              </w:rPr>
            </w:pPr>
          </w:p>
        </w:tc>
        <w:tc>
          <w:tcPr>
            <w:tcW w:w="1000" w:type="dxa"/>
          </w:tcPr>
          <w:p>
            <w:pPr>
              <w:pStyle w:val="32"/>
              <w:ind w:firstLine="482"/>
              <w:rPr>
                <w:b/>
                <w:bCs/>
                <w:color w:val="000000" w:themeColor="text1"/>
                <w:szCs w:val="24"/>
                <w:highlight w:val="none"/>
                <w14:textFill>
                  <w14:solidFill>
                    <w14:schemeClr w14:val="tx1"/>
                  </w14:solidFill>
                </w14:textFill>
              </w:rPr>
            </w:pPr>
          </w:p>
        </w:tc>
        <w:tc>
          <w:tcPr>
            <w:tcW w:w="1050" w:type="dxa"/>
          </w:tcPr>
          <w:p>
            <w:pPr>
              <w:pStyle w:val="32"/>
              <w:ind w:firstLine="482"/>
              <w:rPr>
                <w:b/>
                <w:bCs/>
                <w:color w:val="000000" w:themeColor="text1"/>
                <w:szCs w:val="24"/>
                <w:highlight w:val="none"/>
                <w14:textFill>
                  <w14:solidFill>
                    <w14:schemeClr w14:val="tx1"/>
                  </w14:solidFill>
                </w14:textFill>
              </w:rPr>
            </w:pPr>
          </w:p>
        </w:tc>
        <w:tc>
          <w:tcPr>
            <w:tcW w:w="1063" w:type="dxa"/>
          </w:tcPr>
          <w:p>
            <w:pPr>
              <w:pStyle w:val="32"/>
              <w:ind w:firstLine="482"/>
              <w:rPr>
                <w:b/>
                <w:bCs/>
                <w:color w:val="000000" w:themeColor="text1"/>
                <w:szCs w:val="24"/>
                <w:highlight w:val="none"/>
                <w14:textFill>
                  <w14:solidFill>
                    <w14:schemeClr w14:val="tx1"/>
                  </w14:solidFill>
                </w14:textFill>
              </w:rPr>
            </w:pPr>
          </w:p>
        </w:tc>
        <w:tc>
          <w:tcPr>
            <w:tcW w:w="1050" w:type="dxa"/>
          </w:tcPr>
          <w:p>
            <w:pPr>
              <w:pStyle w:val="32"/>
              <w:ind w:firstLine="482"/>
              <w:rPr>
                <w:b/>
                <w:bCs/>
                <w:color w:val="000000" w:themeColor="text1"/>
                <w:szCs w:val="24"/>
                <w:highlight w:val="none"/>
                <w14:textFill>
                  <w14:solidFill>
                    <w14:schemeClr w14:val="tx1"/>
                  </w14:solidFill>
                </w14:textFill>
              </w:rPr>
            </w:pPr>
          </w:p>
        </w:tc>
        <w:tc>
          <w:tcPr>
            <w:tcW w:w="1200" w:type="dxa"/>
          </w:tcPr>
          <w:p>
            <w:pPr>
              <w:pStyle w:val="32"/>
              <w:ind w:firstLine="482"/>
              <w:rPr>
                <w:b/>
                <w:bCs/>
                <w:color w:val="000000" w:themeColor="text1"/>
                <w:szCs w:val="24"/>
                <w:highlight w:val="none"/>
                <w14:textFill>
                  <w14:solidFill>
                    <w14:schemeClr w14:val="tx1"/>
                  </w14:solidFill>
                </w14:textFill>
              </w:rPr>
            </w:pPr>
          </w:p>
        </w:tc>
        <w:tc>
          <w:tcPr>
            <w:tcW w:w="1243" w:type="dxa"/>
          </w:tcPr>
          <w:p>
            <w:pPr>
              <w:pStyle w:val="32"/>
              <w:ind w:firstLine="482"/>
              <w:rPr>
                <w:b/>
                <w:bCs/>
                <w:color w:val="000000" w:themeColor="text1"/>
                <w:szCs w:val="24"/>
                <w:highlight w:val="none"/>
                <w14:textFill>
                  <w14:solidFill>
                    <w14:schemeClr w14:val="tx1"/>
                  </w14:solidFill>
                </w14:textFill>
              </w:rPr>
            </w:pPr>
          </w:p>
        </w:tc>
      </w:tr>
    </w:tbl>
    <w:p>
      <w:pPr>
        <w:pStyle w:val="32"/>
        <w:ind w:firstLine="482"/>
        <w:rPr>
          <w:b/>
          <w:bCs/>
          <w:color w:val="000000" w:themeColor="text1"/>
          <w:szCs w:val="24"/>
          <w:highlight w:val="none"/>
          <w14:textFill>
            <w14:solidFill>
              <w14:schemeClr w14:val="tx1"/>
            </w14:solidFill>
          </w14:textFill>
        </w:rPr>
      </w:pPr>
    </w:p>
    <w:p>
      <w:pPr>
        <w:spacing w:beforeLines="50"/>
        <w:ind w:left="755" w:leftChars="23" w:right="-57" w:rightChars="-27" w:hanging="707" w:hangingChars="337"/>
        <w:jc w:val="left"/>
        <w:rPr>
          <w:rFonts w:eastAsia="Times New Roman"/>
          <w:color w:val="000000" w:themeColor="text1"/>
          <w:sz w:val="24"/>
          <w:highlight w:val="none"/>
          <w14:textFill>
            <w14:solidFill>
              <w14:schemeClr w14:val="tx1"/>
            </w14:solidFill>
          </w14:textFill>
        </w:rPr>
      </w:pPr>
      <w:r>
        <w:rPr>
          <w:rFonts w:hint="eastAsia" w:cs="宋体"/>
          <w:color w:val="000000" w:themeColor="text1"/>
          <w:szCs w:val="18"/>
          <w:highlight w:val="none"/>
          <w:lang w:bidi="ar"/>
          <w14:textFill>
            <w14:solidFill>
              <w14:schemeClr w14:val="tx1"/>
            </w14:solidFill>
          </w14:textFill>
        </w:rPr>
        <w:t>注：</w:t>
      </w:r>
      <w:r>
        <w:rPr>
          <w:rFonts w:hint="eastAsia" w:cs="宋体"/>
          <w:color w:val="000000" w:themeColor="text1"/>
          <w:highlight w:val="none"/>
          <w:lang w:bidi="ar"/>
          <w14:textFill>
            <w14:solidFill>
              <w14:schemeClr w14:val="tx1"/>
            </w14:solidFill>
          </w14:textFill>
        </w:rPr>
        <w:t>此表应后附比选文件要求提供的相应人员资质及业绩证明文件。</w:t>
      </w:r>
    </w:p>
    <w:p>
      <w:pPr>
        <w:pStyle w:val="32"/>
        <w:ind w:firstLine="482"/>
        <w:rPr>
          <w:b/>
          <w:bCs/>
          <w:color w:val="000000" w:themeColor="text1"/>
          <w:szCs w:val="24"/>
          <w:highlight w:val="none"/>
          <w14:textFill>
            <w14:solidFill>
              <w14:schemeClr w14:val="tx1"/>
            </w14:solidFill>
          </w14:textFill>
        </w:rPr>
      </w:pPr>
    </w:p>
    <w:p>
      <w:pPr>
        <w:snapToGrid w:val="0"/>
        <w:spacing w:before="0" w:after="0" w:afterAutospacing="0" w:line="400" w:lineRule="exact"/>
        <w:ind w:left="0" w:right="0" w:firstLine="426"/>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w:t>
      </w:r>
      <w:r>
        <w:rPr>
          <w:rFonts w:ascii="宋体" w:hAnsi="宋体"/>
          <w:color w:val="000000" w:themeColor="text1"/>
          <w:highlight w:val="none"/>
          <w14:textFill>
            <w14:solidFill>
              <w14:schemeClr w14:val="tx1"/>
            </w14:solidFill>
          </w14:textFill>
        </w:rPr>
        <w:t>人</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u w:val="single"/>
          <w14:textFill>
            <w14:solidFill>
              <w14:schemeClr w14:val="tx1"/>
            </w14:solidFill>
          </w14:textFill>
        </w:rPr>
        <w:t xml:space="preserve"> </w:t>
      </w:r>
      <w:r>
        <w:rPr>
          <w:rFonts w:hint="eastAsia" w:ascii="宋体" w:hAnsi="宋体" w:cs="Arial"/>
          <w:color w:val="000000" w:themeColor="text1"/>
          <w:highlight w:val="none"/>
          <w:u w:val="single"/>
          <w14:textFill>
            <w14:solidFill>
              <w14:schemeClr w14:val="tx1"/>
            </w14:solidFill>
          </w14:textFill>
        </w:rPr>
        <w:t>（填写）</w:t>
      </w:r>
      <w:r>
        <w:rPr>
          <w:rFonts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u w:val="single"/>
          <w14:textFill>
            <w14:solidFill>
              <w14:schemeClr w14:val="tx1"/>
            </w14:solidFill>
          </w14:textFill>
        </w:rPr>
        <w:t>盖单位公章</w:t>
      </w:r>
      <w:r>
        <w:rPr>
          <w:rFonts w:ascii="宋体" w:hAnsi="宋体"/>
          <w:color w:val="000000" w:themeColor="text1"/>
          <w:highlight w:val="none"/>
          <w:u w:val="single"/>
          <w14:textFill>
            <w14:solidFill>
              <w14:schemeClr w14:val="tx1"/>
            </w14:solidFill>
          </w14:textFill>
        </w:rPr>
        <w:t>)</w:t>
      </w:r>
    </w:p>
    <w:p>
      <w:pPr>
        <w:snapToGrid w:val="0"/>
        <w:spacing w:before="0" w:after="0" w:afterAutospacing="0" w:line="400" w:lineRule="exact"/>
        <w:ind w:left="0" w:right="0" w:firstLine="426"/>
        <w:jc w:val="center"/>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法定代表人（或委托代理人）：</w:t>
      </w:r>
      <w:r>
        <w:rPr>
          <w:rFonts w:ascii="宋体" w:hAnsi="宋体"/>
          <w:color w:val="000000" w:themeColor="text1"/>
          <w:highlight w:val="none"/>
          <w:u w:val="single"/>
          <w14:textFill>
            <w14:solidFill>
              <w14:schemeClr w14:val="tx1"/>
            </w14:solidFill>
          </w14:textFill>
        </w:rPr>
        <w:t>(签字</w:t>
      </w:r>
      <w:r>
        <w:rPr>
          <w:rFonts w:hint="eastAsia" w:ascii="宋体" w:hAnsi="宋体"/>
          <w:color w:val="000000" w:themeColor="text1"/>
          <w:highlight w:val="none"/>
          <w:u w:val="single"/>
          <w14:textFill>
            <w14:solidFill>
              <w14:schemeClr w14:val="tx1"/>
            </w14:solidFill>
          </w14:textFill>
        </w:rPr>
        <w:t>或盖章</w:t>
      </w:r>
      <w:r>
        <w:rPr>
          <w:rFonts w:ascii="宋体" w:hAnsi="宋体"/>
          <w:color w:val="000000" w:themeColor="text1"/>
          <w:highlight w:val="none"/>
          <w:u w:val="single"/>
          <w14:textFill>
            <w14:solidFill>
              <w14:schemeClr w14:val="tx1"/>
            </w14:solidFill>
          </w14:textFill>
        </w:rPr>
        <w:t>)</w:t>
      </w:r>
    </w:p>
    <w:p>
      <w:pPr>
        <w:snapToGrid w:val="0"/>
        <w:spacing w:before="0" w:after="0" w:afterAutospacing="0" w:line="400" w:lineRule="exact"/>
        <w:ind w:left="0" w:right="0" w:firstLine="426"/>
        <w:jc w:val="center"/>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日期：年</w:t>
      </w:r>
      <w:r>
        <w:rPr>
          <w:rFonts w:hint="eastAsia" w:ascii="宋体" w:hAnsi="宋体"/>
          <w:color w:val="000000" w:themeColor="text1"/>
          <w:highlight w:val="non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月</w:t>
      </w:r>
      <w:r>
        <w:rPr>
          <w:rFonts w:hint="eastAsia" w:ascii="宋体" w:hAnsi="宋体"/>
          <w:color w:val="000000" w:themeColor="text1"/>
          <w:highlight w:val="non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日</w:t>
      </w:r>
    </w:p>
    <w:p>
      <w:r>
        <w:rPr>
          <w:color w:val="000000" w:themeColor="text1"/>
          <w:highlight w:val="none"/>
          <w14:textFill>
            <w14:solidFill>
              <w14:schemeClr w14:val="tx1"/>
            </w14:solidFill>
          </w14:textFill>
        </w:rPr>
        <w:br w:type="page"/>
      </w:r>
      <w:bookmarkStart w:id="1428" w:name="_Toc114134674"/>
    </w:p>
    <w:p>
      <w:pPr>
        <w:pStyle w:val="32"/>
        <w:ind w:firstLine="480"/>
        <w:rPr>
          <w:color w:val="000000" w:themeColor="text1"/>
          <w:highlight w:val="none"/>
          <w14:textFill>
            <w14:solidFill>
              <w14:schemeClr w14:val="tx1"/>
            </w14:solidFill>
          </w14:textFill>
        </w:rPr>
      </w:pPr>
    </w:p>
    <w:p>
      <w:pPr>
        <w:pStyle w:val="3"/>
        <w:tabs>
          <w:tab w:val="left" w:pos="567"/>
          <w:tab w:val="left" w:pos="720"/>
        </w:tabs>
        <w:snapToGrid w:val="0"/>
        <w:spacing w:before="120" w:after="0" w:line="360" w:lineRule="auto"/>
        <w:ind w:left="0" w:right="-57" w:firstLine="0"/>
        <w:jc w:val="left"/>
        <w:rPr>
          <w:rFonts w:ascii="宋体" w:hAnsi="宋体" w:eastAsia="宋体"/>
          <w:color w:val="000000" w:themeColor="text1"/>
          <w:sz w:val="21"/>
          <w:szCs w:val="21"/>
          <w:highlight w:val="none"/>
          <w14:textFill>
            <w14:solidFill>
              <w14:schemeClr w14:val="tx1"/>
            </w14:solidFill>
          </w14:textFill>
        </w:rPr>
      </w:pPr>
      <w:bookmarkStart w:id="1429" w:name="_Toc28339"/>
      <w:bookmarkStart w:id="1430" w:name="_Toc20577"/>
      <w:r>
        <w:rPr>
          <w:rFonts w:hint="eastAsia" w:ascii="宋体" w:hAnsi="宋体" w:eastAsia="宋体"/>
          <w:color w:val="000000" w:themeColor="text1"/>
          <w:sz w:val="21"/>
          <w:szCs w:val="21"/>
          <w:highlight w:val="none"/>
          <w14:textFill>
            <w14:solidFill>
              <w14:schemeClr w14:val="tx1"/>
            </w14:solidFill>
          </w14:textFill>
        </w:rPr>
        <w:t>C</w:t>
      </w:r>
      <w:r>
        <w:rPr>
          <w:rFonts w:hint="eastAsia" w:ascii="宋体" w:hAnsi="宋体" w:eastAsia="宋体"/>
          <w:color w:val="000000" w:themeColor="text1"/>
          <w:sz w:val="21"/>
          <w:szCs w:val="21"/>
          <w:highlight w:val="none"/>
          <w:lang w:val="en-US" w:eastAsia="zh-CN"/>
          <w14:textFill>
            <w14:solidFill>
              <w14:schemeClr w14:val="tx1"/>
            </w14:solidFill>
          </w14:textFill>
        </w:rPr>
        <w:t>4</w:t>
      </w:r>
      <w:r>
        <w:rPr>
          <w:rFonts w:hint="eastAsia" w:ascii="宋体" w:hAnsi="宋体" w:eastAsia="宋体"/>
          <w:color w:val="000000" w:themeColor="text1"/>
          <w:sz w:val="21"/>
          <w:szCs w:val="21"/>
          <w:highlight w:val="none"/>
          <w:lang w:eastAsia="zh-CN"/>
          <w14:textFill>
            <w14:solidFill>
              <w14:schemeClr w14:val="tx1"/>
            </w14:solidFill>
          </w14:textFill>
        </w:rPr>
        <w:t>服务建议书</w:t>
      </w:r>
      <w:r>
        <w:rPr>
          <w:rFonts w:hint="eastAsia" w:ascii="宋体" w:hAnsi="宋体" w:eastAsia="宋体"/>
          <w:color w:val="000000" w:themeColor="text1"/>
          <w:sz w:val="21"/>
          <w:szCs w:val="21"/>
          <w:highlight w:val="none"/>
          <w14:textFill>
            <w14:solidFill>
              <w14:schemeClr w14:val="tx1"/>
            </w14:solidFill>
          </w14:textFill>
        </w:rPr>
        <w:t>（格式自拟）</w:t>
      </w:r>
      <w:bookmarkEnd w:id="1429"/>
      <w:bookmarkEnd w:id="1430"/>
    </w:p>
    <w:p>
      <w:pPr>
        <w:rPr>
          <w:rFonts w:hint="eastAsia" w:eastAsia="宋体"/>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包含不限于设计服务方案、服务响应方案等</w:t>
      </w:r>
      <w:r>
        <w:rPr>
          <w:rFonts w:hint="eastAsia"/>
          <w:color w:val="000000" w:themeColor="text1"/>
          <w:highlight w:val="none"/>
          <w:lang w:eastAsia="zh-CN"/>
          <w14:textFill>
            <w14:solidFill>
              <w14:schemeClr w14:val="tx1"/>
            </w14:solidFill>
          </w14:textFill>
        </w:rPr>
        <w:t>）</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pPr>
        <w:pStyle w:val="32"/>
        <w:ind w:firstLine="480"/>
        <w:jc w:val="center"/>
        <w:rPr>
          <w:color w:val="000000" w:themeColor="text1"/>
          <w:highlight w:val="none"/>
          <w14:textFill>
            <w14:solidFill>
              <w14:schemeClr w14:val="tx1"/>
            </w14:solidFill>
          </w14:textFill>
        </w:rPr>
      </w:pPr>
    </w:p>
    <w:p>
      <w:pPr>
        <w:pStyle w:val="3"/>
        <w:tabs>
          <w:tab w:val="left" w:pos="567"/>
          <w:tab w:val="left" w:pos="720"/>
        </w:tabs>
        <w:snapToGrid w:val="0"/>
        <w:spacing w:before="120" w:after="0" w:line="360" w:lineRule="auto"/>
        <w:ind w:left="0" w:right="-57" w:firstLine="0"/>
        <w:jc w:val="left"/>
        <w:rPr>
          <w:rFonts w:ascii="宋体" w:hAnsi="宋体" w:eastAsia="宋体"/>
          <w:color w:val="000000" w:themeColor="text1"/>
          <w:sz w:val="21"/>
          <w:szCs w:val="21"/>
          <w:highlight w:val="none"/>
          <w14:textFill>
            <w14:solidFill>
              <w14:schemeClr w14:val="tx1"/>
            </w14:solidFill>
          </w14:textFill>
        </w:rPr>
      </w:pPr>
      <w:bookmarkStart w:id="1431" w:name="_Toc16657"/>
      <w:r>
        <w:rPr>
          <w:rFonts w:hint="eastAsia" w:ascii="宋体" w:hAnsi="宋体" w:eastAsia="宋体"/>
          <w:color w:val="000000" w:themeColor="text1"/>
          <w:sz w:val="21"/>
          <w:szCs w:val="21"/>
          <w:highlight w:val="none"/>
          <w14:textFill>
            <w14:solidFill>
              <w14:schemeClr w14:val="tx1"/>
            </w14:solidFill>
          </w14:textFill>
        </w:rPr>
        <w:t>C</w:t>
      </w:r>
      <w:r>
        <w:rPr>
          <w:rFonts w:hint="eastAsia" w:ascii="宋体" w:hAnsi="宋体" w:eastAsia="宋体"/>
          <w:color w:val="000000" w:themeColor="text1"/>
          <w:sz w:val="21"/>
          <w:szCs w:val="21"/>
          <w:highlight w:val="none"/>
          <w:lang w:val="en-US" w:eastAsia="zh-CN"/>
          <w14:textFill>
            <w14:solidFill>
              <w14:schemeClr w14:val="tx1"/>
            </w14:solidFill>
          </w14:textFill>
        </w:rPr>
        <w:t>5</w:t>
      </w:r>
      <w:r>
        <w:rPr>
          <w:rFonts w:hint="eastAsia" w:ascii="宋体" w:hAnsi="宋体" w:eastAsia="宋体"/>
          <w:color w:val="000000" w:themeColor="text1"/>
          <w:sz w:val="21"/>
          <w:szCs w:val="21"/>
          <w:highlight w:val="none"/>
          <w14:textFill>
            <w14:solidFill>
              <w14:schemeClr w14:val="tx1"/>
            </w14:solidFill>
          </w14:textFill>
        </w:rPr>
        <w:t>业绩表</w:t>
      </w:r>
      <w:bookmarkEnd w:id="1428"/>
      <w:bookmarkEnd w:id="1431"/>
    </w:p>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Pr>
        <w:spacing w:before="0"/>
        <w:ind w:right="-57" w:firstLine="0"/>
        <w:jc w:val="center"/>
        <w:rPr>
          <w:rFonts w:ascii="宋体" w:hAnsi="宋体"/>
          <w:b/>
          <w:color w:val="000000" w:themeColor="text1"/>
          <w:spacing w:val="20"/>
          <w:highlight w:val="none"/>
          <w14:textFill>
            <w14:solidFill>
              <w14:schemeClr w14:val="tx1"/>
            </w14:solidFill>
          </w14:textFill>
        </w:rPr>
      </w:pPr>
      <w:bookmarkStart w:id="1432" w:name="_Toc1104"/>
      <w:bookmarkStart w:id="1433" w:name="_Toc531"/>
      <w:bookmarkStart w:id="1434" w:name="_Toc6090"/>
      <w:bookmarkStart w:id="1435" w:name="_Toc3174"/>
      <w:bookmarkStart w:id="1436" w:name="_Toc1777"/>
      <w:bookmarkStart w:id="1437" w:name="_Toc3551"/>
      <w:bookmarkStart w:id="1438" w:name="_Toc4284"/>
      <w:bookmarkStart w:id="1439" w:name="_Toc5008"/>
      <w:bookmarkStart w:id="1440" w:name="_Toc21231"/>
      <w:bookmarkStart w:id="1441" w:name="_Toc14738"/>
      <w:bookmarkStart w:id="1442" w:name="_Toc14104"/>
      <w:bookmarkStart w:id="1443" w:name="_Toc22547"/>
      <w:bookmarkStart w:id="1444" w:name="_Toc17186"/>
      <w:bookmarkStart w:id="1445" w:name="_Toc9329"/>
      <w:bookmarkStart w:id="1446" w:name="_Toc25908"/>
      <w:bookmarkStart w:id="1447" w:name="_Toc26286"/>
      <w:bookmarkStart w:id="1448" w:name="_Toc147"/>
      <w:r>
        <w:rPr>
          <w:rFonts w:hint="eastAsia" w:ascii="宋体" w:hAnsi="宋体"/>
          <w:b/>
          <w:color w:val="000000" w:themeColor="text1"/>
          <w:spacing w:val="20"/>
          <w:highlight w:val="none"/>
          <w14:textFill>
            <w14:solidFill>
              <w14:schemeClr w14:val="tx1"/>
            </w14:solidFill>
          </w14:textFill>
        </w:rPr>
        <w:t>类似项目</w:t>
      </w:r>
      <w:r>
        <w:rPr>
          <w:rFonts w:ascii="宋体" w:hAnsi="宋体"/>
          <w:b/>
          <w:color w:val="000000" w:themeColor="text1"/>
          <w:spacing w:val="20"/>
          <w:highlight w:val="none"/>
          <w14:textFill>
            <w14:solidFill>
              <w14:schemeClr w14:val="tx1"/>
            </w14:solidFill>
          </w14:textFill>
        </w:rPr>
        <w:t>业绩表</w:t>
      </w:r>
    </w:p>
    <w:tbl>
      <w:tblPr>
        <w:tblStyle w:val="35"/>
        <w:tblW w:w="9932"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2"/>
        <w:gridCol w:w="993"/>
        <w:gridCol w:w="1388"/>
        <w:gridCol w:w="1044"/>
        <w:gridCol w:w="1043"/>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序号</w:t>
            </w:r>
          </w:p>
        </w:tc>
        <w:tc>
          <w:tcPr>
            <w:tcW w:w="1092"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项目名称</w:t>
            </w:r>
          </w:p>
        </w:tc>
        <w:tc>
          <w:tcPr>
            <w:tcW w:w="1789"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合同内容（简述）</w:t>
            </w:r>
          </w:p>
        </w:tc>
        <w:tc>
          <w:tcPr>
            <w:tcW w:w="992" w:type="dxa"/>
            <w:tcBorders>
              <w:top w:val="double" w:color="auto" w:sz="4" w:space="0"/>
            </w:tcBorders>
          </w:tcPr>
          <w:p>
            <w:pPr>
              <w:ind w:lef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设计面积/㎡</w:t>
            </w:r>
          </w:p>
        </w:tc>
        <w:tc>
          <w:tcPr>
            <w:tcW w:w="992" w:type="dxa"/>
            <w:tcBorders>
              <w:top w:val="double" w:color="auto" w:sz="4" w:space="0"/>
            </w:tcBorders>
            <w:vAlign w:val="center"/>
          </w:tcPr>
          <w:p>
            <w:pPr>
              <w:ind w:left="0" w:firstLine="0"/>
              <w:jc w:val="center"/>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w:t>
            </w:r>
          </w:p>
          <w:p>
            <w:pPr>
              <w:ind w:lef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金额</w:t>
            </w:r>
          </w:p>
        </w:tc>
        <w:tc>
          <w:tcPr>
            <w:tcW w:w="993" w:type="dxa"/>
            <w:tcBorders>
              <w:top w:val="double" w:color="auto" w:sz="4" w:space="0"/>
            </w:tcBorders>
            <w:vAlign w:val="center"/>
          </w:tcPr>
          <w:p>
            <w:pPr>
              <w:ind w:left="0" w:firstLine="0"/>
              <w:jc w:val="center"/>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签订</w:t>
            </w:r>
          </w:p>
          <w:p>
            <w:pPr>
              <w:ind w:lef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时间</w:t>
            </w:r>
          </w:p>
        </w:tc>
        <w:tc>
          <w:tcPr>
            <w:tcW w:w="1388" w:type="dxa"/>
            <w:tcBorders>
              <w:top w:val="double" w:color="auto" w:sz="4" w:space="0"/>
            </w:tcBorders>
            <w:vAlign w:val="center"/>
          </w:tcPr>
          <w:p>
            <w:pPr>
              <w:ind w:left="0" w:firstLine="0"/>
              <w:jc w:val="center"/>
              <w:rPr>
                <w:rFonts w:ascii="宋体" w:hAnsi="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工期或服务</w:t>
            </w:r>
            <w:r>
              <w:rPr>
                <w:rFonts w:hint="eastAsia" w:ascii="宋体" w:hAnsi="宋体"/>
                <w:color w:val="000000" w:themeColor="text1"/>
                <w:highlight w:val="none"/>
                <w14:textFill>
                  <w14:solidFill>
                    <w14:schemeClr w14:val="tx1"/>
                  </w14:solidFill>
                </w14:textFill>
              </w:rPr>
              <w:t>时间</w:t>
            </w:r>
          </w:p>
        </w:tc>
        <w:tc>
          <w:tcPr>
            <w:tcW w:w="1044"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业主单位</w:t>
            </w:r>
          </w:p>
        </w:tc>
        <w:tc>
          <w:tcPr>
            <w:tcW w:w="1043"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联系电话</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pPr>
              <w:ind w:left="0" w:firstLine="0"/>
              <w:rPr>
                <w:rFonts w:ascii="宋体" w:hAnsi="宋体"/>
                <w:color w:val="000000" w:themeColor="text1"/>
                <w:highlight w:val="none"/>
                <w14:textFill>
                  <w14:solidFill>
                    <w14:schemeClr w14:val="tx1"/>
                  </w14:solidFill>
                </w14:textFill>
              </w:rPr>
            </w:pPr>
          </w:p>
        </w:tc>
        <w:tc>
          <w:tcPr>
            <w:tcW w:w="1092" w:type="dxa"/>
          </w:tcPr>
          <w:p>
            <w:pPr>
              <w:ind w:left="0" w:firstLine="0"/>
              <w:rPr>
                <w:rFonts w:ascii="宋体" w:hAnsi="宋体"/>
                <w:color w:val="000000" w:themeColor="text1"/>
                <w:highlight w:val="none"/>
                <w14:textFill>
                  <w14:solidFill>
                    <w14:schemeClr w14:val="tx1"/>
                  </w14:solidFill>
                </w14:textFill>
              </w:rPr>
            </w:pPr>
          </w:p>
        </w:tc>
        <w:tc>
          <w:tcPr>
            <w:tcW w:w="1789" w:type="dxa"/>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3" w:type="dxa"/>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tcPr>
          <w:p>
            <w:pPr>
              <w:ind w:left="0" w:firstLine="0"/>
              <w:rPr>
                <w:rFonts w:ascii="宋体" w:hAnsi="宋体"/>
                <w:color w:val="000000" w:themeColor="text1"/>
                <w:highlight w:val="none"/>
                <w14:textFill>
                  <w14:solidFill>
                    <w14:schemeClr w14:val="tx1"/>
                  </w14:solidFill>
                </w14:textFill>
              </w:rPr>
            </w:pPr>
          </w:p>
        </w:tc>
        <w:tc>
          <w:tcPr>
            <w:tcW w:w="1043" w:type="dxa"/>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bl>
    <w:p>
      <w:pPr>
        <w:spacing w:before="0"/>
        <w:ind w:left="567" w:right="-57" w:hanging="567"/>
        <w:jc w:val="left"/>
        <w:rPr>
          <w:rFonts w:ascii="宋体" w:hAnsi="宋体"/>
          <w:color w:val="000000" w:themeColor="text1"/>
          <w:highlight w:val="none"/>
          <w14:textFill>
            <w14:solidFill>
              <w14:schemeClr w14:val="tx1"/>
            </w14:solidFill>
          </w14:textFill>
        </w:rPr>
      </w:pP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注：1.</w:t>
      </w:r>
      <w:r>
        <w:rPr>
          <w:rFonts w:hint="eastAsia" w:ascii="宋体" w:hAnsi="宋体"/>
          <w:color w:val="000000" w:themeColor="text1"/>
          <w:highlight w:val="none"/>
          <w14:textFill>
            <w14:solidFill>
              <w14:schemeClr w14:val="tx1"/>
            </w14:solidFill>
          </w14:textFill>
        </w:rPr>
        <w:t>类似项目业绩：</w:t>
      </w:r>
      <w:r>
        <w:rPr>
          <w:rFonts w:hint="eastAsia" w:ascii="宋体" w:hAnsi="宋体"/>
          <w:color w:val="000000" w:themeColor="text1"/>
          <w:highlight w:val="none"/>
          <w:lang w:val="en-US" w:eastAsia="zh-CN"/>
          <w14:textFill>
            <w14:solidFill>
              <w14:schemeClr w14:val="tx1"/>
            </w14:solidFill>
          </w14:textFill>
        </w:rPr>
        <w:t>比选申请人自2021年1月1日至比选申请截止时间前，承接过（完工/在建项目）1个及以上50万元（含）以上的市政工程设计项目。</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项目按照时间顺序排列，时间以合同签订时间为准。</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比选申请人须提供相应的业绩证明材料：提供下述材料之一即可：①合同文件；②中标通知书。所提供的材料须能明确反映类似项目特征，复印件加盖比选申请人公章。</w:t>
      </w:r>
    </w:p>
    <w:p>
      <w:pPr>
        <w:snapToGrid w:val="0"/>
        <w:spacing w:after="50" w:line="280" w:lineRule="exact"/>
        <w:ind w:left="955" w:right="-817" w:firstLine="2520" w:firstLineChars="1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比选申请人名称（盖章）：</w:t>
      </w:r>
    </w:p>
    <w:p>
      <w:pPr>
        <w:snapToGrid w:val="0"/>
        <w:spacing w:after="50" w:line="280" w:lineRule="exact"/>
        <w:ind w:right="-817" w:firstLine="2625" w:firstLineChars="125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法定代表人或被授权人（签字）：</w:t>
      </w:r>
    </w:p>
    <w:p>
      <w:pPr>
        <w:ind w:left="710" w:leftChars="338" w:right="-57" w:firstLine="3234" w:firstLineChars="1540"/>
        <w:jc w:val="left"/>
        <w:rPr>
          <w:rFonts w:hint="default"/>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日  期：年月日</w:t>
      </w:r>
    </w:p>
    <w:p>
      <w:pPr>
        <w:pStyle w:val="81"/>
        <w:spacing w:line="360" w:lineRule="auto"/>
        <w:ind w:left="425" w:firstLine="0" w:firstLineChars="0"/>
        <w:jc w:val="left"/>
        <w:rPr>
          <w:rFonts w:hint="eastAsia" w:ascii="宋体" w:hAnsi="宋体"/>
          <w:color w:val="000000" w:themeColor="text1"/>
          <w:szCs w:val="21"/>
          <w:highlight w:val="none"/>
          <w14:textFill>
            <w14:solidFill>
              <w14:schemeClr w14:val="tx1"/>
            </w14:solidFill>
          </w14:textFill>
        </w:rPr>
      </w:pPr>
    </w:p>
    <w:p>
      <w:pPr>
        <w:pStyle w:val="32"/>
        <w:ind w:left="0" w:leftChars="0" w:firstLine="0" w:firstLineChars="0"/>
        <w:rPr>
          <w:rFonts w:eastAsia="宋体"/>
          <w:color w:val="000000" w:themeColor="text1"/>
          <w:highlight w:val="none"/>
          <w14:textFill>
            <w14:solidFill>
              <w14:schemeClr w14:val="tx1"/>
            </w14:solidFill>
          </w14:textFill>
        </w:rPr>
      </w:pPr>
    </w:p>
    <w:p>
      <w:pPr>
        <w:pStyle w:val="15"/>
        <w:pageBreakBefore/>
        <w:ind w:right="-57" w:firstLine="0"/>
        <w:jc w:val="center"/>
        <w:outlineLvl w:val="0"/>
        <w:rPr>
          <w:rStyle w:val="53"/>
          <w:rFonts w:ascii="宋体" w:hAnsi="宋体" w:eastAsia="宋体"/>
          <w:color w:val="000000" w:themeColor="text1"/>
          <w:highlight w:val="none"/>
          <w14:textFill>
            <w14:solidFill>
              <w14:schemeClr w14:val="tx1"/>
            </w14:solidFill>
          </w14:textFill>
        </w:rPr>
      </w:pPr>
      <w:bookmarkStart w:id="1449" w:name="_Toc5856"/>
      <w:r>
        <w:rPr>
          <w:rStyle w:val="53"/>
          <w:rFonts w:hint="eastAsia" w:hAnsi="宋体"/>
          <w:color w:val="000000" w:themeColor="text1"/>
          <w:highlight w:val="none"/>
          <w14:textFill>
            <w14:solidFill>
              <w14:schemeClr w14:val="tx1"/>
            </w14:solidFill>
          </w14:textFill>
        </w:rPr>
        <w:t>六</w:t>
      </w:r>
      <w:r>
        <w:rPr>
          <w:rStyle w:val="53"/>
          <w:rFonts w:hint="eastAsia" w:ascii="宋体" w:hAnsi="宋体" w:eastAsia="宋体"/>
          <w:color w:val="000000" w:themeColor="text1"/>
          <w:highlight w:val="none"/>
          <w14:textFill>
            <w14:solidFill>
              <w14:schemeClr w14:val="tx1"/>
            </w14:solidFill>
          </w14:textFill>
        </w:rPr>
        <w:t>章评分办法</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pPr>
        <w:spacing w:before="0" w:after="0" w:afterAutospacing="0"/>
        <w:ind w:left="0" w:right="0" w:firstLine="562" w:firstLineChars="200"/>
        <w:outlineLvl w:val="1"/>
        <w:rPr>
          <w:rFonts w:ascii="宋体" w:hAnsi="宋体" w:cs="Arial"/>
          <w:b/>
          <w:bCs/>
          <w:color w:val="000000" w:themeColor="text1"/>
          <w:sz w:val="28"/>
          <w:szCs w:val="28"/>
          <w:highlight w:val="none"/>
          <w14:textFill>
            <w14:solidFill>
              <w14:schemeClr w14:val="tx1"/>
            </w14:solidFill>
          </w14:textFill>
        </w:rPr>
      </w:pPr>
      <w:bookmarkStart w:id="1450" w:name="_Toc114134684"/>
      <w:bookmarkStart w:id="1451" w:name="_Toc30407"/>
      <w:bookmarkStart w:id="1452" w:name="_Toc5564"/>
      <w:r>
        <w:rPr>
          <w:rFonts w:hint="eastAsia" w:ascii="宋体" w:hAnsi="宋体" w:cs="Arial"/>
          <w:b/>
          <w:bCs/>
          <w:color w:val="000000" w:themeColor="text1"/>
          <w:sz w:val="28"/>
          <w:szCs w:val="28"/>
          <w:highlight w:val="none"/>
          <w14:textFill>
            <w14:solidFill>
              <w14:schemeClr w14:val="tx1"/>
            </w14:solidFill>
          </w14:textFill>
        </w:rPr>
        <w:t>一、评审原则</w:t>
      </w:r>
      <w:bookmarkEnd w:id="1450"/>
      <w:bookmarkEnd w:id="1451"/>
      <w:bookmarkEnd w:id="1452"/>
    </w:p>
    <w:p>
      <w:pPr>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1.1</w:t>
      </w:r>
      <w:r>
        <w:rPr>
          <w:rFonts w:hint="eastAsia" w:ascii="宋体" w:hAnsi="宋体" w:cs="Arial"/>
          <w:bCs/>
          <w:color w:val="000000" w:themeColor="text1"/>
          <w:highlight w:val="none"/>
          <w14:textFill>
            <w14:solidFill>
              <w14:schemeClr w14:val="tx1"/>
            </w14:solidFill>
          </w14:textFill>
        </w:rPr>
        <w:t>评审委员会成员构成：本项目由</w:t>
      </w:r>
      <w:r>
        <w:rPr>
          <w:rFonts w:hint="eastAsia" w:ascii="宋体" w:hAnsi="宋体" w:cs="Arial"/>
          <w:bCs/>
          <w:color w:val="000000" w:themeColor="text1"/>
          <w:highlight w:val="none"/>
          <w:lang w:eastAsia="zh-CN"/>
          <w14:textFill>
            <w14:solidFill>
              <w14:schemeClr w14:val="tx1"/>
            </w14:solidFill>
          </w14:textFill>
        </w:rPr>
        <w:t>南宁兴邕城市更新有限责任公司</w:t>
      </w:r>
      <w:r>
        <w:rPr>
          <w:rFonts w:hint="eastAsia" w:ascii="宋体" w:hAnsi="宋体" w:cs="Arial"/>
          <w:bCs/>
          <w:color w:val="000000" w:themeColor="text1"/>
          <w:highlight w:val="none"/>
          <w14:textFill>
            <w14:solidFill>
              <w14:schemeClr w14:val="tx1"/>
            </w14:solidFill>
          </w14:textFill>
        </w:rPr>
        <w:t>3人及以上单数组成评审小组，对比选申请文件按评审标准进行评审；由</w:t>
      </w:r>
      <w:r>
        <w:rPr>
          <w:rFonts w:hint="eastAsia" w:ascii="宋体" w:hAnsi="宋体" w:cs="Arial"/>
          <w:bCs/>
          <w:color w:val="000000" w:themeColor="text1"/>
          <w:highlight w:val="none"/>
          <w:lang w:eastAsia="zh-CN"/>
          <w14:textFill>
            <w14:solidFill>
              <w14:schemeClr w14:val="tx1"/>
            </w14:solidFill>
          </w14:textFill>
        </w:rPr>
        <w:t>南宁兴邕城市更新有限责任公司</w:t>
      </w:r>
      <w:r>
        <w:rPr>
          <w:rFonts w:hint="eastAsia" w:ascii="宋体" w:hAnsi="宋体" w:cs="Arial"/>
          <w:bCs/>
          <w:color w:val="000000" w:themeColor="text1"/>
          <w:highlight w:val="none"/>
          <w14:textFill>
            <w14:solidFill>
              <w14:schemeClr w14:val="tx1"/>
            </w14:solidFill>
          </w14:textFill>
        </w:rPr>
        <w:t>纪检监察部门进行监督。</w:t>
      </w:r>
    </w:p>
    <w:p>
      <w:pPr>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1.2</w:t>
      </w:r>
      <w:r>
        <w:rPr>
          <w:rFonts w:hint="eastAsia" w:ascii="宋体" w:hAnsi="宋体" w:cs="Arial"/>
          <w:bCs/>
          <w:color w:val="000000" w:themeColor="text1"/>
          <w:highlight w:val="none"/>
          <w14:textFill>
            <w14:solidFill>
              <w14:schemeClr w14:val="tx1"/>
            </w14:solidFill>
          </w14:textFill>
        </w:rPr>
        <w:t>评审依据：评审委员会以比选文件、比选申请文件为评审依据。</w:t>
      </w:r>
    </w:p>
    <w:p>
      <w:pPr>
        <w:spacing w:before="0" w:after="0" w:afterAutospacing="0"/>
        <w:ind w:left="0" w:right="0" w:firstLine="420" w:firstLineChars="200"/>
        <w:rPr>
          <w:rFonts w:ascii="宋体" w:hAnsi="宋体" w:cs="Arial"/>
          <w:bCs/>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1.3</w:t>
      </w:r>
      <w:r>
        <w:rPr>
          <w:rFonts w:hint="eastAsia" w:ascii="宋体" w:hAnsi="宋体" w:cs="Arial"/>
          <w:bCs/>
          <w:color w:val="000000" w:themeColor="text1"/>
          <w:highlight w:val="none"/>
          <w14:textFill>
            <w14:solidFill>
              <w14:schemeClr w14:val="tx1"/>
            </w14:solidFill>
          </w14:textFill>
        </w:rPr>
        <w:t>评审方式：以封闭方式进行。</w:t>
      </w:r>
    </w:p>
    <w:p>
      <w:pPr>
        <w:spacing w:before="0" w:after="0" w:afterAutospacing="0"/>
        <w:ind w:left="0" w:right="0" w:firstLine="562" w:firstLineChars="200"/>
        <w:outlineLvl w:val="1"/>
        <w:rPr>
          <w:rFonts w:ascii="宋体" w:hAnsi="宋体" w:cs="Arial"/>
          <w:b/>
          <w:bCs/>
          <w:color w:val="000000" w:themeColor="text1"/>
          <w:sz w:val="28"/>
          <w:szCs w:val="28"/>
          <w:highlight w:val="none"/>
          <w14:textFill>
            <w14:solidFill>
              <w14:schemeClr w14:val="tx1"/>
            </w14:solidFill>
          </w14:textFill>
        </w:rPr>
      </w:pPr>
      <w:bookmarkStart w:id="1453" w:name="_Toc114134685"/>
      <w:bookmarkStart w:id="1454" w:name="_Toc4757"/>
      <w:bookmarkStart w:id="1455" w:name="_Toc478566177"/>
      <w:bookmarkStart w:id="1456" w:name="_Toc29000"/>
      <w:bookmarkStart w:id="1457" w:name="_Toc15571"/>
      <w:bookmarkStart w:id="1458" w:name="_Toc11240"/>
      <w:bookmarkStart w:id="1459" w:name="_Toc5136"/>
      <w:bookmarkStart w:id="1460" w:name="_Toc15880"/>
      <w:r>
        <w:rPr>
          <w:rFonts w:hint="eastAsia" w:ascii="宋体" w:hAnsi="宋体" w:cs="Arial"/>
          <w:b/>
          <w:bCs/>
          <w:color w:val="000000" w:themeColor="text1"/>
          <w:sz w:val="28"/>
          <w:szCs w:val="28"/>
          <w:highlight w:val="none"/>
          <w14:textFill>
            <w14:solidFill>
              <w14:schemeClr w14:val="tx1"/>
            </w14:solidFill>
          </w14:textFill>
        </w:rPr>
        <w:t>二、评定方法</w:t>
      </w:r>
      <w:bookmarkEnd w:id="1453"/>
      <w:bookmarkEnd w:id="1454"/>
      <w:bookmarkEnd w:id="1455"/>
      <w:bookmarkEnd w:id="1456"/>
      <w:bookmarkEnd w:id="1457"/>
      <w:bookmarkEnd w:id="1458"/>
      <w:bookmarkEnd w:id="1459"/>
      <w:bookmarkEnd w:id="1460"/>
    </w:p>
    <w:p>
      <w:pPr>
        <w:spacing w:before="0" w:after="0" w:afterAutospacing="0"/>
        <w:ind w:left="0" w:right="0" w:firstLine="420" w:firstLineChars="200"/>
        <w:outlineLvl w:val="1"/>
        <w:rPr>
          <w:rFonts w:ascii="宋体" w:hAnsi="宋体" w:cs="Arial"/>
          <w:color w:val="000000" w:themeColor="text1"/>
          <w:highlight w:val="none"/>
          <w14:textFill>
            <w14:solidFill>
              <w14:schemeClr w14:val="tx1"/>
            </w14:solidFill>
          </w14:textFill>
        </w:rPr>
      </w:pPr>
      <w:bookmarkStart w:id="1461" w:name="_Toc4698"/>
      <w:bookmarkStart w:id="1462" w:name="_Toc29067"/>
      <w:bookmarkStart w:id="1463" w:name="_Toc114134686"/>
      <w:r>
        <w:rPr>
          <w:rFonts w:hint="eastAsia" w:ascii="宋体" w:hAnsi="宋体" w:cs="Arial"/>
          <w:color w:val="000000" w:themeColor="text1"/>
          <w:highlight w:val="none"/>
          <w14:textFill>
            <w14:solidFill>
              <w14:schemeClr w14:val="tx1"/>
            </w14:solidFill>
          </w14:textFill>
        </w:rPr>
        <w:t>2.1对资格性和符合性检查合格的比选申请文件，进入技术、商务评审采用综合评分法进行评审。</w:t>
      </w:r>
      <w:r>
        <w:rPr>
          <w:rFonts w:hint="eastAsia"/>
          <w:color w:val="000000" w:themeColor="text1"/>
          <w:highlight w:val="none"/>
          <w14:textFill>
            <w14:solidFill>
              <w14:schemeClr w14:val="tx1"/>
            </w14:solidFill>
          </w14:textFill>
        </w:rPr>
        <w:t>满分</w:t>
      </w:r>
      <w:r>
        <w:rPr>
          <w:color w:val="000000" w:themeColor="text1"/>
          <w:highlight w:val="none"/>
          <w14:textFill>
            <w14:solidFill>
              <w14:schemeClr w14:val="tx1"/>
            </w14:solidFill>
          </w14:textFill>
        </w:rPr>
        <w:t>100</w:t>
      </w:r>
      <w:r>
        <w:rPr>
          <w:rFonts w:hint="eastAsia"/>
          <w:color w:val="000000" w:themeColor="text1"/>
          <w:highlight w:val="none"/>
          <w14:textFill>
            <w14:solidFill>
              <w14:schemeClr w14:val="tx1"/>
            </w14:solidFill>
          </w14:textFill>
        </w:rPr>
        <w:t>分，其中</w:t>
      </w:r>
      <w:r>
        <w:rPr>
          <w:rFonts w:hint="eastAsia"/>
          <w:b/>
          <w:color w:val="000000" w:themeColor="text1"/>
          <w:highlight w:val="none"/>
          <w14:textFill>
            <w14:solidFill>
              <w14:schemeClr w14:val="tx1"/>
            </w14:solidFill>
          </w14:textFill>
        </w:rPr>
        <w:t>技术得分</w:t>
      </w:r>
      <w:r>
        <w:rPr>
          <w:rFonts w:hint="eastAsia"/>
          <w:b/>
          <w:color w:val="000000" w:themeColor="text1"/>
          <w:highlight w:val="none"/>
          <w:lang w:val="en-US" w:eastAsia="zh-CN"/>
          <w14:textFill>
            <w14:solidFill>
              <w14:schemeClr w14:val="tx1"/>
            </w14:solidFill>
          </w14:textFill>
        </w:rPr>
        <w:t>60</w:t>
      </w:r>
      <w:r>
        <w:rPr>
          <w:rFonts w:hint="eastAsia"/>
          <w:b/>
          <w:color w:val="000000" w:themeColor="text1"/>
          <w:highlight w:val="none"/>
          <w14:textFill>
            <w14:solidFill>
              <w14:schemeClr w14:val="tx1"/>
            </w14:solidFill>
          </w14:textFill>
        </w:rPr>
        <w:t>分，价格得分</w:t>
      </w:r>
      <w:r>
        <w:rPr>
          <w:rFonts w:hint="eastAsia"/>
          <w:b/>
          <w:color w:val="000000" w:themeColor="text1"/>
          <w:highlight w:val="none"/>
          <w:lang w:val="en-US" w:eastAsia="zh-CN"/>
          <w14:textFill>
            <w14:solidFill>
              <w14:schemeClr w14:val="tx1"/>
            </w14:solidFill>
          </w14:textFill>
        </w:rPr>
        <w:t>40</w:t>
      </w:r>
      <w:r>
        <w:rPr>
          <w:rFonts w:hint="eastAsia"/>
          <w:b/>
          <w:color w:val="000000" w:themeColor="text1"/>
          <w:highlight w:val="none"/>
          <w14:textFill>
            <w14:solidFill>
              <w14:schemeClr w14:val="tx1"/>
            </w14:solidFill>
          </w14:textFill>
        </w:rPr>
        <w:t>分。</w:t>
      </w:r>
      <w:bookmarkEnd w:id="1461"/>
      <w:bookmarkEnd w:id="1462"/>
      <w:bookmarkEnd w:id="1463"/>
    </w:p>
    <w:p>
      <w:pPr>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2.2评审委员会将依照本比选文件相关要求，对照比选申请文件的应答进行比较，并对各比选申请文件的技术、商务内容进行评审打分。</w:t>
      </w:r>
    </w:p>
    <w:p>
      <w:pPr>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报价做无效报价处理。</w:t>
      </w:r>
    </w:p>
    <w:p>
      <w:pPr>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2.4总分=技术得分+价格得分。各项指标的分数计算四舍五入，取小数点后两位。计算比选申请人综合评分，并按照总分（综合得分）由高到低的顺序提出</w:t>
      </w:r>
      <w:r>
        <w:rPr>
          <w:rFonts w:ascii="宋体" w:hAnsi="宋体" w:cs="Arial"/>
          <w:color w:val="000000" w:themeColor="text1"/>
          <w:highlight w:val="none"/>
          <w14:textFill>
            <w14:solidFill>
              <w14:schemeClr w14:val="tx1"/>
            </w14:solidFill>
          </w14:textFill>
        </w:rPr>
        <w:t>1-</w:t>
      </w:r>
      <w:r>
        <w:rPr>
          <w:rFonts w:hint="eastAsia" w:ascii="宋体" w:hAnsi="宋体" w:cs="Arial"/>
          <w:color w:val="000000" w:themeColor="text1"/>
          <w:highlight w:val="none"/>
          <w14:textFill>
            <w14:solidFill>
              <w14:schemeClr w14:val="tx1"/>
            </w14:solidFill>
          </w14:textFill>
        </w:rPr>
        <w:t>3名中选候选人，并编写评审报告。</w:t>
      </w:r>
    </w:p>
    <w:p>
      <w:pPr>
        <w:spacing w:before="0" w:after="0" w:afterAutospacing="0"/>
        <w:ind w:left="0" w:right="0" w:firstLine="562" w:firstLineChars="200"/>
        <w:outlineLvl w:val="1"/>
        <w:rPr>
          <w:rFonts w:ascii="宋体" w:hAnsi="宋体" w:cs="Arial"/>
          <w:b/>
          <w:bCs/>
          <w:color w:val="000000" w:themeColor="text1"/>
          <w:sz w:val="28"/>
          <w:szCs w:val="28"/>
          <w:highlight w:val="none"/>
          <w14:textFill>
            <w14:solidFill>
              <w14:schemeClr w14:val="tx1"/>
            </w14:solidFill>
          </w14:textFill>
        </w:rPr>
      </w:pPr>
      <w:bookmarkStart w:id="1464" w:name="_Toc10199"/>
      <w:bookmarkStart w:id="1465" w:name="_Toc20465"/>
      <w:bookmarkStart w:id="1466" w:name="_Toc114134687"/>
      <w:r>
        <w:rPr>
          <w:rFonts w:hint="eastAsia" w:ascii="宋体" w:hAnsi="宋体" w:cs="Arial"/>
          <w:b/>
          <w:bCs/>
          <w:color w:val="000000" w:themeColor="text1"/>
          <w:sz w:val="28"/>
          <w:szCs w:val="28"/>
          <w:highlight w:val="none"/>
          <w14:textFill>
            <w14:solidFill>
              <w14:schemeClr w14:val="tx1"/>
            </w14:solidFill>
          </w14:textFill>
        </w:rPr>
        <w:t>三、评审流程</w:t>
      </w:r>
      <w:bookmarkEnd w:id="1464"/>
      <w:bookmarkEnd w:id="1465"/>
      <w:bookmarkEnd w:id="1466"/>
    </w:p>
    <w:p>
      <w:pPr>
        <w:tabs>
          <w:tab w:val="left" w:pos="567"/>
        </w:tabs>
        <w:spacing w:before="0" w:after="0" w:afterAutospacing="0"/>
        <w:ind w:left="422" w:right="0" w:firstLine="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3.1资格审查</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资格审查采用定性评审法，审查比选申请人是否符合法律、法规、规章及比选文件对企业资质、业绩和其他强制性标准，是否处于正常的经营状况等情况。</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在本阶段不符合任何一项资格评审标准的比选申请人将被比选人拒绝，不得进入下一阶段的评审。评审标准详见附表一《资格审查表》。</w:t>
      </w:r>
    </w:p>
    <w:p>
      <w:pPr>
        <w:tabs>
          <w:tab w:val="left" w:pos="567"/>
        </w:tabs>
        <w:spacing w:before="0" w:after="0" w:afterAutospacing="0"/>
        <w:ind w:left="422" w:right="0" w:firstLine="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3.2初步评审</w:t>
      </w:r>
    </w:p>
    <w:p>
      <w:pPr>
        <w:tabs>
          <w:tab w:val="left" w:pos="851"/>
        </w:tabs>
        <w:spacing w:before="0" w:after="0" w:afterAutospacing="0"/>
        <w:ind w:left="0" w:right="0"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（1）评审委员会将对比选申请文件的实质性内容进行初步评审，判定其内容是否真实、完整，是否满足比选文件要求并在实质性内容上予以响应。</w:t>
      </w:r>
    </w:p>
    <w:p>
      <w:pPr>
        <w:tabs>
          <w:tab w:val="left" w:pos="851"/>
        </w:tabs>
        <w:spacing w:before="0" w:after="0" w:afterAutospacing="0"/>
        <w:ind w:left="0" w:right="0"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2）如果比选申请文件实质性不响应比选文件的要求和条件的，评审委员会将判定为重大偏差并作否决比选申请处理，并且不允许比选申请人通过修正或撤销其不符要求的差异或保留，使之成为具有响应性的比选申请文件。</w:t>
      </w:r>
    </w:p>
    <w:p>
      <w:pPr>
        <w:tabs>
          <w:tab w:val="left" w:pos="851"/>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t>评审委员会</w:t>
      </w:r>
      <w:r>
        <w:rPr>
          <w:rFonts w:hAnsi="宋体"/>
          <w:color w:val="000000" w:themeColor="text1"/>
          <w:highlight w:val="none"/>
          <w14:textFill>
            <w14:solidFill>
              <w14:schemeClr w14:val="tx1"/>
            </w14:solidFill>
          </w14:textFill>
        </w:rPr>
        <w:t>根据</w:t>
      </w:r>
      <w:r>
        <w:rPr>
          <w:rFonts w:hint="eastAsia" w:hAnsi="宋体"/>
          <w:color w:val="000000" w:themeColor="text1"/>
          <w:highlight w:val="none"/>
          <w14:textFill>
            <w14:solidFill>
              <w14:schemeClr w14:val="tx1"/>
            </w14:solidFill>
          </w14:textFill>
        </w:rPr>
        <w:t>比选</w:t>
      </w:r>
      <w:r>
        <w:rPr>
          <w:rFonts w:hAnsi="宋体"/>
          <w:color w:val="000000" w:themeColor="text1"/>
          <w:highlight w:val="none"/>
          <w14:textFill>
            <w14:solidFill>
              <w14:schemeClr w14:val="tx1"/>
            </w14:solidFill>
          </w14:textFill>
        </w:rPr>
        <w:t>文件的要求对</w:t>
      </w:r>
      <w:r>
        <w:rPr>
          <w:rFonts w:hint="eastAsia" w:hAnsi="宋体"/>
          <w:color w:val="000000" w:themeColor="text1"/>
          <w:highlight w:val="none"/>
          <w14:textFill>
            <w14:solidFill>
              <w14:schemeClr w14:val="tx1"/>
            </w14:solidFill>
          </w14:textFill>
        </w:rPr>
        <w:t>比选申请</w:t>
      </w:r>
      <w:r>
        <w:rPr>
          <w:rFonts w:hAnsi="宋体"/>
          <w:color w:val="000000" w:themeColor="text1"/>
          <w:highlight w:val="none"/>
          <w14:textFill>
            <w14:solidFill>
              <w14:schemeClr w14:val="tx1"/>
            </w14:solidFill>
          </w14:textFill>
        </w:rPr>
        <w:t>人进行</w:t>
      </w:r>
      <w:r>
        <w:rPr>
          <w:rFonts w:hint="eastAsia" w:hAnsi="宋体"/>
          <w:color w:val="000000" w:themeColor="text1"/>
          <w:highlight w:val="none"/>
          <w14:textFill>
            <w14:solidFill>
              <w14:schemeClr w14:val="tx1"/>
            </w14:solidFill>
          </w14:textFill>
        </w:rPr>
        <w:t>符合性</w:t>
      </w:r>
      <w:r>
        <w:rPr>
          <w:rFonts w:hAnsi="宋体"/>
          <w:color w:val="000000" w:themeColor="text1"/>
          <w:highlight w:val="none"/>
          <w14:textFill>
            <w14:solidFill>
              <w14:schemeClr w14:val="tx1"/>
            </w14:solidFill>
          </w14:textFill>
        </w:rPr>
        <w:t>评审，未通过</w:t>
      </w:r>
      <w:r>
        <w:rPr>
          <w:rFonts w:hint="eastAsia" w:hAnsi="宋体"/>
          <w:color w:val="000000" w:themeColor="text1"/>
          <w:highlight w:val="none"/>
          <w14:textFill>
            <w14:solidFill>
              <w14:schemeClr w14:val="tx1"/>
            </w14:solidFill>
          </w14:textFill>
        </w:rPr>
        <w:t>符合性</w:t>
      </w:r>
      <w:r>
        <w:rPr>
          <w:rFonts w:hAnsi="宋体"/>
          <w:color w:val="000000" w:themeColor="text1"/>
          <w:highlight w:val="none"/>
          <w14:textFill>
            <w14:solidFill>
              <w14:schemeClr w14:val="tx1"/>
            </w14:solidFill>
          </w14:textFill>
        </w:rPr>
        <w:t>评审的</w:t>
      </w:r>
      <w:r>
        <w:rPr>
          <w:rFonts w:hint="eastAsia" w:hAnsi="宋体"/>
          <w:color w:val="000000" w:themeColor="text1"/>
          <w:highlight w:val="none"/>
          <w14:textFill>
            <w14:solidFill>
              <w14:schemeClr w14:val="tx1"/>
            </w14:solidFill>
          </w14:textFill>
        </w:rPr>
        <w:t>比选申请</w:t>
      </w:r>
      <w:r>
        <w:rPr>
          <w:rFonts w:hAnsi="宋体"/>
          <w:color w:val="000000" w:themeColor="text1"/>
          <w:highlight w:val="none"/>
          <w14:textFill>
            <w14:solidFill>
              <w14:schemeClr w14:val="tx1"/>
            </w14:solidFill>
          </w14:textFill>
        </w:rPr>
        <w:t>人不得进入下一阶段的评审。评审</w:t>
      </w:r>
      <w:r>
        <w:rPr>
          <w:rFonts w:hint="eastAsia" w:hAnsi="宋体"/>
          <w:color w:val="000000" w:themeColor="text1"/>
          <w:highlight w:val="none"/>
          <w14:textFill>
            <w14:solidFill>
              <w14:schemeClr w14:val="tx1"/>
            </w14:solidFill>
          </w14:textFill>
        </w:rPr>
        <w:t>标准</w:t>
      </w:r>
      <w:r>
        <w:rPr>
          <w:rFonts w:hAnsi="宋体"/>
          <w:color w:val="000000" w:themeColor="text1"/>
          <w:highlight w:val="none"/>
          <w14:textFill>
            <w14:solidFill>
              <w14:schemeClr w14:val="tx1"/>
            </w14:solidFill>
          </w14:textFill>
        </w:rPr>
        <w:t>见附表二《</w:t>
      </w:r>
      <w:r>
        <w:rPr>
          <w:rFonts w:hint="eastAsia" w:hAnsi="宋体"/>
          <w:color w:val="000000" w:themeColor="text1"/>
          <w:highlight w:val="none"/>
          <w14:textFill>
            <w14:solidFill>
              <w14:schemeClr w14:val="tx1"/>
            </w14:solidFill>
          </w14:textFill>
        </w:rPr>
        <w:t>符合性</w:t>
      </w:r>
      <w:r>
        <w:rPr>
          <w:rFonts w:hAnsi="宋体"/>
          <w:color w:val="000000" w:themeColor="text1"/>
          <w:highlight w:val="none"/>
          <w14:textFill>
            <w14:solidFill>
              <w14:schemeClr w14:val="tx1"/>
            </w14:solidFill>
          </w14:textFill>
        </w:rPr>
        <w:t>评审表》。</w:t>
      </w:r>
    </w:p>
    <w:p>
      <w:pPr>
        <w:tabs>
          <w:tab w:val="left" w:pos="851"/>
          <w:tab w:val="left" w:pos="1134"/>
        </w:tabs>
        <w:spacing w:before="0" w:after="0" w:afterAutospacing="0"/>
        <w:ind w:left="422" w:right="0" w:firstLine="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3.3详细评审</w:t>
      </w:r>
    </w:p>
    <w:p>
      <w:pPr>
        <w:tabs>
          <w:tab w:val="left" w:pos="851"/>
        </w:tabs>
        <w:spacing w:before="0" w:after="0" w:afterAutospacing="0"/>
        <w:ind w:left="0" w:right="0" w:firstLine="420" w:firstLineChars="200"/>
        <w:rPr>
          <w:rFonts w:hint="default" w:ascii="宋体" w:hAnsi="宋体" w:eastAsia="宋体"/>
          <w:color w:val="000000" w:themeColor="text1"/>
          <w:highlight w:val="yellow"/>
          <w:lang w:val="en-US" w:eastAsia="zh-CN"/>
          <w14:textFill>
            <w14:solidFill>
              <w14:schemeClr w14:val="tx1"/>
            </w14:solidFill>
          </w14:textFill>
        </w:rPr>
      </w:pPr>
      <w:r>
        <w:rPr>
          <w:rFonts w:hAnsi="宋体"/>
          <w:color w:val="000000" w:themeColor="text1"/>
          <w:highlight w:val="none"/>
          <w14:textFill>
            <w14:solidFill>
              <w14:schemeClr w14:val="tx1"/>
            </w14:solidFill>
          </w14:textFill>
        </w:rPr>
        <w:t>3.3.1</w:t>
      </w:r>
      <w:r>
        <w:rPr>
          <w:color w:val="000000" w:themeColor="text1"/>
          <w:highlight w:val="none"/>
          <w14:textFill>
            <w14:solidFill>
              <w14:schemeClr w14:val="tx1"/>
            </w14:solidFill>
          </w14:textFill>
        </w:rPr>
        <w:t>评审委员会</w:t>
      </w:r>
      <w:r>
        <w:rPr>
          <w:rFonts w:hint="eastAsia"/>
          <w:color w:val="000000" w:themeColor="text1"/>
          <w:highlight w:val="none"/>
          <w14:textFill>
            <w14:solidFill>
              <w14:schemeClr w14:val="tx1"/>
            </w14:solidFill>
          </w14:textFill>
        </w:rPr>
        <w:t>对通过初步评审的投标文件的技术文件进行详细评审</w:t>
      </w:r>
      <w:r>
        <w:rPr>
          <w:rFonts w:hint="eastAsia"/>
          <w:color w:val="000000" w:themeColor="text1"/>
          <w:highlight w:val="none"/>
          <w:lang w:eastAsia="zh-CN"/>
          <w14:textFill>
            <w14:solidFill>
              <w14:schemeClr w14:val="tx1"/>
            </w14:solidFill>
          </w14:textFill>
        </w:rPr>
        <w:t>。</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3.3.2</w:t>
      </w:r>
      <w:r>
        <w:rPr>
          <w:color w:val="000000" w:themeColor="text1"/>
          <w:highlight w:val="none"/>
          <w14:textFill>
            <w14:solidFill>
              <w14:schemeClr w14:val="tx1"/>
            </w14:solidFill>
          </w14:textFill>
        </w:rPr>
        <w:t>评审委员会</w:t>
      </w:r>
      <w:r>
        <w:rPr>
          <w:rFonts w:hint="eastAsia"/>
          <w:color w:val="000000" w:themeColor="text1"/>
          <w:highlight w:val="none"/>
          <w14:textFill>
            <w14:solidFill>
              <w14:schemeClr w14:val="tx1"/>
            </w14:solidFill>
          </w14:textFill>
        </w:rPr>
        <w:t>按照附表三《技术文件评分表》规定的量化因素和分值，对各比选申请人技术部分评审。各评委对比选申请人的各评分项评分累加后得出各评委的总得分。比选申请人技术得分取所有评委总得分的算术平均值（得分出现小数点，保留小数点后二位，第三位小数四舍五入）。</w:t>
      </w:r>
    </w:p>
    <w:p>
      <w:pPr>
        <w:tabs>
          <w:tab w:val="left" w:pos="851"/>
          <w:tab w:val="left" w:pos="1134"/>
        </w:tabs>
        <w:spacing w:before="0" w:after="0" w:afterAutospacing="0"/>
        <w:ind w:left="422" w:right="0" w:firstLine="0"/>
        <w:rPr>
          <w:rFonts w:hAnsi="宋体"/>
          <w:color w:val="000000" w:themeColor="text1"/>
          <w:highlight w:val="none"/>
          <w14:textFill>
            <w14:solidFill>
              <w14:schemeClr w14:val="tx1"/>
            </w14:solidFill>
          </w14:textFill>
        </w:rPr>
      </w:pPr>
      <w:r>
        <w:rPr>
          <w:rFonts w:hAnsi="宋体"/>
          <w:color w:val="000000" w:themeColor="text1"/>
          <w:highlight w:val="none"/>
          <w14:textFill>
            <w14:solidFill>
              <w14:schemeClr w14:val="tx1"/>
            </w14:solidFill>
          </w14:textFill>
        </w:rPr>
        <w:t>3.3.</w:t>
      </w:r>
      <w:r>
        <w:rPr>
          <w:rFonts w:hint="eastAsia" w:hAnsi="宋体"/>
          <w:color w:val="000000" w:themeColor="text1"/>
          <w:highlight w:val="none"/>
          <w14:textFill>
            <w14:solidFill>
              <w14:schemeClr w14:val="tx1"/>
            </w14:solidFill>
          </w14:textFill>
        </w:rPr>
        <w:t>3价格评审</w:t>
      </w:r>
    </w:p>
    <w:p>
      <w:pPr>
        <w:tabs>
          <w:tab w:val="left" w:pos="851"/>
          <w:tab w:val="left" w:pos="1134"/>
        </w:tabs>
        <w:spacing w:before="0" w:after="0" w:afterAutospacing="0"/>
        <w:ind w:left="942" w:leftChars="112" w:right="0" w:hanging="707" w:hangingChars="337"/>
        <w:jc w:val="left"/>
        <w:rPr>
          <w:rFonts w:hint="eastAsia" w:eastAsia="宋体"/>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3.3.3.1</w:t>
      </w:r>
      <w:r>
        <w:rPr>
          <w:color w:val="000000" w:themeColor="text1"/>
          <w:highlight w:val="none"/>
          <w14:textFill>
            <w14:solidFill>
              <w14:schemeClr w14:val="tx1"/>
            </w14:solidFill>
          </w14:textFill>
        </w:rPr>
        <w:t>评审委员会</w:t>
      </w:r>
      <w:r>
        <w:rPr>
          <w:rFonts w:hint="eastAsia"/>
          <w:color w:val="000000" w:themeColor="text1"/>
          <w:highlight w:val="none"/>
          <w14:textFill>
            <w14:solidFill>
              <w14:schemeClr w14:val="tx1"/>
            </w14:solidFill>
          </w14:textFill>
        </w:rPr>
        <w:t>对通过初步评审的投标文件的报价文件进行详细评审</w:t>
      </w:r>
      <w:r>
        <w:rPr>
          <w:rFonts w:hint="eastAsia"/>
          <w:color w:val="000000" w:themeColor="text1"/>
          <w:highlight w:val="none"/>
          <w:lang w:eastAsia="zh-CN"/>
          <w14:textFill>
            <w14:solidFill>
              <w14:schemeClr w14:val="tx1"/>
            </w14:solidFill>
          </w14:textFill>
        </w:rPr>
        <w:t>。</w:t>
      </w:r>
    </w:p>
    <w:p>
      <w:pPr>
        <w:tabs>
          <w:tab w:val="left" w:pos="851"/>
          <w:tab w:val="left" w:pos="1134"/>
        </w:tabs>
        <w:spacing w:before="0" w:after="0" w:afterAutospacing="0"/>
        <w:ind w:left="105" w:leftChars="50" w:right="0" w:firstLine="105" w:firstLineChars="5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3.3.3.2投标报价有算术错误的，评标委员会按以下原则对投标报价进行修正，修正的价格经比选申请人书面确认后具有约束力。比选申请人不接受修正价格的，其投标作否决投标处理：</w:t>
      </w:r>
    </w:p>
    <w:p>
      <w:pPr>
        <w:tabs>
          <w:tab w:val="left" w:pos="851"/>
          <w:tab w:val="left" w:pos="1134"/>
        </w:tabs>
        <w:spacing w:before="0" w:after="0" w:afterAutospacing="0"/>
        <w:ind w:left="105" w:leftChars="50" w:right="0" w:firstLine="105" w:firstLineChars="50"/>
        <w:jc w:val="left"/>
        <w:rPr>
          <w:rFonts w:cs="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 (1）比选申请</w:t>
      </w:r>
      <w:r>
        <w:rPr>
          <w:rFonts w:hint="eastAsia" w:cs="宋体"/>
          <w:color w:val="000000" w:themeColor="text1"/>
          <w:highlight w:val="none"/>
          <w14:textFill>
            <w14:solidFill>
              <w14:schemeClr w14:val="tx1"/>
            </w14:solidFill>
          </w14:textFill>
        </w:rPr>
        <w:t>文件中的大写金额与小写金额不一致的，以大写金额为准；</w:t>
      </w:r>
    </w:p>
    <w:p>
      <w:pPr>
        <w:tabs>
          <w:tab w:val="left" w:pos="851"/>
          <w:tab w:val="left" w:pos="1134"/>
        </w:tabs>
        <w:spacing w:before="0" w:after="0" w:afterAutospacing="0"/>
        <w:ind w:left="105" w:leftChars="50" w:right="0" w:firstLine="105" w:firstLineChars="50"/>
        <w:jc w:val="left"/>
        <w:rPr>
          <w:rFonts w:cs="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cs="宋体"/>
          <w:color w:val="000000" w:themeColor="text1"/>
          <w:highlight w:val="none"/>
          <w14:textFill>
            <w14:solidFill>
              <w14:schemeClr w14:val="tx1"/>
            </w14:solidFill>
          </w14:textFill>
        </w:rPr>
        <w:t>总价金额与依据单价计算出的结果不一致的，以单价金额为准修正总价，但单价金额小数点有明显错误的除外；</w:t>
      </w:r>
    </w:p>
    <w:p>
      <w:pPr>
        <w:tabs>
          <w:tab w:val="left" w:pos="851"/>
          <w:tab w:val="left" w:pos="1134"/>
        </w:tabs>
        <w:spacing w:before="0" w:after="0" w:afterAutospacing="0"/>
        <w:ind w:left="105" w:leftChars="50" w:right="0" w:firstLine="210" w:firstLineChars="100"/>
        <w:jc w:val="left"/>
        <w:rPr>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 xml:space="preserve"> 修正后的最终比选申请报价超过上限控制价的比选申请文件作否决投标处理。修正后的分项报价超过分项控制价的比选申请文件作否决投标处理。如项目设有综合单价控制价的，修正后的综合单价超过综合单价控制价的比选申请文件作否决投标处理；</w:t>
      </w:r>
    </w:p>
    <w:p>
      <w:pPr>
        <w:tabs>
          <w:tab w:val="left" w:pos="851"/>
          <w:tab w:val="left" w:pos="1134"/>
        </w:tabs>
        <w:spacing w:before="0" w:after="0" w:afterAutospacing="0"/>
        <w:ind w:left="105" w:leftChars="50" w:right="0" w:firstLine="105" w:firstLineChars="50"/>
        <w:jc w:val="left"/>
        <w:rPr>
          <w:rFonts w:cs="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（4）若</w:t>
      </w:r>
      <w:r>
        <w:rPr>
          <w:color w:val="000000" w:themeColor="text1"/>
          <w:highlight w:val="none"/>
          <w14:textFill>
            <w14:solidFill>
              <w14:schemeClr w14:val="tx1"/>
            </w14:solidFill>
          </w14:textFill>
        </w:rPr>
        <w:t>修正后的总价</w:t>
      </w:r>
      <w:r>
        <w:rPr>
          <w:rFonts w:hint="eastAsia"/>
          <w:color w:val="000000" w:themeColor="text1"/>
          <w:highlight w:val="none"/>
          <w14:textFill>
            <w14:solidFill>
              <w14:schemeClr w14:val="tx1"/>
            </w14:solidFill>
          </w14:textFill>
        </w:rPr>
        <w:t>与</w:t>
      </w:r>
      <w:r>
        <w:rPr>
          <w:color w:val="000000" w:themeColor="text1"/>
          <w:highlight w:val="none"/>
          <w14:textFill>
            <w14:solidFill>
              <w14:schemeClr w14:val="tx1"/>
            </w14:solidFill>
          </w14:textFill>
        </w:rPr>
        <w:t>投标报价</w:t>
      </w:r>
      <w:r>
        <w:rPr>
          <w:rFonts w:hint="eastAsia"/>
          <w:color w:val="000000" w:themeColor="text1"/>
          <w:highlight w:val="none"/>
          <w14:textFill>
            <w14:solidFill>
              <w14:schemeClr w14:val="tx1"/>
            </w14:solidFill>
          </w14:textFill>
        </w:rPr>
        <w:t>不相等</w:t>
      </w:r>
      <w:r>
        <w:rPr>
          <w:color w:val="000000" w:themeColor="text1"/>
          <w:highlight w:val="none"/>
          <w14:textFill>
            <w14:solidFill>
              <w14:schemeClr w14:val="tx1"/>
            </w14:solidFill>
          </w14:textFill>
        </w:rPr>
        <w:t>，则</w:t>
      </w:r>
      <w:r>
        <w:rPr>
          <w:rFonts w:hint="eastAsia"/>
          <w:color w:val="000000" w:themeColor="text1"/>
          <w:highlight w:val="none"/>
          <w14:textFill>
            <w14:solidFill>
              <w14:schemeClr w14:val="tx1"/>
            </w14:solidFill>
          </w14:textFill>
        </w:rPr>
        <w:t>评标总价和</w:t>
      </w:r>
      <w:r>
        <w:rPr>
          <w:color w:val="000000" w:themeColor="text1"/>
          <w:highlight w:val="none"/>
          <w14:textFill>
            <w14:solidFill>
              <w14:schemeClr w14:val="tx1"/>
            </w14:solidFill>
          </w14:textFill>
        </w:rPr>
        <w:t>中标价</w:t>
      </w:r>
      <w:r>
        <w:rPr>
          <w:rFonts w:hint="eastAsia"/>
          <w:color w:val="000000" w:themeColor="text1"/>
          <w:highlight w:val="none"/>
          <w14:textFill>
            <w14:solidFill>
              <w14:schemeClr w14:val="tx1"/>
            </w14:solidFill>
          </w14:textFill>
        </w:rPr>
        <w:t>均</w:t>
      </w:r>
      <w:r>
        <w:rPr>
          <w:color w:val="000000" w:themeColor="text1"/>
          <w:highlight w:val="none"/>
          <w14:textFill>
            <w14:solidFill>
              <w14:schemeClr w14:val="tx1"/>
            </w14:solidFill>
          </w14:textFill>
        </w:rPr>
        <w:t>以</w:t>
      </w:r>
      <w:r>
        <w:rPr>
          <w:rFonts w:hint="eastAsia"/>
          <w:color w:val="000000" w:themeColor="text1"/>
          <w:highlight w:val="none"/>
          <w14:textFill>
            <w14:solidFill>
              <w14:schemeClr w14:val="tx1"/>
            </w14:solidFill>
          </w14:textFill>
        </w:rPr>
        <w:t>修正后的总价</w:t>
      </w:r>
      <w:r>
        <w:rPr>
          <w:color w:val="000000" w:themeColor="text1"/>
          <w:highlight w:val="none"/>
          <w14:textFill>
            <w14:solidFill>
              <w14:schemeClr w14:val="tx1"/>
            </w14:solidFill>
          </w14:textFill>
        </w:rPr>
        <w:t>为准，</w:t>
      </w:r>
      <w:r>
        <w:rPr>
          <w:rFonts w:hint="eastAsia"/>
          <w:color w:val="000000" w:themeColor="text1"/>
          <w:highlight w:val="none"/>
          <w14:textFill>
            <w14:solidFill>
              <w14:schemeClr w14:val="tx1"/>
            </w14:solidFill>
          </w14:textFill>
        </w:rPr>
        <w:t>如比选申请人不接受按以上规则确定的评标总价和中标价，则其投标将被拒绝。</w:t>
      </w:r>
    </w:p>
    <w:p>
      <w:pPr>
        <w:tabs>
          <w:tab w:val="left" w:pos="851"/>
          <w:tab w:val="left" w:pos="1134"/>
        </w:tabs>
        <w:spacing w:before="0" w:after="0" w:afterAutospacing="0"/>
        <w:ind w:left="105" w:leftChars="50" w:right="0" w:firstLine="105" w:firstLineChars="50"/>
        <w:jc w:val="left"/>
        <w:rPr>
          <w:rFonts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3.3.3.3</w:t>
      </w:r>
      <w:r>
        <w:rPr>
          <w:rFonts w:hint="eastAsia"/>
          <w:color w:val="000000" w:themeColor="text1"/>
          <w:highlight w:val="none"/>
          <w14:textFill>
            <w14:solidFill>
              <w14:schemeClr w14:val="tx1"/>
            </w14:solidFill>
          </w14:textFill>
        </w:rPr>
        <w:t>出现下列情况的比选申请文件将予以否决：</w:t>
      </w:r>
    </w:p>
    <w:p>
      <w:pPr>
        <w:tabs>
          <w:tab w:val="left" w:pos="851"/>
          <w:tab w:val="left" w:pos="1134"/>
        </w:tabs>
        <w:spacing w:before="0" w:after="0" w:afterAutospacing="0"/>
        <w:ind w:left="105" w:leftChars="50" w:right="0" w:firstLine="105" w:firstLineChars="50"/>
        <w:jc w:val="left"/>
        <w:rPr>
          <w:bCs/>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评审委员会</w:t>
      </w:r>
      <w:r>
        <w:rPr>
          <w:rFonts w:hint="eastAsia"/>
          <w:bCs/>
          <w:color w:val="000000" w:themeColor="text1"/>
          <w:highlight w:val="none"/>
          <w14:textFill>
            <w14:solidFill>
              <w14:schemeClr w14:val="tx1"/>
            </w14:solidFill>
          </w14:textFill>
        </w:rPr>
        <w:t>发现比选申请人的报价明显低于其他比选申请报价，使得其投标报价可能低于其个别成本的，应当要求该比选申请人作出书面说明并提供相应的证明材料。比选申请人不能合理说明或者不能提供相应证明材料的，</w:t>
      </w:r>
      <w:r>
        <w:rPr>
          <w:color w:val="000000" w:themeColor="text1"/>
          <w:highlight w:val="none"/>
          <w14:textFill>
            <w14:solidFill>
              <w14:schemeClr w14:val="tx1"/>
            </w14:solidFill>
          </w14:textFill>
        </w:rPr>
        <w:t>评审</w:t>
      </w:r>
      <w:r>
        <w:rPr>
          <w:rFonts w:hint="eastAsia"/>
          <w:bCs/>
          <w:color w:val="000000" w:themeColor="text1"/>
          <w:highlight w:val="none"/>
          <w14:textFill>
            <w14:solidFill>
              <w14:schemeClr w14:val="tx1"/>
            </w14:solidFill>
          </w14:textFill>
        </w:rPr>
        <w:t>委员会应当认定该比选申请人以低于成本报价投标，否决其投标。</w:t>
      </w:r>
    </w:p>
    <w:p>
      <w:pPr>
        <w:tabs>
          <w:tab w:val="left" w:pos="851"/>
          <w:tab w:val="left" w:pos="1134"/>
        </w:tabs>
        <w:spacing w:before="0" w:after="0" w:afterAutospacing="0"/>
        <w:ind w:left="105" w:leftChars="50" w:right="0" w:firstLine="105" w:firstLineChars="50"/>
        <w:jc w:val="left"/>
        <w:rPr>
          <w:b/>
          <w:bCs/>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（2）</w:t>
      </w:r>
      <w:bookmarkStart w:id="1467" w:name="_Hlk36511445"/>
      <w:r>
        <w:rPr>
          <w:rFonts w:hint="eastAsia"/>
          <w:b/>
          <w:bCs/>
          <w:color w:val="000000" w:themeColor="text1"/>
          <w:highlight w:val="none"/>
          <w14:textFill>
            <w14:solidFill>
              <w14:schemeClr w14:val="tx1"/>
            </w14:solidFill>
          </w14:textFill>
        </w:rPr>
        <w:t>投标报价清单如有漏项的投标文件，将予以否决。</w:t>
      </w:r>
      <w:bookmarkEnd w:id="1467"/>
    </w:p>
    <w:p>
      <w:pPr>
        <w:tabs>
          <w:tab w:val="left" w:pos="851"/>
          <w:tab w:val="left" w:pos="1134"/>
        </w:tabs>
        <w:spacing w:before="0" w:after="0" w:afterAutospacing="0"/>
        <w:ind w:left="105" w:leftChars="50" w:right="0" w:firstLine="105" w:firstLineChars="50"/>
        <w:jc w:val="left"/>
        <w:rPr>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3.3.3.4</w:t>
      </w:r>
      <w:r>
        <w:rPr>
          <w:color w:val="000000" w:themeColor="text1"/>
          <w:highlight w:val="none"/>
          <w14:textFill>
            <w14:solidFill>
              <w14:schemeClr w14:val="tx1"/>
            </w14:solidFill>
          </w14:textFill>
        </w:rPr>
        <w:t>评审委员会</w:t>
      </w:r>
      <w:r>
        <w:rPr>
          <w:rFonts w:hint="eastAsia"/>
          <w:color w:val="000000" w:themeColor="text1"/>
          <w:highlight w:val="none"/>
          <w14:textFill>
            <w14:solidFill>
              <w14:schemeClr w14:val="tx1"/>
            </w14:solidFill>
          </w14:textFill>
        </w:rPr>
        <w:t>按照附表四《比选报价评分表》规定的量化因素和分值，对各比选申请人的投标报价评审，并计算出价格得分（得分出现小数点，保留小数点后二位，第三位小数四舍五入）。</w:t>
      </w:r>
    </w:p>
    <w:p>
      <w:pPr>
        <w:tabs>
          <w:tab w:val="left" w:pos="567"/>
        </w:tabs>
        <w:spacing w:before="0" w:after="0" w:afterAutospacing="0"/>
        <w:ind w:left="422" w:right="0" w:firstLine="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3.4</w:t>
      </w:r>
      <w:r>
        <w:rPr>
          <w:rFonts w:ascii="宋体" w:hAnsi="宋体"/>
          <w:b/>
          <w:color w:val="000000" w:themeColor="text1"/>
          <w:highlight w:val="none"/>
          <w14:textFill>
            <w14:solidFill>
              <w14:schemeClr w14:val="tx1"/>
            </w14:solidFill>
          </w14:textFill>
        </w:rPr>
        <w:t>澄清或补正</w:t>
      </w:r>
    </w:p>
    <w:p>
      <w:pPr>
        <w:tabs>
          <w:tab w:val="left" w:pos="851"/>
          <w:tab w:val="left" w:pos="1134"/>
        </w:tabs>
        <w:spacing w:before="0" w:after="0" w:afterAutospacing="0"/>
        <w:ind w:left="0" w:right="0" w:firstLine="420" w:firstLineChars="200"/>
        <w:jc w:val="left"/>
        <w:rPr>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4.1在评审阶段，评审委员会认为必要时，可书面通知比选申请人要求其澄清或补正比选申请文件中的问题，或者要求其补充某些资料。对此，比选申请人不得拒绝。</w:t>
      </w:r>
    </w:p>
    <w:p>
      <w:pPr>
        <w:tabs>
          <w:tab w:val="left" w:pos="851"/>
          <w:tab w:val="left" w:pos="1134"/>
        </w:tabs>
        <w:spacing w:before="0" w:after="0" w:afterAutospacing="0"/>
        <w:ind w:left="0" w:right="0"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3.4.2</w:t>
      </w:r>
      <w:r>
        <w:rPr>
          <w:color w:val="000000" w:themeColor="text1"/>
          <w:highlight w:val="none"/>
          <w14:textFill>
            <w14:solidFill>
              <w14:schemeClr w14:val="tx1"/>
            </w14:solidFill>
          </w14:textFill>
        </w:rPr>
        <w:t>比选申请人须以书面形式提供澄清或补正文件，经评审委员会确认方可作为比选申请文件的组成部分。</w:t>
      </w:r>
    </w:p>
    <w:p>
      <w:pPr>
        <w:tabs>
          <w:tab w:val="left" w:pos="851"/>
          <w:tab w:val="left" w:pos="1134"/>
        </w:tabs>
        <w:spacing w:before="0" w:after="0" w:afterAutospacing="0"/>
        <w:ind w:left="0" w:right="0"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3.4.3</w:t>
      </w:r>
      <w:r>
        <w:rPr>
          <w:color w:val="000000" w:themeColor="text1"/>
          <w:highlight w:val="none"/>
          <w14:textFill>
            <w14:solidFill>
              <w14:schemeClr w14:val="tx1"/>
            </w14:solidFill>
          </w14:textFill>
        </w:rPr>
        <w:t>比选申请人能够合理说明或提供有效证明资料的，评审委员会将予以采信，取消该疑问事项及对应的比选申请报价偏差；不能合理说明或者不能提供有效证明材料的，评审委员会将不予采信，该疑问事项及对应的比选申请报价偏差将确认成立，但其比选申请总价保持不变。</w:t>
      </w:r>
    </w:p>
    <w:p>
      <w:pPr>
        <w:tabs>
          <w:tab w:val="left" w:pos="851"/>
          <w:tab w:val="left" w:pos="1134"/>
        </w:tabs>
        <w:spacing w:before="0" w:after="0" w:afterAutospacing="0"/>
        <w:ind w:left="0" w:right="0"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3.4.4</w:t>
      </w:r>
      <w:r>
        <w:rPr>
          <w:color w:val="000000" w:themeColor="text1"/>
          <w:highlight w:val="none"/>
          <w14:textFill>
            <w14:solidFill>
              <w14:schemeClr w14:val="tx1"/>
            </w14:solidFill>
          </w14:textFill>
        </w:rPr>
        <w:t>如果评审委员会对比选申请人提交的澄清、说明或补正依然存有疑问，可以对比选申请人进一步质疑。比选申请人应当相应地进一步澄清、说明或补正，直至评审委员会认为全部质疑得到解答。</w:t>
      </w:r>
    </w:p>
    <w:p>
      <w:pPr>
        <w:tabs>
          <w:tab w:val="left" w:pos="851"/>
          <w:tab w:val="left" w:pos="1134"/>
        </w:tabs>
        <w:spacing w:before="0" w:after="0" w:afterAutospacing="0"/>
        <w:ind w:left="0" w:right="0" w:firstLine="420" w:firstLineChars="200"/>
        <w:jc w:val="left"/>
        <w:rPr>
          <w:rFonts w:ascii="宋体" w:hAnsi="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3.4.5</w:t>
      </w:r>
      <w:r>
        <w:rPr>
          <w:color w:val="000000" w:themeColor="text1"/>
          <w:highlight w:val="none"/>
          <w14:textFill>
            <w14:solidFill>
              <w14:schemeClr w14:val="tx1"/>
            </w14:solidFill>
          </w14:textFill>
        </w:rPr>
        <w:t>比选申请人不得借澄清或补正问题的机会，与比选人及评审委员会私下接触或对原比选申请价和内容提出修改，但在评审中进行的初步修正，则不在</w:t>
      </w:r>
      <w:r>
        <w:rPr>
          <w:rFonts w:ascii="宋体" w:hAnsi="宋体"/>
          <w:color w:val="000000" w:themeColor="text1"/>
          <w:highlight w:val="none"/>
          <w14:textFill>
            <w14:solidFill>
              <w14:schemeClr w14:val="tx1"/>
            </w14:solidFill>
          </w14:textFill>
        </w:rPr>
        <w:t>此列。比选人不接受比选申请人主动提出的对比选申请文件的澄清或补正。</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3.5</w:t>
      </w:r>
      <w:r>
        <w:rPr>
          <w:rFonts w:ascii="宋体" w:hAnsi="宋体"/>
          <w:b/>
          <w:color w:val="000000" w:themeColor="text1"/>
          <w:highlight w:val="none"/>
          <w14:textFill>
            <w14:solidFill>
              <w14:schemeClr w14:val="tx1"/>
            </w14:solidFill>
          </w14:textFill>
        </w:rPr>
        <w:t>评审报告</w:t>
      </w:r>
    </w:p>
    <w:p>
      <w:pPr>
        <w:tabs>
          <w:tab w:val="left" w:pos="993"/>
          <w:tab w:val="left" w:pos="113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14:textFill>
            <w14:solidFill>
              <w14:schemeClr w14:val="tx1"/>
            </w14:solidFill>
          </w14:textFill>
        </w:rPr>
        <w:t>）评审委员会应根据评审情况和结果，向比选人提交评审报告。评审报告由评审委员会成员起草，按少数服从多数的原则通过。评审委员会全体成员应在评审报告上签字确认，评审专家如有保留意见可以在评审报告中阐明</w:t>
      </w:r>
      <w:r>
        <w:rPr>
          <w:rFonts w:ascii="宋体" w:hAnsi="宋体"/>
          <w:color w:val="000000" w:themeColor="text1"/>
          <w:highlight w:val="none"/>
          <w14:textFill>
            <w14:solidFill>
              <w14:schemeClr w14:val="tx1"/>
            </w14:solidFill>
          </w14:textFill>
        </w:rPr>
        <w:t>。</w:t>
      </w:r>
    </w:p>
    <w:p>
      <w:pPr>
        <w:tabs>
          <w:tab w:val="left" w:pos="851"/>
          <w:tab w:val="left" w:pos="993"/>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）评审委员会根据</w:t>
      </w:r>
      <w:r>
        <w:rPr>
          <w:rFonts w:hint="eastAsia" w:cs="宋体"/>
          <w:color w:val="000000" w:themeColor="text1"/>
          <w:highlight w:val="none"/>
          <w14:textFill>
            <w14:solidFill>
              <w14:schemeClr w14:val="tx1"/>
            </w14:solidFill>
          </w14:textFill>
        </w:rPr>
        <w:t>综合评分由高到低顺序推荐中选候选人。综合评分相同时，则技术得分较高的排名靠前；如技术得分也相同，则价格得分较高的排名靠前；如价格得分也相同，</w:t>
      </w:r>
      <w:bookmarkStart w:id="1468" w:name="_Hlk31877730"/>
      <w:r>
        <w:rPr>
          <w:rFonts w:hint="eastAsia" w:cs="宋体"/>
          <w:color w:val="000000" w:themeColor="text1"/>
          <w:highlight w:val="none"/>
          <w14:textFill>
            <w14:solidFill>
              <w14:schemeClr w14:val="tx1"/>
            </w14:solidFill>
          </w14:textFill>
        </w:rPr>
        <w:t>则由评审委员会采用记名投票方式确定</w:t>
      </w:r>
      <w:bookmarkEnd w:id="1468"/>
      <w:r>
        <w:rPr>
          <w:rFonts w:hint="eastAsia" w:ascii="宋体" w:hAnsi="宋体"/>
          <w:color w:val="000000" w:themeColor="text1"/>
          <w:highlight w:val="none"/>
          <w14:textFill>
            <w14:solidFill>
              <w14:schemeClr w14:val="tx1"/>
            </w14:solidFill>
          </w14:textFill>
        </w:rPr>
        <w:t>其排名顺序。</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3.6</w:t>
      </w:r>
      <w:r>
        <w:rPr>
          <w:rFonts w:ascii="宋体" w:hAnsi="宋体"/>
          <w:b/>
          <w:color w:val="000000" w:themeColor="text1"/>
          <w:highlight w:val="none"/>
          <w14:textFill>
            <w14:solidFill>
              <w14:schemeClr w14:val="tx1"/>
            </w14:solidFill>
          </w14:textFill>
        </w:rPr>
        <w:t>否决比选申请条件</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比选申请文件有下列情形之一的，评审委员会应按否决比选申请处理：</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（1）不符合附表一《资格审查表》规定的；</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（2）不符合附表二《符合性评审表》规定的；</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（3）法定代表人未按规定出具授权委托书的(采用委托代理人形式的)；</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（4）在比选申请文件中有虚假文件和/或资料的；</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（5）比选申请文件中附有比选人不能接受的条件；</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（6）比选申请文件实质上不响应比选文件的要求的；</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 xml:space="preserve">（7）比选申请人以经评审委员会评审认定为低于成本的报价竞标； </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（8）比选申请人扰乱会场秩序，经劝阻仍然无理取闹的；</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（9）比选申请人未能按照评审委员会要求，对其比选申请文件进行澄清、说明和补正的；</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（10）比选申请人以他人的名义比选申请、串通比选申请、以行贿手段谋取中选或者以其他弄虚作假方式比选申请的。</w:t>
      </w:r>
    </w:p>
    <w:p>
      <w:pPr>
        <w:tabs>
          <w:tab w:val="left" w:pos="1276"/>
        </w:tabs>
        <w:spacing w:before="0" w:after="0"/>
        <w:ind w:left="420" w:right="0" w:firstLine="0"/>
        <w:jc w:val="left"/>
        <w:rPr>
          <w:rFonts w:ascii="宋体" w:hAnsi="宋体"/>
          <w:b/>
          <w:color w:val="000000" w:themeColor="text1"/>
          <w:highlight w:val="none"/>
          <w14:textFill>
            <w14:solidFill>
              <w14:schemeClr w14:val="tx1"/>
            </w14:solidFill>
          </w14:textFill>
        </w:rPr>
        <w:sectPr>
          <w:pgSz w:w="11905" w:h="16838"/>
          <w:pgMar w:top="1418" w:right="1418" w:bottom="1304" w:left="1418" w:header="454" w:footer="567" w:gutter="0"/>
          <w:cols w:space="720" w:num="1"/>
          <w:docGrid w:linePitch="312" w:charSpace="0"/>
        </w:sectPr>
      </w:pPr>
    </w:p>
    <w:p>
      <w:pPr>
        <w:pStyle w:val="2"/>
        <w:spacing w:after="0" w:line="360" w:lineRule="auto"/>
        <w:ind w:right="-57" w:firstLine="0"/>
        <w:rPr>
          <w:color w:val="000000" w:themeColor="text1"/>
          <w:sz w:val="21"/>
          <w:szCs w:val="21"/>
          <w:highlight w:val="none"/>
          <w14:textFill>
            <w14:solidFill>
              <w14:schemeClr w14:val="tx1"/>
            </w14:solidFill>
          </w14:textFill>
        </w:rPr>
      </w:pPr>
      <w:bookmarkStart w:id="1469" w:name="_Toc10968"/>
      <w:bookmarkStart w:id="1470" w:name="_Toc31611"/>
      <w:bookmarkStart w:id="1471" w:name="_Toc23314"/>
      <w:bookmarkStart w:id="1472" w:name="_Toc434"/>
      <w:bookmarkStart w:id="1473" w:name="_Toc492478849"/>
      <w:bookmarkStart w:id="1474" w:name="_Toc19557"/>
      <w:bookmarkStart w:id="1475" w:name="_Toc22464"/>
      <w:bookmarkStart w:id="1476" w:name="_Toc114134688"/>
      <w:bookmarkStart w:id="1477" w:name="_Toc9730"/>
      <w:bookmarkStart w:id="1478" w:name="_Toc18096"/>
      <w:bookmarkStart w:id="1479" w:name="_Toc15224"/>
      <w:bookmarkStart w:id="1480" w:name="_Toc414290583"/>
      <w:bookmarkStart w:id="1481" w:name="_Toc32021"/>
      <w:bookmarkStart w:id="1482" w:name="_Toc15073"/>
      <w:bookmarkStart w:id="1483" w:name="_Toc9588"/>
      <w:bookmarkStart w:id="1484" w:name="_Toc16364"/>
      <w:bookmarkStart w:id="1485" w:name="_Toc28404"/>
      <w:bookmarkStart w:id="1486" w:name="_Toc29245"/>
      <w:bookmarkStart w:id="1487" w:name="_Toc9189"/>
      <w:bookmarkStart w:id="1488" w:name="_Toc20574"/>
      <w:bookmarkStart w:id="1489" w:name="_Toc25750694"/>
      <w:bookmarkStart w:id="1490" w:name="_Toc27271"/>
      <w:bookmarkStart w:id="1491" w:name="_Toc29923"/>
      <w:r>
        <w:rPr>
          <w:rFonts w:hint="eastAsia"/>
          <w:color w:val="000000" w:themeColor="text1"/>
          <w:sz w:val="21"/>
          <w:szCs w:val="21"/>
          <w:highlight w:val="none"/>
          <w14:textFill>
            <w14:solidFill>
              <w14:schemeClr w14:val="tx1"/>
            </w14:solidFill>
          </w14:textFill>
        </w:rPr>
        <w:t>附表一 资格审查表</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pPr>
        <w:snapToGrid w:val="0"/>
        <w:spacing w:before="0" w:line="360" w:lineRule="exact"/>
        <w:ind w:left="420" w:right="240" w:firstLine="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资格审查表</w:t>
      </w:r>
    </w:p>
    <w:tbl>
      <w:tblPr>
        <w:tblStyle w:val="35"/>
        <w:tblW w:w="9260"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37"/>
        <w:gridCol w:w="741"/>
        <w:gridCol w:w="3067"/>
        <w:gridCol w:w="1425"/>
        <w:gridCol w:w="1087"/>
        <w:gridCol w:w="2503"/>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37" w:hRule="atLeast"/>
          <w:tblHeader/>
          <w:jc w:val="center"/>
        </w:trPr>
        <w:tc>
          <w:tcPr>
            <w:tcW w:w="437" w:type="dxa"/>
            <w:vAlign w:val="center"/>
          </w:tcPr>
          <w:p>
            <w:pPr>
              <w:spacing w:before="0" w:after="0" w:afterAutospacing="0" w:line="240" w:lineRule="auto"/>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序号</w:t>
            </w:r>
          </w:p>
        </w:tc>
        <w:tc>
          <w:tcPr>
            <w:tcW w:w="741" w:type="dxa"/>
            <w:vAlign w:val="center"/>
          </w:tcPr>
          <w:p>
            <w:pPr>
              <w:spacing w:before="0" w:after="0" w:afterAutospacing="0" w:line="240" w:lineRule="auto"/>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项目内容</w:t>
            </w:r>
          </w:p>
        </w:tc>
        <w:tc>
          <w:tcPr>
            <w:tcW w:w="3067" w:type="dxa"/>
            <w:vAlign w:val="center"/>
          </w:tcPr>
          <w:p>
            <w:pPr>
              <w:spacing w:before="0" w:after="0" w:afterAutospacing="0" w:line="240" w:lineRule="auto"/>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合格条件标准</w:t>
            </w:r>
          </w:p>
        </w:tc>
        <w:tc>
          <w:tcPr>
            <w:tcW w:w="1425" w:type="dxa"/>
            <w:vAlign w:val="center"/>
          </w:tcPr>
          <w:p>
            <w:pPr>
              <w:spacing w:before="0" w:after="0" w:afterAutospacing="0" w:line="240" w:lineRule="auto"/>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评审依据</w:t>
            </w:r>
          </w:p>
        </w:tc>
        <w:tc>
          <w:tcPr>
            <w:tcW w:w="1087" w:type="dxa"/>
            <w:vAlign w:val="center"/>
          </w:tcPr>
          <w:p>
            <w:pPr>
              <w:spacing w:before="0" w:after="0" w:afterAutospacing="0" w:line="240" w:lineRule="auto"/>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评审结果（合格</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不合格）</w:t>
            </w:r>
          </w:p>
        </w:tc>
        <w:tc>
          <w:tcPr>
            <w:tcW w:w="2503" w:type="dxa"/>
            <w:vAlign w:val="center"/>
          </w:tcPr>
          <w:p>
            <w:pPr>
              <w:spacing w:before="0" w:after="0" w:afterAutospacing="0" w:line="240" w:lineRule="auto"/>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备注</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58" w:hRule="atLeast"/>
          <w:jc w:val="center"/>
        </w:trPr>
        <w:tc>
          <w:tcPr>
            <w:tcW w:w="43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1</w:t>
            </w:r>
          </w:p>
        </w:tc>
        <w:tc>
          <w:tcPr>
            <w:tcW w:w="741"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身份</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证明</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材料</w:t>
            </w:r>
          </w:p>
        </w:tc>
        <w:tc>
          <w:tcPr>
            <w:tcW w:w="306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法定代表人授权书及法定代表人资格证明书（如无授权时，只需提供法定代表人资格证明书）、法定代表人及被授权人身份证复印件。</w:t>
            </w:r>
          </w:p>
        </w:tc>
        <w:tc>
          <w:tcPr>
            <w:tcW w:w="1425"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法定代表人授权书，法定代表人资格证明书和身份证复印件</w:t>
            </w:r>
          </w:p>
        </w:tc>
        <w:tc>
          <w:tcPr>
            <w:tcW w:w="108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2503"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提供法定代表人授权书及法定代表人资格证明书（如无授权时，只需提供法定代表人资格证明书），法人及被授权人身份证复印件加盖公章。</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016" w:hRule="atLeast"/>
          <w:jc w:val="center"/>
        </w:trPr>
        <w:tc>
          <w:tcPr>
            <w:tcW w:w="43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2</w:t>
            </w:r>
          </w:p>
        </w:tc>
        <w:tc>
          <w:tcPr>
            <w:tcW w:w="741"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申请人</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资格</w:t>
            </w:r>
          </w:p>
        </w:tc>
        <w:tc>
          <w:tcPr>
            <w:tcW w:w="3067" w:type="dxa"/>
            <w:vAlign w:val="center"/>
          </w:tcPr>
          <w:p>
            <w:pPr>
              <w:numPr>
                <w:ilvl w:val="0"/>
                <w:numId w:val="10"/>
              </w:numPr>
              <w:spacing w:before="0" w:after="0" w:afterAutospacing="0"/>
              <w:ind w:left="0" w:right="0" w:firstLine="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比选申请人为中华人民共和国境内依法设立的法人或其他组织。</w:t>
            </w:r>
          </w:p>
          <w:p>
            <w:pPr>
              <w:keepNext w:val="0"/>
              <w:keepLines w:val="0"/>
              <w:pageBreakBefore w:val="0"/>
              <w:widowControl/>
              <w:kinsoku/>
              <w:wordWrap/>
              <w:overflowPunct/>
              <w:topLinePunct w:val="0"/>
              <w:autoSpaceDE/>
              <w:autoSpaceDN/>
              <w:bidi w:val="0"/>
              <w:adjustRightInd/>
              <w:snapToGrid/>
              <w:spacing w:before="0" w:after="0" w:afterAutospacing="0"/>
              <w:ind w:left="0" w:right="0" w:firstLine="0"/>
              <w:jc w:val="left"/>
              <w:textAlignment w:val="auto"/>
              <w:rPr>
                <w:rFonts w:hint="eastAsia" w:ascii="宋体" w:hAnsi="宋体"/>
                <w:color w:val="000000" w:themeColor="text1"/>
                <w:highlight w:val="none"/>
                <w:lang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2、具备工程设计综合</w:t>
            </w:r>
            <w:r>
              <w:rPr>
                <w:rFonts w:hint="default" w:ascii="宋体" w:hAnsi="宋体"/>
                <w:color w:val="000000" w:themeColor="text1"/>
                <w:highlight w:val="none"/>
                <w:lang w:val="en-US" w:eastAsia="zh-CN"/>
                <w14:textFill>
                  <w14:solidFill>
                    <w14:schemeClr w14:val="tx1"/>
                  </w14:solidFill>
                </w14:textFill>
              </w:rPr>
              <w:t>甲级资质或者工程设计市政行业乙级及以上资质</w:t>
            </w:r>
            <w:r>
              <w:rPr>
                <w:rFonts w:hint="eastAsia" w:ascii="宋体" w:hAnsi="宋体"/>
                <w:color w:val="000000" w:themeColor="text1"/>
                <w:highlight w:val="none"/>
                <w:lang w:val="en-US" w:eastAsia="zh-CN"/>
                <w14:textFill>
                  <w14:solidFill>
                    <w14:schemeClr w14:val="tx1"/>
                  </w14:solidFill>
                </w14:textFill>
              </w:rPr>
              <w:t>或工程设计市政行业（道路工程）专业乙级及以上资质。</w:t>
            </w:r>
          </w:p>
        </w:tc>
        <w:tc>
          <w:tcPr>
            <w:tcW w:w="1425"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营业执照副本或事业单位法人证书等证明文件复印件</w:t>
            </w:r>
          </w:p>
        </w:tc>
        <w:tc>
          <w:tcPr>
            <w:tcW w:w="108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2503"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比选申请人有效的营业执照或事业单位法人证书复印件等证明文件及资质证书复印件，并加盖公章。</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016" w:hRule="atLeast"/>
          <w:jc w:val="center"/>
        </w:trPr>
        <w:tc>
          <w:tcPr>
            <w:tcW w:w="437" w:type="dxa"/>
            <w:vAlign w:val="center"/>
          </w:tcPr>
          <w:p>
            <w:pPr>
              <w:spacing w:before="0" w:after="0" w:afterAutospacing="0"/>
              <w:ind w:left="0" w:right="0" w:firstLine="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w:t>
            </w:r>
          </w:p>
        </w:tc>
        <w:tc>
          <w:tcPr>
            <w:tcW w:w="741" w:type="dxa"/>
            <w:vAlign w:val="center"/>
          </w:tcPr>
          <w:p>
            <w:pPr>
              <w:spacing w:before="0" w:after="0" w:afterAutospacing="0"/>
              <w:ind w:left="0" w:right="0" w:firstLine="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人员要求</w:t>
            </w:r>
          </w:p>
        </w:tc>
        <w:tc>
          <w:tcPr>
            <w:tcW w:w="3067" w:type="dxa"/>
            <w:vAlign w:val="center"/>
          </w:tcPr>
          <w:p>
            <w:pPr>
              <w:keepNext w:val="0"/>
              <w:keepLines w:val="0"/>
              <w:pageBreakBefore w:val="0"/>
              <w:widowControl/>
              <w:kinsoku/>
              <w:wordWrap/>
              <w:overflowPunct/>
              <w:topLinePunct w:val="0"/>
              <w:autoSpaceDE/>
              <w:autoSpaceDN/>
              <w:bidi w:val="0"/>
              <w:adjustRightInd/>
              <w:snapToGrid/>
              <w:spacing w:before="0" w:after="0" w:afterAutospacing="0"/>
              <w:ind w:left="0" w:right="0" w:firstLine="0" w:firstLineChars="0"/>
              <w:jc w:val="left"/>
              <w:textAlignment w:val="auto"/>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项目负责人的资格要求具有工程相关专业中级职称（含）</w:t>
            </w:r>
            <w:r>
              <w:rPr>
                <w:rFonts w:hint="default" w:ascii="宋体" w:hAnsi="宋体"/>
                <w:color w:val="000000" w:themeColor="text1"/>
                <w:highlight w:val="none"/>
                <w:lang w:val="en-US" w:eastAsia="zh-CN"/>
                <w14:textFill>
                  <w14:solidFill>
                    <w14:schemeClr w14:val="tx1"/>
                  </w14:solidFill>
                </w14:textFill>
              </w:rPr>
              <w:t>以上</w:t>
            </w:r>
            <w:r>
              <w:rPr>
                <w:rFonts w:hint="eastAsia" w:ascii="宋体" w:hAnsi="宋体"/>
                <w:color w:val="000000" w:themeColor="text1"/>
                <w:highlight w:val="none"/>
                <w:lang w:val="en-US" w:eastAsia="zh-CN"/>
                <w14:textFill>
                  <w14:solidFill>
                    <w14:schemeClr w14:val="tx1"/>
                  </w14:solidFill>
                </w14:textFill>
              </w:rPr>
              <w:t>。</w:t>
            </w:r>
          </w:p>
        </w:tc>
        <w:tc>
          <w:tcPr>
            <w:tcW w:w="1425" w:type="dxa"/>
            <w:vAlign w:val="center"/>
          </w:tcPr>
          <w:p>
            <w:pPr>
              <w:spacing w:before="0" w:after="0" w:afterAutospacing="0"/>
              <w:ind w:left="0" w:right="0" w:firstLine="0"/>
              <w:rPr>
                <w:rFonts w:hint="default" w:ascii="宋体" w:hAnsi="宋体" w:eastAsia="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项目负责人职称证书复印件</w:t>
            </w:r>
          </w:p>
        </w:tc>
        <w:tc>
          <w:tcPr>
            <w:tcW w:w="108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2503" w:type="dxa"/>
            <w:vAlign w:val="center"/>
          </w:tcPr>
          <w:p>
            <w:pPr>
              <w:spacing w:before="0" w:after="0" w:afterAutospacing="0"/>
              <w:ind w:left="0" w:right="0" w:firstLine="0"/>
              <w:rPr>
                <w:rFonts w:hint="eastAsia" w:ascii="宋体" w:hAnsi="宋体"/>
                <w:color w:val="000000" w:themeColor="text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trPr>
        <w:tc>
          <w:tcPr>
            <w:tcW w:w="437" w:type="dxa"/>
            <w:vAlign w:val="center"/>
          </w:tcPr>
          <w:p>
            <w:pPr>
              <w:spacing w:before="0" w:after="0" w:afterAutospacing="0"/>
              <w:ind w:left="0" w:leftChars="0" w:right="0" w:rightChars="0" w:firstLine="0" w:firstLineChars="0"/>
              <w:rPr>
                <w:rFonts w:hint="default" w:ascii="宋体" w:hAnsi="宋体" w:eastAsia="宋体" w:cs="Times New Roman"/>
                <w:color w:val="000000" w:themeColor="text1"/>
                <w:sz w:val="21"/>
                <w:szCs w:val="21"/>
                <w:highlight w:val="none"/>
                <w:lang w:val="en-US" w:eastAsia="zh-CN" w:bidi="ar-SA"/>
                <w14:textFill>
                  <w14:solidFill>
                    <w14:schemeClr w14:val="tx1"/>
                  </w14:solidFill>
                </w14:textFill>
              </w:rPr>
            </w:pPr>
            <w:r>
              <w:rPr>
                <w:rFonts w:hint="eastAsia" w:ascii="宋体" w:hAnsi="宋体" w:cs="Times New Roman"/>
                <w:color w:val="000000" w:themeColor="text1"/>
                <w:sz w:val="21"/>
                <w:szCs w:val="21"/>
                <w:highlight w:val="none"/>
                <w:lang w:val="en-US" w:eastAsia="zh-CN" w:bidi="ar-SA"/>
                <w14:textFill>
                  <w14:solidFill>
                    <w14:schemeClr w14:val="tx1"/>
                  </w14:solidFill>
                </w14:textFill>
              </w:rPr>
              <w:t>3</w:t>
            </w:r>
          </w:p>
        </w:tc>
        <w:tc>
          <w:tcPr>
            <w:tcW w:w="741"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业绩</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证明</w:t>
            </w:r>
          </w:p>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3067" w:type="dxa"/>
            <w:vAlign w:val="center"/>
          </w:tcPr>
          <w:p>
            <w:pPr>
              <w:keepNext w:val="0"/>
              <w:keepLines w:val="0"/>
              <w:pageBreakBefore w:val="0"/>
              <w:widowControl/>
              <w:kinsoku/>
              <w:wordWrap/>
              <w:overflowPunct/>
              <w:topLinePunct w:val="0"/>
              <w:autoSpaceDE/>
              <w:autoSpaceDN/>
              <w:bidi w:val="0"/>
              <w:adjustRightInd/>
              <w:snapToGrid/>
              <w:spacing w:before="0" w:after="0" w:afterAutospacing="0" w:line="240" w:lineRule="auto"/>
              <w:ind w:left="0" w:right="0" w:firstLine="0"/>
              <w:textAlignment w:val="auto"/>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比选申请人自2021年1月1日至比选申请截止时间前，承接过（完工/在建项目）1个及以上50万元（含）以上的市政工程设计项目。</w:t>
            </w:r>
          </w:p>
        </w:tc>
        <w:tc>
          <w:tcPr>
            <w:tcW w:w="1425"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相应的业绩证明材料</w:t>
            </w:r>
          </w:p>
        </w:tc>
        <w:tc>
          <w:tcPr>
            <w:tcW w:w="108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2503"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提供下述材料之一即可：①合同文件；②中标通知书。</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所提供的材料须能明确反映类似项目特征，复印件加盖比选申请人公章。</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437" w:type="dxa"/>
            <w:vAlign w:val="center"/>
          </w:tcPr>
          <w:p>
            <w:pPr>
              <w:spacing w:before="0" w:after="0" w:afterAutospacing="0"/>
              <w:ind w:left="0" w:right="0" w:firstLine="0"/>
              <w:rPr>
                <w:rFonts w:hint="default" w:ascii="宋体" w:hAnsi="宋体" w:eastAsia="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4</w:t>
            </w:r>
          </w:p>
        </w:tc>
        <w:tc>
          <w:tcPr>
            <w:tcW w:w="741"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承诺书</w:t>
            </w:r>
          </w:p>
        </w:tc>
        <w:tc>
          <w:tcPr>
            <w:tcW w:w="306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比选申请人没有处于被行政主管部门或业主取消比选申请资格的处罚期内，且没有处于被责令停业，财产被接管、破产状态；比选申请截止时间前3年内没有骗取中选、严重违约或重大质量安全责任事故的情况。</w:t>
            </w:r>
          </w:p>
        </w:tc>
        <w:tc>
          <w:tcPr>
            <w:tcW w:w="1425"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承诺书原件</w:t>
            </w:r>
          </w:p>
        </w:tc>
        <w:tc>
          <w:tcPr>
            <w:tcW w:w="108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2503"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按规定格式提供承诺书</w:t>
            </w:r>
          </w:p>
          <w:p>
            <w:pPr>
              <w:spacing w:before="0" w:after="0" w:afterAutospacing="0"/>
              <w:ind w:left="0" w:right="0" w:firstLine="0"/>
              <w:rPr>
                <w:rFonts w:ascii="宋体" w:hAnsi="宋体"/>
                <w:color w:val="000000" w:themeColor="text1"/>
                <w:highlight w:val="none"/>
                <w14:textFill>
                  <w14:solidFill>
                    <w14:schemeClr w14:val="tx1"/>
                  </w14:solidFill>
                </w14:textFill>
              </w:rPr>
            </w:pPr>
          </w:p>
        </w:tc>
      </w:tr>
    </w:tbl>
    <w:p>
      <w:pPr>
        <w:snapToGrid w:val="0"/>
        <w:spacing w:before="0" w:after="0" w:afterAutospacing="0" w:line="240" w:lineRule="auto"/>
        <w:ind w:left="0" w:right="0" w:firstLine="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注：</w:t>
      </w:r>
    </w:p>
    <w:p>
      <w:pPr>
        <w:snapToGrid w:val="0"/>
        <w:spacing w:before="0" w:after="0" w:afterAutospacing="0" w:line="240" w:lineRule="auto"/>
        <w:ind w:left="0" w:right="0" w:firstLine="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1.以上所有证明资料原件备查。</w:t>
      </w:r>
    </w:p>
    <w:p>
      <w:pPr>
        <w:snapToGrid w:val="0"/>
        <w:spacing w:before="0" w:after="0" w:afterAutospacing="0" w:line="240" w:lineRule="auto"/>
        <w:ind w:left="0" w:right="0" w:firstLine="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2.比选申请文件如未通过上述资格审查，则作比选申请被否决处理并不得进入下一阶段评审。</w:t>
      </w:r>
    </w:p>
    <w:p>
      <w:pP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br w:type="page"/>
      </w:r>
      <w:bookmarkStart w:id="1492" w:name="_Toc26041"/>
      <w:bookmarkStart w:id="1493" w:name="_Toc8865"/>
      <w:bookmarkStart w:id="1494" w:name="_Toc114134689"/>
      <w:bookmarkStart w:id="1495" w:name="_Toc25750695"/>
      <w:bookmarkStart w:id="1496" w:name="_Toc191"/>
      <w:bookmarkStart w:id="1497" w:name="_Toc22635"/>
      <w:bookmarkStart w:id="1498" w:name="_Toc492478850"/>
      <w:bookmarkStart w:id="1499" w:name="_Toc6612"/>
      <w:bookmarkStart w:id="1500" w:name="_Toc12984826"/>
      <w:bookmarkStart w:id="1501" w:name="_Toc5737"/>
      <w:bookmarkStart w:id="1502" w:name="_Toc20215"/>
      <w:bookmarkStart w:id="1503" w:name="_Toc29670"/>
      <w:bookmarkStart w:id="1504" w:name="_Toc31487"/>
      <w:bookmarkStart w:id="1505" w:name="_Toc8945"/>
      <w:bookmarkStart w:id="1506" w:name="_Toc1459"/>
      <w:bookmarkStart w:id="1507" w:name="_Toc15103"/>
      <w:bookmarkStart w:id="1508" w:name="_Toc12983557"/>
      <w:bookmarkStart w:id="1509" w:name="_Toc19299"/>
      <w:bookmarkStart w:id="1510" w:name="_Toc7852"/>
      <w:bookmarkStart w:id="1511" w:name="_Toc5811"/>
      <w:bookmarkStart w:id="1512" w:name="_Toc3409"/>
      <w:bookmarkStart w:id="1513" w:name="_Toc9343"/>
      <w:bookmarkStart w:id="1514" w:name="_Toc6102"/>
      <w:bookmarkStart w:id="1515" w:name="_Toc25123"/>
      <w:r>
        <w:rPr>
          <w:rFonts w:hint="eastAsia" w:ascii="宋体" w:hAnsi="宋体"/>
          <w:color w:val="000000" w:themeColor="text1"/>
          <w:highlight w:val="none"/>
          <w14:textFill>
            <w14:solidFill>
              <w14:schemeClr w14:val="tx1"/>
            </w14:solidFill>
          </w14:textFill>
        </w:rPr>
        <w:t>附表二 符合性评审表</w:t>
      </w:r>
      <w:bookmarkEnd w:id="1492"/>
      <w:bookmarkEnd w:id="1493"/>
      <w:bookmarkEnd w:id="1494"/>
      <w:bookmarkEnd w:id="1495"/>
    </w:p>
    <w:p>
      <w:pPr>
        <w:spacing w:before="0"/>
        <w:ind w:right="0" w:firstLine="0"/>
        <w:jc w:val="center"/>
        <w:rPr>
          <w:b/>
          <w:color w:val="000000" w:themeColor="text1"/>
          <w:sz w:val="24"/>
          <w:szCs w:val="24"/>
          <w:highlight w:val="none"/>
          <w14:textFill>
            <w14:solidFill>
              <w14:schemeClr w14:val="tx1"/>
            </w14:solidFill>
          </w14:textFill>
        </w:rPr>
      </w:pPr>
      <w:r>
        <w:rPr>
          <w:rFonts w:hint="eastAsia" w:hAnsi="宋体"/>
          <w:b/>
          <w:color w:val="000000" w:themeColor="text1"/>
          <w:sz w:val="24"/>
          <w:szCs w:val="24"/>
          <w:highlight w:val="none"/>
          <w14:textFill>
            <w14:solidFill>
              <w14:schemeClr w14:val="tx1"/>
            </w14:solidFill>
          </w14:textFill>
        </w:rPr>
        <w:t>符合性</w:t>
      </w:r>
      <w:r>
        <w:rPr>
          <w:rFonts w:hAnsi="宋体"/>
          <w:b/>
          <w:color w:val="000000" w:themeColor="text1"/>
          <w:sz w:val="24"/>
          <w:szCs w:val="24"/>
          <w:highlight w:val="none"/>
          <w14:textFill>
            <w14:solidFill>
              <w14:schemeClr w14:val="tx1"/>
            </w14:solidFill>
          </w14:textFill>
        </w:rPr>
        <w:t>评审表</w:t>
      </w:r>
    </w:p>
    <w:tbl>
      <w:tblPr>
        <w:tblStyle w:val="35"/>
        <w:tblW w:w="9003"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6096"/>
        <w:gridCol w:w="1134"/>
        <w:gridCol w:w="1098"/>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02" w:hRule="atLeast"/>
          <w:tblHeader/>
          <w:jc w:val="center"/>
        </w:trPr>
        <w:tc>
          <w:tcPr>
            <w:tcW w:w="675" w:type="dxa"/>
            <w:tcBorders>
              <w:top w:val="single" w:color="auto" w:sz="12" w:space="0"/>
            </w:tcBorders>
            <w:vAlign w:val="center"/>
          </w:tcPr>
          <w:p>
            <w:pPr>
              <w:ind w:left="0" w:firstLine="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6096" w:type="dxa"/>
            <w:tcBorders>
              <w:top w:val="single" w:color="auto" w:sz="12" w:space="0"/>
            </w:tcBorders>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评审项目</w:t>
            </w:r>
          </w:p>
        </w:tc>
        <w:tc>
          <w:tcPr>
            <w:tcW w:w="1134" w:type="dxa"/>
            <w:tcBorders>
              <w:top w:val="single" w:color="auto" w:sz="12" w:space="0"/>
            </w:tcBorders>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评审结果</w:t>
            </w:r>
          </w:p>
        </w:tc>
        <w:tc>
          <w:tcPr>
            <w:tcW w:w="1098" w:type="dxa"/>
            <w:tcBorders>
              <w:top w:val="single" w:color="auto" w:sz="12" w:space="0"/>
            </w:tcBorders>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结论</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23" w:hRule="atLeast"/>
          <w:jc w:val="center"/>
        </w:trPr>
        <w:tc>
          <w:tcPr>
            <w:tcW w:w="675" w:type="dxa"/>
            <w:vAlign w:val="center"/>
          </w:tcPr>
          <w:p>
            <w:pPr>
              <w:ind w:left="0" w:firstLine="0"/>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6096" w:type="dxa"/>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比选申请文件按要求在规定的位置签字（或盖章）并加盖比选申请人单位公章的</w:t>
            </w:r>
          </w:p>
        </w:tc>
        <w:tc>
          <w:tcPr>
            <w:tcW w:w="1134" w:type="dxa"/>
          </w:tcPr>
          <w:p>
            <w:pPr>
              <w:ind w:left="0" w:firstLine="0"/>
              <w:rPr>
                <w:color w:val="000000" w:themeColor="text1"/>
                <w:highlight w:val="none"/>
                <w14:textFill>
                  <w14:solidFill>
                    <w14:schemeClr w14:val="tx1"/>
                  </w14:solidFill>
                </w14:textFill>
              </w:rPr>
            </w:pPr>
          </w:p>
        </w:tc>
        <w:tc>
          <w:tcPr>
            <w:tcW w:w="1098" w:type="dxa"/>
            <w:vMerge w:val="restart"/>
            <w:vAlign w:val="center"/>
          </w:tcPr>
          <w:p>
            <w:pPr>
              <w:ind w:left="0" w:firstLine="0"/>
              <w:rPr>
                <w:color w:val="000000" w:themeColor="text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trPr>
        <w:tc>
          <w:tcPr>
            <w:tcW w:w="675" w:type="dxa"/>
            <w:vAlign w:val="center"/>
          </w:tcPr>
          <w:p>
            <w:pPr>
              <w:ind w:left="0" w:firstLine="0"/>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6096" w:type="dxa"/>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比选申请文件的实质性内容按规定填写、内容齐全的；（按比选文件第四章节规定格式填写的）</w:t>
            </w:r>
          </w:p>
        </w:tc>
        <w:tc>
          <w:tcPr>
            <w:tcW w:w="1134" w:type="dxa"/>
          </w:tcPr>
          <w:p>
            <w:pPr>
              <w:ind w:left="0" w:firstLine="0"/>
              <w:rPr>
                <w:color w:val="000000" w:themeColor="text1"/>
                <w:highlight w:val="none"/>
                <w14:textFill>
                  <w14:solidFill>
                    <w14:schemeClr w14:val="tx1"/>
                  </w14:solidFill>
                </w14:textFill>
              </w:rPr>
            </w:pPr>
          </w:p>
        </w:tc>
        <w:tc>
          <w:tcPr>
            <w:tcW w:w="1098" w:type="dxa"/>
            <w:vMerge w:val="continue"/>
            <w:vAlign w:val="center"/>
          </w:tcPr>
          <w:p>
            <w:pPr>
              <w:ind w:left="0" w:firstLine="0"/>
              <w:rPr>
                <w:color w:val="000000" w:themeColor="text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trPr>
        <w:tc>
          <w:tcPr>
            <w:tcW w:w="675" w:type="dxa"/>
            <w:vAlign w:val="center"/>
          </w:tcPr>
          <w:p>
            <w:pPr>
              <w:ind w:left="0" w:firstLine="0"/>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p>
        </w:tc>
        <w:tc>
          <w:tcPr>
            <w:tcW w:w="6096" w:type="dxa"/>
            <w:vAlign w:val="center"/>
          </w:tcPr>
          <w:p>
            <w:pP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比选申请人在资格审查文件或技术文件中未透露</w:t>
            </w:r>
            <w:r>
              <w:rPr>
                <w:rFonts w:hint="eastAsia" w:ascii="宋体" w:hAnsi="宋体"/>
                <w:color w:val="000000" w:themeColor="text1"/>
                <w:highlight w:val="none"/>
                <w14:textFill>
                  <w14:solidFill>
                    <w14:schemeClr w14:val="tx1"/>
                  </w14:solidFill>
                </w14:textFill>
              </w:rPr>
              <w:t>有关</w:t>
            </w:r>
            <w:r>
              <w:rPr>
                <w:rFonts w:hint="eastAsia"/>
                <w:color w:val="000000" w:themeColor="text1"/>
                <w:highlight w:val="none"/>
                <w14:textFill>
                  <w14:solidFill>
                    <w14:schemeClr w14:val="tx1"/>
                  </w14:solidFill>
                </w14:textFill>
              </w:rPr>
              <w:t>报价的信息</w:t>
            </w:r>
          </w:p>
        </w:tc>
        <w:tc>
          <w:tcPr>
            <w:tcW w:w="1134" w:type="dxa"/>
          </w:tcPr>
          <w:p>
            <w:pPr>
              <w:ind w:left="0" w:firstLine="0"/>
              <w:rPr>
                <w:color w:val="000000" w:themeColor="text1"/>
                <w:highlight w:val="none"/>
                <w14:textFill>
                  <w14:solidFill>
                    <w14:schemeClr w14:val="tx1"/>
                  </w14:solidFill>
                </w14:textFill>
              </w:rPr>
            </w:pPr>
          </w:p>
        </w:tc>
        <w:tc>
          <w:tcPr>
            <w:tcW w:w="1098" w:type="dxa"/>
            <w:vMerge w:val="continue"/>
            <w:vAlign w:val="center"/>
          </w:tcPr>
          <w:p>
            <w:pPr>
              <w:ind w:left="0" w:firstLine="0"/>
              <w:rPr>
                <w:color w:val="000000" w:themeColor="text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vAlign w:val="center"/>
          </w:tcPr>
          <w:p>
            <w:pPr>
              <w:ind w:left="0" w:firstLine="0"/>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p>
        </w:tc>
        <w:tc>
          <w:tcPr>
            <w:tcW w:w="6096" w:type="dxa"/>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在比选申请文件中无虚假资料的</w:t>
            </w:r>
          </w:p>
        </w:tc>
        <w:tc>
          <w:tcPr>
            <w:tcW w:w="1134" w:type="dxa"/>
          </w:tcPr>
          <w:p>
            <w:pPr>
              <w:ind w:left="0" w:firstLine="0"/>
              <w:rPr>
                <w:color w:val="000000" w:themeColor="text1"/>
                <w:highlight w:val="none"/>
                <w14:textFill>
                  <w14:solidFill>
                    <w14:schemeClr w14:val="tx1"/>
                  </w14:solidFill>
                </w14:textFill>
              </w:rPr>
            </w:pPr>
          </w:p>
        </w:tc>
        <w:tc>
          <w:tcPr>
            <w:tcW w:w="1098" w:type="dxa"/>
            <w:vMerge w:val="continue"/>
            <w:vAlign w:val="center"/>
          </w:tcPr>
          <w:p>
            <w:pPr>
              <w:ind w:left="0" w:firstLine="0"/>
              <w:rPr>
                <w:color w:val="000000" w:themeColor="text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70" w:hRule="atLeast"/>
          <w:jc w:val="center"/>
        </w:trPr>
        <w:tc>
          <w:tcPr>
            <w:tcW w:w="675" w:type="dxa"/>
            <w:vAlign w:val="center"/>
          </w:tcPr>
          <w:p>
            <w:pPr>
              <w:ind w:left="0" w:firstLine="0"/>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w:t>
            </w:r>
          </w:p>
        </w:tc>
        <w:tc>
          <w:tcPr>
            <w:tcW w:w="6096" w:type="dxa"/>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技术部分响应无负偏离的</w:t>
            </w:r>
          </w:p>
        </w:tc>
        <w:tc>
          <w:tcPr>
            <w:tcW w:w="1134" w:type="dxa"/>
            <w:tcBorders>
              <w:bottom w:val="single" w:color="auto" w:sz="4" w:space="0"/>
            </w:tcBorders>
          </w:tcPr>
          <w:p>
            <w:pPr>
              <w:ind w:left="0" w:firstLine="0"/>
              <w:rPr>
                <w:color w:val="000000" w:themeColor="text1"/>
                <w:highlight w:val="none"/>
                <w14:textFill>
                  <w14:solidFill>
                    <w14:schemeClr w14:val="tx1"/>
                  </w14:solidFill>
                </w14:textFill>
              </w:rPr>
            </w:pPr>
          </w:p>
        </w:tc>
        <w:tc>
          <w:tcPr>
            <w:tcW w:w="1098" w:type="dxa"/>
            <w:vMerge w:val="continue"/>
            <w:vAlign w:val="center"/>
          </w:tcPr>
          <w:p>
            <w:pPr>
              <w:ind w:left="0" w:firstLine="0"/>
              <w:rPr>
                <w:color w:val="000000" w:themeColor="text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70" w:hRule="atLeast"/>
          <w:jc w:val="center"/>
        </w:trPr>
        <w:tc>
          <w:tcPr>
            <w:tcW w:w="675" w:type="dxa"/>
            <w:vAlign w:val="center"/>
          </w:tcPr>
          <w:p>
            <w:pPr>
              <w:ind w:left="0" w:firstLine="0"/>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w:t>
            </w:r>
          </w:p>
        </w:tc>
        <w:tc>
          <w:tcPr>
            <w:tcW w:w="6096" w:type="dxa"/>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商务响应表无负偏离的</w:t>
            </w:r>
          </w:p>
        </w:tc>
        <w:tc>
          <w:tcPr>
            <w:tcW w:w="1134" w:type="dxa"/>
            <w:tcBorders>
              <w:bottom w:val="single" w:color="auto" w:sz="4" w:space="0"/>
            </w:tcBorders>
          </w:tcPr>
          <w:p>
            <w:pPr>
              <w:ind w:left="0" w:firstLine="0"/>
              <w:rPr>
                <w:color w:val="000000" w:themeColor="text1"/>
                <w:highlight w:val="none"/>
                <w14:textFill>
                  <w14:solidFill>
                    <w14:schemeClr w14:val="tx1"/>
                  </w14:solidFill>
                </w14:textFill>
              </w:rPr>
            </w:pPr>
          </w:p>
        </w:tc>
        <w:tc>
          <w:tcPr>
            <w:tcW w:w="1098" w:type="dxa"/>
            <w:vMerge w:val="continue"/>
            <w:vAlign w:val="center"/>
          </w:tcPr>
          <w:p>
            <w:pPr>
              <w:ind w:left="0" w:firstLine="0"/>
              <w:rPr>
                <w:color w:val="000000" w:themeColor="text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vAlign w:val="center"/>
          </w:tcPr>
          <w:p>
            <w:pPr>
              <w:ind w:left="0" w:firstLine="0"/>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w:t>
            </w:r>
          </w:p>
        </w:tc>
        <w:tc>
          <w:tcPr>
            <w:tcW w:w="6096" w:type="dxa"/>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符合</w:t>
            </w:r>
            <w:r>
              <w:rPr>
                <w:rFonts w:hint="eastAsia"/>
                <w:color w:val="000000" w:themeColor="text1"/>
                <w:highlight w:val="none"/>
                <w14:textFill>
                  <w14:solidFill>
                    <w14:schemeClr w14:val="tx1"/>
                  </w14:solidFill>
                </w14:textFill>
              </w:rPr>
              <w:t>比选文件、法律、法规规定的其他否决比选申请条件</w:t>
            </w:r>
          </w:p>
        </w:tc>
        <w:tc>
          <w:tcPr>
            <w:tcW w:w="1134" w:type="dxa"/>
          </w:tcPr>
          <w:p>
            <w:pPr>
              <w:ind w:left="0" w:firstLine="0"/>
              <w:rPr>
                <w:color w:val="000000" w:themeColor="text1"/>
                <w:highlight w:val="none"/>
                <w14:textFill>
                  <w14:solidFill>
                    <w14:schemeClr w14:val="tx1"/>
                  </w14:solidFill>
                </w14:textFill>
              </w:rPr>
            </w:pPr>
          </w:p>
        </w:tc>
        <w:tc>
          <w:tcPr>
            <w:tcW w:w="1098" w:type="dxa"/>
            <w:vMerge w:val="continue"/>
            <w:vAlign w:val="center"/>
          </w:tcPr>
          <w:p>
            <w:pPr>
              <w:ind w:left="0" w:firstLine="0"/>
              <w:rPr>
                <w:color w:val="000000" w:themeColor="text1"/>
                <w:highlight w:val="none"/>
                <w14:textFill>
                  <w14:solidFill>
                    <w14:schemeClr w14:val="tx1"/>
                  </w14:solidFill>
                </w14:textFill>
              </w:rPr>
            </w:pPr>
          </w:p>
        </w:tc>
      </w:tr>
    </w:tbl>
    <w:p>
      <w:pPr>
        <w:spacing w:before="0" w:after="0" w:afterAutospacing="0"/>
        <w:ind w:left="0" w:right="0" w:firstLine="0"/>
        <w:jc w:val="left"/>
        <w:rPr>
          <w:color w:val="000000" w:themeColor="text1"/>
          <w:sz w:val="24"/>
          <w:szCs w:val="24"/>
          <w:highlight w:val="none"/>
          <w14:textFill>
            <w14:solidFill>
              <w14:schemeClr w14:val="tx1"/>
            </w14:solidFill>
          </w14:textFill>
        </w:rPr>
      </w:pPr>
      <w:r>
        <w:rPr>
          <w:rFonts w:hAnsi="宋体"/>
          <w:color w:val="000000" w:themeColor="text1"/>
          <w:highlight w:val="none"/>
          <w14:textFill>
            <w14:solidFill>
              <w14:schemeClr w14:val="tx1"/>
            </w14:solidFill>
          </w14:textFill>
        </w:rPr>
        <w:t>注：</w:t>
      </w:r>
      <w:r>
        <w:rPr>
          <w:rFonts w:hint="eastAsia" w:hAnsi="宋体"/>
          <w:color w:val="000000" w:themeColor="text1"/>
          <w:highlight w:val="none"/>
          <w14:textFill>
            <w14:solidFill>
              <w14:schemeClr w14:val="tx1"/>
            </w14:solidFill>
          </w14:textFill>
        </w:rPr>
        <w:t>1.</w:t>
      </w:r>
      <w:r>
        <w:rPr>
          <w:rFonts w:hAnsi="宋体"/>
          <w:color w:val="000000" w:themeColor="text1"/>
          <w:highlight w:val="none"/>
          <w14:textFill>
            <w14:solidFill>
              <w14:schemeClr w14:val="tx1"/>
            </w14:solidFill>
          </w14:textFill>
        </w:rPr>
        <w:t>评审结果填写合格打</w:t>
      </w:r>
      <w:r>
        <w:rPr>
          <w:color w:val="000000" w:themeColor="text1"/>
          <w:highlight w:val="none"/>
          <w14:textFill>
            <w14:solidFill>
              <w14:schemeClr w14:val="tx1"/>
            </w14:solidFill>
          </w14:textFill>
        </w:rPr>
        <w:t>√</w:t>
      </w:r>
      <w:r>
        <w:rPr>
          <w:rFonts w:hAnsi="宋体"/>
          <w:color w:val="000000" w:themeColor="text1"/>
          <w:highlight w:val="none"/>
          <w14:textFill>
            <w14:solidFill>
              <w14:schemeClr w14:val="tx1"/>
            </w14:solidFill>
          </w14:textFill>
        </w:rPr>
        <w:t>，不合格打</w:t>
      </w:r>
      <w:r>
        <w:rPr>
          <w:color w:val="000000" w:themeColor="text1"/>
          <w:highlight w:val="none"/>
          <w14:textFill>
            <w14:solidFill>
              <w14:schemeClr w14:val="tx1"/>
            </w14:solidFill>
          </w14:textFill>
        </w:rPr>
        <w:t>×</w:t>
      </w:r>
      <w:r>
        <w:rPr>
          <w:rFonts w:hAnsi="宋体"/>
          <w:color w:val="000000" w:themeColor="text1"/>
          <w:highlight w:val="none"/>
          <w14:textFill>
            <w14:solidFill>
              <w14:schemeClr w14:val="tx1"/>
            </w14:solidFill>
          </w14:textFill>
        </w:rPr>
        <w:t>，凡评审结果有一项不合格者，结论为不通过。</w:t>
      </w:r>
    </w:p>
    <w:p>
      <w:pPr>
        <w:spacing w:before="0"/>
        <w:ind w:right="0" w:firstLine="0"/>
        <w:jc w:val="center"/>
        <w:rPr>
          <w:rFonts w:hAnsi="宋体"/>
          <w:b/>
          <w:color w:val="000000" w:themeColor="text1"/>
          <w:sz w:val="24"/>
          <w:szCs w:val="24"/>
          <w:highlight w:val="none"/>
          <w14:textFill>
            <w14:solidFill>
              <w14:schemeClr w14:val="tx1"/>
            </w14:solidFill>
          </w14:textFill>
        </w:rPr>
      </w:pPr>
    </w:p>
    <w:p>
      <w:pPr>
        <w:spacing w:before="0"/>
        <w:ind w:right="0" w:firstLine="0"/>
        <w:jc w:val="center"/>
        <w:rPr>
          <w:rFonts w:hAnsi="宋体"/>
          <w:b/>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br w:type="page"/>
      </w:r>
    </w:p>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Pr>
        <w:spacing w:before="0" w:after="0" w:afterAutospacing="0" w:line="240" w:lineRule="auto"/>
        <w:ind w:left="0" w:right="0" w:firstLine="0"/>
        <w:jc w:val="left"/>
        <w:rPr>
          <w:rFonts w:ascii="宋体" w:hAnsi="宋体"/>
          <w:b/>
          <w:color w:val="000000" w:themeColor="text1"/>
          <w:highlight w:val="none"/>
          <w14:textFill>
            <w14:solidFill>
              <w14:schemeClr w14:val="tx1"/>
            </w14:solidFill>
          </w14:textFill>
        </w:rPr>
        <w:sectPr>
          <w:footerReference r:id="rId18" w:type="default"/>
          <w:pgSz w:w="11905" w:h="16838"/>
          <w:pgMar w:top="1418" w:right="1418" w:bottom="1418" w:left="1418" w:header="454" w:footer="567" w:gutter="0"/>
          <w:cols w:space="720" w:num="1"/>
          <w:docGrid w:linePitch="319" w:charSpace="0"/>
        </w:sectPr>
      </w:pPr>
    </w:p>
    <w:p>
      <w:pPr>
        <w:spacing w:before="0" w:after="0"/>
        <w:ind w:left="0" w:right="0" w:firstLine="0"/>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附表三《技术文件评分表》</w:t>
      </w:r>
    </w:p>
    <w:tbl>
      <w:tblPr>
        <w:tblStyle w:val="35"/>
        <w:tblW w:w="0" w:type="auto"/>
        <w:jc w:val="center"/>
        <w:tblLayout w:type="fixed"/>
        <w:tblCellMar>
          <w:top w:w="0" w:type="dxa"/>
          <w:left w:w="108" w:type="dxa"/>
          <w:bottom w:w="0" w:type="dxa"/>
          <w:right w:w="108" w:type="dxa"/>
        </w:tblCellMar>
      </w:tblPr>
      <w:tblGrid>
        <w:gridCol w:w="636"/>
        <w:gridCol w:w="1686"/>
        <w:gridCol w:w="1161"/>
        <w:gridCol w:w="4817"/>
        <w:gridCol w:w="986"/>
      </w:tblGrid>
      <w:tr>
        <w:tblPrEx>
          <w:tblCellMar>
            <w:top w:w="0" w:type="dxa"/>
            <w:left w:w="108" w:type="dxa"/>
            <w:bottom w:w="0" w:type="dxa"/>
            <w:right w:w="108" w:type="dxa"/>
          </w:tblCellMar>
        </w:tblPrEx>
        <w:trPr>
          <w:trHeight w:val="58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序号</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评审项目和内容</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标准分</w:t>
            </w:r>
          </w:p>
        </w:tc>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评审标准</w:t>
            </w: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备注</w:t>
            </w:r>
          </w:p>
        </w:tc>
      </w:tr>
      <w:tr>
        <w:tblPrEx>
          <w:tblCellMar>
            <w:top w:w="0" w:type="dxa"/>
            <w:left w:w="108" w:type="dxa"/>
            <w:bottom w:w="0" w:type="dxa"/>
            <w:right w:w="108" w:type="dxa"/>
          </w:tblCellMar>
        </w:tblPrEx>
        <w:trPr>
          <w:trHeight w:val="883" w:hRule="atLeast"/>
          <w:jc w:val="center"/>
        </w:trPr>
        <w:tc>
          <w:tcPr>
            <w:tcW w:w="636" w:type="dxa"/>
            <w:tcBorders>
              <w:top w:val="single" w:color="000000" w:sz="4" w:space="0"/>
              <w:left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w:t>
            </w:r>
          </w:p>
        </w:tc>
        <w:tc>
          <w:tcPr>
            <w:tcW w:w="1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0" w:after="0" w:afterAutospacing="0"/>
              <w:ind w:left="0" w:right="0" w:firstLine="0"/>
              <w:jc w:val="center"/>
              <w:textAlignment w:val="center"/>
              <w:rPr>
                <w:rFonts w:hint="eastAsia" w:ascii="宋体" w:hAnsi="宋体" w:eastAsia="宋体" w:cs="宋体"/>
                <w:b/>
                <w:bCs/>
                <w:color w:val="000000" w:themeColor="text1"/>
                <w:sz w:val="18"/>
                <w:szCs w:val="18"/>
                <w:highlight w:val="none"/>
                <w:lang w:eastAsia="zh-CN" w:bidi="ar"/>
                <w14:textFill>
                  <w14:solidFill>
                    <w14:schemeClr w14:val="tx1"/>
                  </w14:solidFill>
                </w14:textFill>
              </w:rPr>
            </w:pPr>
            <w:r>
              <w:rPr>
                <w:rFonts w:hint="eastAsia" w:ascii="宋体" w:hAnsi="宋体" w:cs="宋体"/>
                <w:b/>
                <w:bCs/>
                <w:color w:val="000000" w:themeColor="text1"/>
                <w:sz w:val="18"/>
                <w:szCs w:val="18"/>
                <w:highlight w:val="none"/>
                <w:lang w:bidi="ar"/>
                <w14:textFill>
                  <w14:solidFill>
                    <w14:schemeClr w14:val="tx1"/>
                  </w14:solidFill>
                </w14:textFill>
              </w:rPr>
              <w:t>人员配置</w:t>
            </w:r>
          </w:p>
          <w:p>
            <w:pPr>
              <w:spacing w:before="0" w:after="0" w:afterAutospacing="0"/>
              <w:ind w:left="0" w:right="0" w:firstLine="0"/>
              <w:jc w:val="center"/>
              <w:textAlignment w:val="center"/>
              <w:rPr>
                <w:rFonts w:ascii="宋体" w:hAnsi="宋体" w:cs="宋体"/>
                <w:b/>
                <w:bCs/>
                <w:color w:val="000000" w:themeColor="text1"/>
                <w:sz w:val="18"/>
                <w:szCs w:val="18"/>
                <w:highlight w:val="none"/>
                <w14:textFill>
                  <w14:solidFill>
                    <w14:schemeClr w14:val="tx1"/>
                  </w14:solidFill>
                </w14:textFill>
              </w:rPr>
            </w:pPr>
            <w:r>
              <w:rPr>
                <w:rFonts w:hint="eastAsia" w:ascii="宋体" w:hAnsi="宋体" w:cs="宋体"/>
                <w:b/>
                <w:bCs/>
                <w:color w:val="000000" w:themeColor="text1"/>
                <w:sz w:val="18"/>
                <w:szCs w:val="18"/>
                <w:highlight w:val="none"/>
                <w:lang w:bidi="ar"/>
                <w14:textFill>
                  <w14:solidFill>
                    <w14:schemeClr w14:val="tx1"/>
                  </w14:solidFill>
                </w14:textFill>
              </w:rPr>
              <w:t>（</w:t>
            </w:r>
            <w:r>
              <w:rPr>
                <w:rFonts w:hint="eastAsia" w:ascii="宋体" w:hAnsi="宋体" w:cs="宋体"/>
                <w:b/>
                <w:bCs/>
                <w:color w:val="000000" w:themeColor="text1"/>
                <w:sz w:val="18"/>
                <w:szCs w:val="18"/>
                <w:highlight w:val="none"/>
                <w:lang w:val="en-US" w:eastAsia="zh-CN" w:bidi="ar"/>
                <w14:textFill>
                  <w14:solidFill>
                    <w14:schemeClr w14:val="tx1"/>
                  </w14:solidFill>
                </w14:textFill>
              </w:rPr>
              <w:t>15</w:t>
            </w:r>
            <w:r>
              <w:rPr>
                <w:rFonts w:hint="eastAsia" w:ascii="宋体" w:hAnsi="宋体" w:cs="宋体"/>
                <w:b/>
                <w:bCs/>
                <w:color w:val="000000" w:themeColor="text1"/>
                <w:sz w:val="18"/>
                <w:szCs w:val="18"/>
                <w:highlight w:val="none"/>
                <w:lang w:bidi="ar"/>
                <w14:textFill>
                  <w14:solidFill>
                    <w14:schemeClr w14:val="tx1"/>
                  </w14:solidFill>
                </w14:textFill>
              </w:rPr>
              <w:t>分）</w:t>
            </w:r>
          </w:p>
        </w:tc>
        <w:tc>
          <w:tcPr>
            <w:tcW w:w="1161" w:type="dxa"/>
            <w:tcBorders>
              <w:top w:val="single" w:color="000000" w:sz="4" w:space="0"/>
              <w:left w:val="single" w:color="000000"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12</w:t>
            </w:r>
            <w:r>
              <w:rPr>
                <w:rFonts w:hint="eastAsia" w:ascii="宋体" w:hAnsi="宋体" w:cs="宋体"/>
                <w:color w:val="000000" w:themeColor="text1"/>
                <w:highlight w:val="none"/>
                <w:lang w:bidi="ar"/>
                <w14:textFill>
                  <w14:solidFill>
                    <w14:schemeClr w14:val="tx1"/>
                  </w14:solidFill>
                </w14:textFill>
              </w:rPr>
              <w:t>≤m≤</w:t>
            </w:r>
            <w:r>
              <w:rPr>
                <w:rFonts w:hint="eastAsia" w:ascii="宋体" w:hAnsi="宋体" w:cs="宋体"/>
                <w:color w:val="000000" w:themeColor="text1"/>
                <w:highlight w:val="none"/>
                <w:lang w:val="en-US" w:eastAsia="zh-CN" w:bidi="ar"/>
                <w14:textFill>
                  <w14:solidFill>
                    <w14:schemeClr w14:val="tx1"/>
                  </w14:solidFill>
                </w14:textFill>
              </w:rPr>
              <w:t>15</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88" w:lineRule="auto"/>
              <w:ind w:left="0" w:leftChars="0" w:right="0" w:rightChars="0" w:firstLine="0" w:firstLineChars="0"/>
              <w:rPr>
                <w:rFonts w:hint="eastAsia" w:ascii="Times New Roman" w:hAnsi="Times New Roman" w:eastAsia="宋体" w:cs="Times New Roman"/>
                <w:kern w:val="2"/>
                <w:highlight w:val="none"/>
                <w:lang w:val="en-US" w:eastAsia="zh-CN"/>
              </w:rPr>
            </w:pPr>
            <w:r>
              <w:rPr>
                <w:rFonts w:hint="eastAsia" w:ascii="Times New Roman" w:hAnsi="Times New Roman" w:cs="Times New Roman"/>
                <w:kern w:val="2"/>
                <w:highlight w:val="none"/>
              </w:rPr>
              <w:t>拟投入本项目</w:t>
            </w:r>
            <w:r>
              <w:rPr>
                <w:rFonts w:hint="eastAsia" w:ascii="Times New Roman" w:hAnsi="Times New Roman" w:cs="Times New Roman"/>
                <w:kern w:val="2"/>
                <w:highlight w:val="none"/>
                <w:lang w:val="en-US" w:eastAsia="zh-CN"/>
              </w:rPr>
              <w:t>设计</w:t>
            </w:r>
            <w:r>
              <w:rPr>
                <w:rFonts w:hint="eastAsia" w:ascii="Times New Roman" w:hAnsi="Times New Roman" w:cs="Times New Roman"/>
                <w:kern w:val="2"/>
                <w:highlight w:val="none"/>
                <w:lang w:eastAsia="zh-CN"/>
              </w:rPr>
              <w:t>专业</w:t>
            </w:r>
            <w:r>
              <w:rPr>
                <w:rFonts w:hint="eastAsia" w:ascii="Times New Roman" w:hAnsi="Times New Roman" w:cs="Times New Roman"/>
                <w:kern w:val="2"/>
                <w:highlight w:val="none"/>
              </w:rPr>
              <w:t>人员总人数不少于</w:t>
            </w:r>
            <w:r>
              <w:rPr>
                <w:rFonts w:hint="eastAsia" w:ascii="Times New Roman" w:hAnsi="Times New Roman" w:cs="Times New Roman"/>
                <w:kern w:val="2"/>
                <w:highlight w:val="none"/>
                <w:lang w:val="en-US" w:eastAsia="zh-CN"/>
              </w:rPr>
              <w:t xml:space="preserve"> 5</w:t>
            </w:r>
            <w:r>
              <w:rPr>
                <w:rFonts w:hint="eastAsia" w:ascii="Times New Roman" w:hAnsi="Times New Roman" w:cs="Times New Roman"/>
                <w:kern w:val="2"/>
                <w:highlight w:val="none"/>
              </w:rPr>
              <w:t>人</w:t>
            </w:r>
            <w:r>
              <w:rPr>
                <w:rFonts w:hint="eastAsia" w:cs="Times New Roman"/>
                <w:kern w:val="2"/>
                <w:highlight w:val="none"/>
                <w:lang w:eastAsia="zh-CN"/>
              </w:rPr>
              <w:t>。</w:t>
            </w:r>
          </w:p>
        </w:tc>
        <w:tc>
          <w:tcPr>
            <w:tcW w:w="986" w:type="dxa"/>
            <w:vMerge w:val="restart"/>
            <w:tcBorders>
              <w:top w:val="single" w:color="000000" w:sz="4" w:space="0"/>
              <w:left w:val="single" w:color="000000" w:sz="4" w:space="0"/>
              <w:right w:val="single" w:color="000000" w:sz="4" w:space="0"/>
            </w:tcBorders>
            <w:shd w:val="clear" w:color="auto" w:fill="auto"/>
            <w:noWrap/>
            <w:vAlign w:val="center"/>
          </w:tcPr>
          <w:p>
            <w:pPr>
              <w:rPr>
                <w:rFonts w:ascii="宋体" w:hAnsi="宋体" w:cs="宋体"/>
                <w:color w:val="000000" w:themeColor="text1"/>
                <w:sz w:val="22"/>
                <w:szCs w:val="22"/>
                <w:highlight w:val="none"/>
                <w14:textFill>
                  <w14:solidFill>
                    <w14:schemeClr w14:val="tx1"/>
                  </w14:solidFill>
                </w14:textFill>
              </w:rPr>
            </w:pPr>
          </w:p>
        </w:tc>
      </w:tr>
      <w:tr>
        <w:tblPrEx>
          <w:tblCellMar>
            <w:top w:w="0" w:type="dxa"/>
            <w:left w:w="108" w:type="dxa"/>
            <w:bottom w:w="0" w:type="dxa"/>
            <w:right w:w="108" w:type="dxa"/>
          </w:tblCellMar>
        </w:tblPrEx>
        <w:trPr>
          <w:trHeight w:val="718" w:hRule="atLeast"/>
          <w:jc w:val="center"/>
        </w:trPr>
        <w:tc>
          <w:tcPr>
            <w:tcW w:w="636" w:type="dxa"/>
            <w:tcBorders>
              <w:top w:val="single" w:color="000000" w:sz="4" w:space="0"/>
              <w:left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w:t>
            </w:r>
          </w:p>
        </w:tc>
        <w:tc>
          <w:tcPr>
            <w:tcW w:w="1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0" w:after="0" w:afterAutospacing="0"/>
              <w:ind w:left="0" w:right="0" w:firstLine="0"/>
              <w:jc w:val="center"/>
              <w:rPr>
                <w:rFonts w:ascii="宋体" w:hAnsi="宋体" w:cs="宋体"/>
                <w:b/>
                <w:bCs/>
                <w:color w:val="000000" w:themeColor="text1"/>
                <w:sz w:val="18"/>
                <w:szCs w:val="18"/>
                <w:highlight w:val="none"/>
                <w14:textFill>
                  <w14:solidFill>
                    <w14:schemeClr w14:val="tx1"/>
                  </w14:solidFill>
                </w14:textFill>
              </w:rPr>
            </w:pPr>
          </w:p>
        </w:tc>
        <w:tc>
          <w:tcPr>
            <w:tcW w:w="1161" w:type="dxa"/>
            <w:tcBorders>
              <w:top w:val="single" w:color="000000" w:sz="4" w:space="0"/>
              <w:left w:val="single" w:color="000000"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9</w:t>
            </w:r>
            <w:r>
              <w:rPr>
                <w:rFonts w:hint="eastAsia" w:ascii="宋体" w:hAnsi="宋体" w:cs="宋体"/>
                <w:color w:val="000000" w:themeColor="text1"/>
                <w:highlight w:val="none"/>
                <w:lang w:bidi="ar"/>
                <w14:textFill>
                  <w14:solidFill>
                    <w14:schemeClr w14:val="tx1"/>
                  </w14:solidFill>
                </w14:textFill>
              </w:rPr>
              <w:t>&lt;m&lt;</w:t>
            </w:r>
            <w:r>
              <w:rPr>
                <w:rFonts w:hint="eastAsia" w:ascii="宋体" w:hAnsi="宋体" w:cs="宋体"/>
                <w:color w:val="000000" w:themeColor="text1"/>
                <w:highlight w:val="none"/>
                <w:lang w:val="en-US" w:eastAsia="zh-CN" w:bidi="ar"/>
                <w14:textFill>
                  <w14:solidFill>
                    <w14:schemeClr w14:val="tx1"/>
                  </w14:solidFill>
                </w14:textFill>
              </w:rPr>
              <w:t>12</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88" w:lineRule="auto"/>
              <w:ind w:left="0" w:leftChars="0" w:right="0" w:rightChars="0" w:firstLine="0" w:firstLineChars="0"/>
              <w:rPr>
                <w:rFonts w:hint="eastAsia" w:ascii="Times New Roman" w:hAnsi="Times New Roman" w:eastAsia="宋体" w:cs="Times New Roman"/>
                <w:kern w:val="2"/>
                <w:highlight w:val="none"/>
                <w:lang w:val="en-US" w:eastAsia="zh-CN"/>
              </w:rPr>
            </w:pPr>
            <w:r>
              <w:rPr>
                <w:rFonts w:hint="eastAsia" w:ascii="Times New Roman" w:hAnsi="Times New Roman" w:cs="Times New Roman"/>
                <w:kern w:val="2"/>
                <w:highlight w:val="none"/>
              </w:rPr>
              <w:t>拟投入本项目</w:t>
            </w:r>
            <w:r>
              <w:rPr>
                <w:rFonts w:hint="eastAsia" w:ascii="Times New Roman" w:hAnsi="Times New Roman" w:cs="Times New Roman"/>
                <w:kern w:val="2"/>
                <w:highlight w:val="none"/>
                <w:lang w:val="en-US" w:eastAsia="zh-CN"/>
              </w:rPr>
              <w:t>设计</w:t>
            </w:r>
            <w:r>
              <w:rPr>
                <w:rFonts w:hint="eastAsia" w:ascii="Times New Roman" w:hAnsi="Times New Roman" w:cs="Times New Roman"/>
                <w:kern w:val="2"/>
                <w:highlight w:val="none"/>
                <w:lang w:eastAsia="zh-CN"/>
              </w:rPr>
              <w:t>专业</w:t>
            </w:r>
            <w:r>
              <w:rPr>
                <w:rFonts w:hint="eastAsia" w:ascii="Times New Roman" w:hAnsi="Times New Roman" w:cs="Times New Roman"/>
                <w:kern w:val="2"/>
                <w:highlight w:val="none"/>
              </w:rPr>
              <w:t>人员总人数不少于</w:t>
            </w:r>
            <w:r>
              <w:rPr>
                <w:rFonts w:hint="eastAsia" w:ascii="Times New Roman" w:hAnsi="Times New Roman" w:cs="Times New Roman"/>
                <w:kern w:val="2"/>
                <w:highlight w:val="none"/>
                <w:lang w:val="en-US" w:eastAsia="zh-CN"/>
              </w:rPr>
              <w:t xml:space="preserve"> </w:t>
            </w:r>
            <w:r>
              <w:rPr>
                <w:rFonts w:hint="eastAsia" w:cs="Times New Roman"/>
                <w:kern w:val="2"/>
                <w:highlight w:val="none"/>
                <w:lang w:val="en-US" w:eastAsia="zh-CN"/>
              </w:rPr>
              <w:t>4</w:t>
            </w:r>
            <w:r>
              <w:rPr>
                <w:rFonts w:hint="eastAsia" w:ascii="Times New Roman" w:hAnsi="Times New Roman" w:cs="Times New Roman"/>
                <w:kern w:val="2"/>
                <w:highlight w:val="none"/>
              </w:rPr>
              <w:t>人</w:t>
            </w:r>
            <w:r>
              <w:rPr>
                <w:rFonts w:hint="eastAsia" w:cs="Times New Roman"/>
                <w:kern w:val="2"/>
                <w:highlight w:val="none"/>
                <w:lang w:eastAsia="zh-CN"/>
              </w:rPr>
              <w:t>。，</w:t>
            </w:r>
          </w:p>
        </w:tc>
        <w:tc>
          <w:tcPr>
            <w:tcW w:w="986" w:type="dxa"/>
            <w:vMerge w:val="continue"/>
            <w:tcBorders>
              <w:left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832" w:hRule="atLeast"/>
          <w:jc w:val="center"/>
        </w:trPr>
        <w:tc>
          <w:tcPr>
            <w:tcW w:w="636" w:type="dxa"/>
            <w:tcBorders>
              <w:top w:val="single" w:color="000000" w:sz="4" w:space="0"/>
              <w:left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3</w:t>
            </w:r>
          </w:p>
        </w:tc>
        <w:tc>
          <w:tcPr>
            <w:tcW w:w="1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0" w:after="0" w:afterAutospacing="0"/>
              <w:ind w:left="0" w:right="0" w:firstLine="0"/>
              <w:jc w:val="center"/>
              <w:rPr>
                <w:rFonts w:ascii="宋体" w:hAnsi="宋体" w:cs="宋体"/>
                <w:b/>
                <w:bCs/>
                <w:color w:val="000000" w:themeColor="text1"/>
                <w:sz w:val="18"/>
                <w:szCs w:val="18"/>
                <w:highlight w:val="none"/>
                <w14:textFill>
                  <w14:solidFill>
                    <w14:schemeClr w14:val="tx1"/>
                  </w14:solidFill>
                </w14:textFill>
              </w:rPr>
            </w:pPr>
          </w:p>
        </w:tc>
        <w:tc>
          <w:tcPr>
            <w:tcW w:w="1161" w:type="dxa"/>
            <w:tcBorders>
              <w:top w:val="single" w:color="000000" w:sz="4" w:space="0"/>
              <w:left w:val="single" w:color="000000"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0&lt;m≤</w:t>
            </w:r>
            <w:r>
              <w:rPr>
                <w:rFonts w:hint="eastAsia" w:ascii="宋体" w:hAnsi="宋体" w:cs="宋体"/>
                <w:color w:val="000000" w:themeColor="text1"/>
                <w:highlight w:val="none"/>
                <w:lang w:val="en-US" w:eastAsia="zh-CN" w:bidi="ar"/>
                <w14:textFill>
                  <w14:solidFill>
                    <w14:schemeClr w14:val="tx1"/>
                  </w14:solidFill>
                </w14:textFill>
              </w:rPr>
              <w:t>9</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88" w:lineRule="auto"/>
              <w:ind w:left="0" w:leftChars="0" w:right="0" w:rightChars="0" w:firstLine="0" w:firstLineChars="0"/>
              <w:rPr>
                <w:rFonts w:hint="default" w:ascii="Times New Roman" w:hAnsi="Times New Roman" w:cs="Times New Roman"/>
                <w:kern w:val="2"/>
                <w:highlight w:val="none"/>
                <w:lang w:val="en-US"/>
              </w:rPr>
            </w:pPr>
            <w:r>
              <w:rPr>
                <w:rFonts w:hint="eastAsia" w:ascii="Times New Roman" w:hAnsi="Times New Roman" w:cs="Times New Roman"/>
                <w:kern w:val="2"/>
                <w:highlight w:val="none"/>
              </w:rPr>
              <w:t>拟投入本项目</w:t>
            </w:r>
            <w:r>
              <w:rPr>
                <w:rFonts w:hint="eastAsia" w:ascii="Times New Roman" w:hAnsi="Times New Roman" w:cs="Times New Roman"/>
                <w:kern w:val="2"/>
                <w:highlight w:val="none"/>
                <w:lang w:val="en-US" w:eastAsia="zh-CN"/>
              </w:rPr>
              <w:t>设计</w:t>
            </w:r>
            <w:r>
              <w:rPr>
                <w:rFonts w:hint="eastAsia" w:ascii="Times New Roman" w:hAnsi="Times New Roman" w:cs="Times New Roman"/>
                <w:kern w:val="2"/>
                <w:highlight w:val="none"/>
                <w:lang w:eastAsia="zh-CN"/>
              </w:rPr>
              <w:t>专业</w:t>
            </w:r>
            <w:r>
              <w:rPr>
                <w:rFonts w:hint="eastAsia" w:ascii="Times New Roman" w:hAnsi="Times New Roman" w:cs="Times New Roman"/>
                <w:kern w:val="2"/>
                <w:highlight w:val="none"/>
              </w:rPr>
              <w:t>人员总人数不少于</w:t>
            </w:r>
            <w:r>
              <w:rPr>
                <w:rFonts w:hint="eastAsia" w:ascii="Times New Roman" w:hAnsi="Times New Roman" w:cs="Times New Roman"/>
                <w:kern w:val="2"/>
                <w:highlight w:val="none"/>
                <w:lang w:val="en-US" w:eastAsia="zh-CN"/>
              </w:rPr>
              <w:t xml:space="preserve"> </w:t>
            </w:r>
            <w:r>
              <w:rPr>
                <w:rFonts w:hint="eastAsia" w:cs="Times New Roman"/>
                <w:kern w:val="2"/>
                <w:highlight w:val="none"/>
                <w:lang w:val="en-US" w:eastAsia="zh-CN"/>
              </w:rPr>
              <w:t>3</w:t>
            </w:r>
            <w:r>
              <w:rPr>
                <w:rFonts w:hint="eastAsia" w:ascii="Times New Roman" w:hAnsi="Times New Roman" w:cs="Times New Roman"/>
                <w:kern w:val="2"/>
                <w:highlight w:val="none"/>
              </w:rPr>
              <w:t>人</w:t>
            </w:r>
            <w:r>
              <w:rPr>
                <w:rFonts w:hint="eastAsia" w:cs="Times New Roman"/>
                <w:kern w:val="2"/>
                <w:highlight w:val="none"/>
                <w:lang w:eastAsia="zh-CN"/>
              </w:rPr>
              <w:t>。</w:t>
            </w:r>
          </w:p>
        </w:tc>
        <w:tc>
          <w:tcPr>
            <w:tcW w:w="986" w:type="dxa"/>
            <w:vMerge w:val="continue"/>
            <w:tcBorders>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546" w:hRule="atLeast"/>
          <w:jc w:val="center"/>
        </w:trPr>
        <w:tc>
          <w:tcPr>
            <w:tcW w:w="636" w:type="dxa"/>
            <w:vMerge w:val="restart"/>
            <w:tcBorders>
              <w:top w:val="single" w:color="000000" w:sz="4" w:space="0"/>
              <w:left w:val="single" w:color="000000" w:sz="4" w:space="0"/>
              <w:right w:val="single" w:color="000000" w:sz="4" w:space="0"/>
            </w:tcBorders>
            <w:shd w:val="clear" w:color="auto" w:fill="auto"/>
            <w:noWrap/>
            <w:vAlign w:val="center"/>
          </w:tcPr>
          <w:p>
            <w:pPr>
              <w:jc w:val="center"/>
              <w:textAlignment w:val="center"/>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4</w:t>
            </w:r>
          </w:p>
        </w:tc>
        <w:tc>
          <w:tcPr>
            <w:tcW w:w="1686" w:type="dxa"/>
            <w:vMerge w:val="restart"/>
            <w:tcBorders>
              <w:top w:val="single" w:color="000000" w:sz="4" w:space="0"/>
              <w:left w:val="single" w:color="000000" w:sz="4" w:space="0"/>
              <w:right w:val="single" w:color="000000" w:sz="4" w:space="0"/>
            </w:tcBorders>
            <w:shd w:val="clear" w:color="auto" w:fill="auto"/>
            <w:vAlign w:val="center"/>
          </w:tcPr>
          <w:p>
            <w:pPr>
              <w:pStyle w:val="32"/>
              <w:spacing w:before="0" w:after="0" w:afterAutospacing="0"/>
              <w:ind w:left="0" w:leftChars="0" w:right="0" w:rightChars="0" w:firstLine="0" w:firstLineChars="0"/>
              <w:jc w:val="center"/>
              <w:rPr>
                <w:rFonts w:hint="eastAsia" w:ascii="宋体" w:hAnsi="宋体" w:eastAsia="宋体" w:cs="宋体"/>
                <w:color w:val="000000" w:themeColor="text1"/>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t>设计服务方案（15分）</w:t>
            </w:r>
          </w:p>
        </w:tc>
        <w:tc>
          <w:tcPr>
            <w:tcW w:w="1161"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default" w:ascii="宋体" w:hAnsi="宋体" w:eastAsia="宋体" w:cs="宋体"/>
                <w:color w:val="000000" w:themeColor="text1"/>
                <w:sz w:val="21"/>
                <w:szCs w:val="2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12</w:t>
            </w:r>
            <w:r>
              <w:rPr>
                <w:rFonts w:hint="eastAsia" w:ascii="宋体" w:hAnsi="宋体" w:cs="宋体"/>
                <w:color w:val="000000" w:themeColor="text1"/>
                <w:highlight w:val="none"/>
                <w:lang w:bidi="ar"/>
                <w14:textFill>
                  <w14:solidFill>
                    <w14:schemeClr w14:val="tx1"/>
                  </w14:solidFill>
                </w14:textFill>
              </w:rPr>
              <w:t>≤m≤</w:t>
            </w:r>
            <w:r>
              <w:rPr>
                <w:rFonts w:hint="eastAsia" w:ascii="宋体" w:hAnsi="宋体" w:cs="宋体"/>
                <w:color w:val="000000" w:themeColor="text1"/>
                <w:highlight w:val="none"/>
                <w:lang w:val="en-US" w:eastAsia="zh-CN" w:bidi="ar"/>
                <w14:textFill>
                  <w14:solidFill>
                    <w14:schemeClr w14:val="tx1"/>
                  </w14:solidFill>
                </w14:textFill>
              </w:rPr>
              <w:t>15</w:t>
            </w:r>
          </w:p>
        </w:tc>
        <w:tc>
          <w:tcPr>
            <w:tcW w:w="4817"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val="0"/>
              <w:spacing w:before="0" w:after="0" w:afterAutospacing="0" w:line="288" w:lineRule="auto"/>
              <w:ind w:left="0" w:right="0" w:firstLine="0"/>
              <w:rPr>
                <w:rFonts w:hint="default" w:ascii="Times New Roman" w:hAnsi="Times New Roman" w:cs="Times New Roman"/>
                <w:kern w:val="2"/>
                <w:lang w:val="en-US" w:eastAsia="zh-CN"/>
              </w:rPr>
            </w:pPr>
            <w:r>
              <w:rPr>
                <w:rFonts w:hint="eastAsia" w:ascii="Times New Roman" w:hAnsi="Times New Roman" w:cs="Times New Roman"/>
                <w:kern w:val="2"/>
              </w:rPr>
              <w:t>设计实施方案科学合理，详尽有针对性。至少包含对项目所处区域建设条件的分析、对具体设计工作组织实施分析、对现状分析、能提出科学性建议、对设计造价分析与限额设计措施等内容，内容具体深刻，可行性很强。</w:t>
            </w:r>
          </w:p>
        </w:tc>
        <w:tc>
          <w:tcPr>
            <w:tcW w:w="986" w:type="dxa"/>
            <w:vMerge w:val="restart"/>
            <w:tcBorders>
              <w:top w:val="single" w:color="000000" w:sz="4" w:space="0"/>
              <w:left w:val="single" w:color="000000" w:sz="4" w:space="0"/>
              <w:right w:val="single" w:color="000000" w:sz="4" w:space="0"/>
            </w:tcBorders>
            <w:shd w:val="clear" w:color="auto" w:fill="auto"/>
            <w:noWrap/>
            <w:vAlign w:val="center"/>
          </w:tcPr>
          <w:p>
            <w:pPr>
              <w:ind w:left="0" w:leftChars="0" w:firstLine="0" w:firstLineChars="0"/>
              <w:jc w:val="both"/>
              <w:rPr>
                <w:rFonts w:ascii="宋体" w:hAnsi="宋体" w:cs="宋体"/>
                <w:color w:val="000000" w:themeColor="text1"/>
                <w:highlight w:val="none"/>
                <w14:textFill>
                  <w14:solidFill>
                    <w14:schemeClr w14:val="tx1"/>
                  </w14:solidFill>
                </w14:textFill>
              </w:rPr>
            </w:pPr>
            <w:r>
              <w:rPr>
                <w:rFonts w:hint="eastAsia"/>
                <w:b/>
                <w:bCs/>
                <w:color w:val="000000" w:themeColor="text1"/>
                <w:highlight w:val="none"/>
                <w:lang w:eastAsia="zh-CN"/>
                <w14:textFill>
                  <w14:solidFill>
                    <w14:schemeClr w14:val="tx1"/>
                  </w14:solidFill>
                </w14:textFill>
              </w:rPr>
              <w:t>服务建议书</w:t>
            </w:r>
          </w:p>
        </w:tc>
      </w:tr>
      <w:tr>
        <w:tblPrEx>
          <w:tblCellMar>
            <w:top w:w="0" w:type="dxa"/>
            <w:left w:w="108" w:type="dxa"/>
            <w:bottom w:w="0" w:type="dxa"/>
            <w:right w:w="108" w:type="dxa"/>
          </w:tblCellMar>
        </w:tblPrEx>
        <w:trPr>
          <w:trHeight w:val="370" w:hRule="atLeast"/>
          <w:jc w:val="center"/>
        </w:trPr>
        <w:tc>
          <w:tcPr>
            <w:tcW w:w="636" w:type="dxa"/>
            <w:vMerge w:val="continue"/>
            <w:tcBorders>
              <w:left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000000" w:themeColor="text1"/>
                <w:highlight w:val="none"/>
                <w14:textFill>
                  <w14:solidFill>
                    <w14:schemeClr w14:val="tx1"/>
                  </w14:solidFill>
                </w14:textFill>
              </w:rPr>
            </w:pPr>
          </w:p>
        </w:tc>
        <w:tc>
          <w:tcPr>
            <w:tcW w:w="1686" w:type="dxa"/>
            <w:vMerge w:val="continue"/>
            <w:tcBorders>
              <w:left w:val="single" w:color="000000" w:sz="4" w:space="0"/>
              <w:right w:val="single" w:color="000000" w:sz="4" w:space="0"/>
            </w:tcBorders>
            <w:shd w:val="clear" w:color="auto" w:fill="auto"/>
            <w:vAlign w:val="center"/>
          </w:tcPr>
          <w:p>
            <w:pPr>
              <w:pStyle w:val="32"/>
              <w:spacing w:before="0" w:after="0" w:afterAutospacing="0"/>
              <w:ind w:left="0" w:leftChars="0" w:right="0" w:rightChars="0" w:firstLine="0" w:firstLineChars="0"/>
              <w:jc w:val="center"/>
              <w:rPr>
                <w:rFonts w:hint="eastAsia" w:ascii="宋体" w:hAnsi="宋体" w:cs="宋体"/>
                <w:b/>
                <w:bCs/>
                <w:color w:val="000000" w:themeColor="text1"/>
                <w:sz w:val="18"/>
                <w:szCs w:val="18"/>
                <w:highlight w:val="none"/>
                <w14:textFill>
                  <w14:solidFill>
                    <w14:schemeClr w14:val="tx1"/>
                  </w14:solidFill>
                </w14:textFill>
              </w:rPr>
            </w:pPr>
          </w:p>
        </w:tc>
        <w:tc>
          <w:tcPr>
            <w:tcW w:w="1161" w:type="dxa"/>
            <w:tcBorders>
              <w:left w:val="single" w:color="000000" w:sz="4" w:space="0"/>
              <w:bottom w:val="single" w:color="auto"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eastAsia" w:ascii="宋体" w:hAnsi="宋体" w:eastAsia="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9</w:t>
            </w:r>
            <w:r>
              <w:rPr>
                <w:rFonts w:hint="eastAsia" w:ascii="宋体" w:hAnsi="宋体" w:cs="宋体"/>
                <w:color w:val="000000" w:themeColor="text1"/>
                <w:highlight w:val="none"/>
                <w:lang w:bidi="ar"/>
                <w14:textFill>
                  <w14:solidFill>
                    <w14:schemeClr w14:val="tx1"/>
                  </w14:solidFill>
                </w14:textFill>
              </w:rPr>
              <w:t>&lt;m&lt;</w:t>
            </w:r>
            <w:r>
              <w:rPr>
                <w:rFonts w:hint="eastAsia" w:ascii="宋体" w:hAnsi="宋体" w:cs="宋体"/>
                <w:color w:val="000000" w:themeColor="text1"/>
                <w:highlight w:val="none"/>
                <w:lang w:val="en-US" w:eastAsia="zh-CN" w:bidi="ar"/>
                <w14:textFill>
                  <w14:solidFill>
                    <w14:schemeClr w14:val="tx1"/>
                  </w14:solidFill>
                </w14:textFill>
              </w:rPr>
              <w:t>12</w:t>
            </w:r>
          </w:p>
        </w:tc>
        <w:tc>
          <w:tcPr>
            <w:tcW w:w="4817"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val="0"/>
              <w:spacing w:before="0" w:after="0" w:afterAutospacing="0" w:line="288" w:lineRule="auto"/>
              <w:ind w:left="0" w:right="0" w:firstLine="0"/>
              <w:rPr>
                <w:rFonts w:hint="eastAsia" w:ascii="Times New Roman" w:hAnsi="Times New Roman" w:cs="Times New Roman"/>
                <w:kern w:val="2"/>
              </w:rPr>
            </w:pPr>
            <w:r>
              <w:rPr>
                <w:rFonts w:hint="eastAsia" w:ascii="Times New Roman" w:hAnsi="Times New Roman" w:cs="Times New Roman"/>
                <w:kern w:val="2"/>
              </w:rPr>
              <w:t>设计实施方案合理、明了。至少包含对具体设计工作组织实施分析、对设计现状分析、对设计造价分析与限额设计措施等内容，内容可行。</w:t>
            </w:r>
          </w:p>
        </w:tc>
        <w:tc>
          <w:tcPr>
            <w:tcW w:w="986" w:type="dxa"/>
            <w:vMerge w:val="continue"/>
            <w:tcBorders>
              <w:left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636" w:hRule="atLeast"/>
          <w:jc w:val="center"/>
        </w:trPr>
        <w:tc>
          <w:tcPr>
            <w:tcW w:w="636" w:type="dxa"/>
            <w:vMerge w:val="continue"/>
            <w:tcBorders>
              <w:left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000000" w:themeColor="text1"/>
                <w:highlight w:val="none"/>
                <w14:textFill>
                  <w14:solidFill>
                    <w14:schemeClr w14:val="tx1"/>
                  </w14:solidFill>
                </w14:textFill>
              </w:rPr>
            </w:pPr>
          </w:p>
        </w:tc>
        <w:tc>
          <w:tcPr>
            <w:tcW w:w="1686" w:type="dxa"/>
            <w:vMerge w:val="continue"/>
            <w:tcBorders>
              <w:left w:val="single" w:color="000000" w:sz="4" w:space="0"/>
              <w:bottom w:val="single" w:color="auto" w:sz="4" w:space="0"/>
              <w:right w:val="single" w:color="000000" w:sz="4" w:space="0"/>
            </w:tcBorders>
            <w:shd w:val="clear" w:color="auto" w:fill="auto"/>
            <w:vAlign w:val="center"/>
          </w:tcPr>
          <w:p>
            <w:pPr>
              <w:pStyle w:val="32"/>
              <w:spacing w:before="0" w:after="0" w:afterAutospacing="0"/>
              <w:ind w:left="0" w:leftChars="0" w:right="0" w:rightChars="0" w:firstLine="0" w:firstLineChars="0"/>
              <w:jc w:val="center"/>
              <w:rPr>
                <w:rFonts w:hint="eastAsia" w:ascii="宋体" w:hAnsi="宋体" w:cs="宋体"/>
                <w:b/>
                <w:bCs/>
                <w:color w:val="000000" w:themeColor="text1"/>
                <w:sz w:val="18"/>
                <w:szCs w:val="18"/>
                <w:highlight w:val="none"/>
                <w14:textFill>
                  <w14:solidFill>
                    <w14:schemeClr w14:val="tx1"/>
                  </w14:solidFill>
                </w14:textFill>
              </w:rPr>
            </w:pPr>
          </w:p>
        </w:tc>
        <w:tc>
          <w:tcPr>
            <w:tcW w:w="1161" w:type="dxa"/>
            <w:tcBorders>
              <w:left w:val="single" w:color="000000" w:sz="4" w:space="0"/>
              <w:bottom w:val="single" w:color="000000"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eastAsia" w:ascii="宋体" w:hAnsi="宋体" w:eastAsia="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0&lt;m≤</w:t>
            </w:r>
            <w:r>
              <w:rPr>
                <w:rFonts w:hint="eastAsia" w:ascii="宋体" w:hAnsi="宋体" w:cs="宋体"/>
                <w:color w:val="000000" w:themeColor="text1"/>
                <w:highlight w:val="none"/>
                <w:lang w:val="en-US" w:eastAsia="zh-CN" w:bidi="ar"/>
                <w14:textFill>
                  <w14:solidFill>
                    <w14:schemeClr w14:val="tx1"/>
                  </w14:solidFill>
                </w14:textFill>
              </w:rPr>
              <w:t>9</w:t>
            </w:r>
          </w:p>
        </w:tc>
        <w:tc>
          <w:tcPr>
            <w:tcW w:w="4817"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88" w:lineRule="auto"/>
              <w:ind w:left="0" w:right="0" w:firstLine="0"/>
              <w:rPr>
                <w:rFonts w:hint="eastAsia" w:ascii="Times New Roman" w:hAnsi="Times New Roman" w:cs="Times New Roman"/>
                <w:kern w:val="2"/>
              </w:rPr>
            </w:pPr>
            <w:r>
              <w:rPr>
                <w:rFonts w:hint="eastAsia" w:ascii="Times New Roman" w:hAnsi="Times New Roman" w:cs="Times New Roman"/>
                <w:kern w:val="2"/>
              </w:rPr>
              <w:t>设计实施方案不合理，内容缺失。没有对设计工作组织实施分析，无设计造价分析与限额设计措施等内容。</w:t>
            </w:r>
          </w:p>
        </w:tc>
        <w:tc>
          <w:tcPr>
            <w:tcW w:w="986" w:type="dxa"/>
            <w:vMerge w:val="continue"/>
            <w:tcBorders>
              <w:left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90" w:hRule="atLeast"/>
          <w:jc w:val="center"/>
        </w:trPr>
        <w:tc>
          <w:tcPr>
            <w:tcW w:w="636" w:type="dxa"/>
            <w:vMerge w:val="continue"/>
            <w:tcBorders>
              <w:left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p>
        </w:tc>
        <w:tc>
          <w:tcPr>
            <w:tcW w:w="1686" w:type="dxa"/>
            <w:vMerge w:val="restart"/>
            <w:tcBorders>
              <w:top w:val="single" w:color="auto" w:sz="4" w:space="0"/>
              <w:left w:val="single" w:color="000000" w:sz="4" w:space="0"/>
              <w:right w:val="single" w:color="000000" w:sz="4" w:space="0"/>
            </w:tcBorders>
            <w:shd w:val="clear" w:color="auto" w:fill="auto"/>
            <w:vAlign w:val="center"/>
          </w:tcPr>
          <w:p>
            <w:pPr>
              <w:spacing w:before="0" w:after="0" w:afterAutospacing="0"/>
              <w:ind w:left="0" w:right="0" w:firstLine="0"/>
              <w:jc w:val="cente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t>服务响应方案</w:t>
            </w:r>
          </w:p>
          <w:p>
            <w:pPr>
              <w:spacing w:before="0" w:after="0" w:afterAutospacing="0"/>
              <w:ind w:left="0" w:leftChars="0" w:right="0" w:rightChars="0" w:firstLine="0" w:firstLineChars="0"/>
              <w:jc w:val="center"/>
              <w:rPr>
                <w:rFonts w:ascii="宋体" w:hAnsi="宋体" w:cs="宋体"/>
                <w:b/>
                <w:bCs/>
                <w:color w:val="000000" w:themeColor="text1"/>
                <w:sz w:val="18"/>
                <w:szCs w:val="18"/>
                <w:highlight w:val="none"/>
                <w14:textFill>
                  <w14:solidFill>
                    <w14:schemeClr w14:val="tx1"/>
                  </w14:solidFill>
                </w14:textFill>
              </w:rPr>
            </w:pPr>
            <w:r>
              <w:rPr>
                <w:rFonts w:hint="eastAsia" w:ascii="宋体" w:hAnsi="宋体" w:cs="宋体"/>
                <w:b/>
                <w:bCs/>
                <w:color w:val="000000" w:themeColor="text1"/>
                <w:sz w:val="18"/>
                <w:szCs w:val="18"/>
                <w:highlight w:val="none"/>
                <w14:textFill>
                  <w14:solidFill>
                    <w14:schemeClr w14:val="tx1"/>
                  </w14:solidFill>
                </w14:textFill>
              </w:rPr>
              <w:t>（</w:t>
            </w:r>
            <w:r>
              <w:rPr>
                <w:rFonts w:hint="eastAsia" w:ascii="宋体" w:hAnsi="宋体" w:cs="宋体"/>
                <w:b/>
                <w:bCs/>
                <w:color w:val="000000" w:themeColor="text1"/>
                <w:sz w:val="18"/>
                <w:szCs w:val="18"/>
                <w:highlight w:val="none"/>
                <w:lang w:val="en-US" w:eastAsia="zh-CN"/>
                <w14:textFill>
                  <w14:solidFill>
                    <w14:schemeClr w14:val="tx1"/>
                  </w14:solidFill>
                </w14:textFill>
              </w:rPr>
              <w:t>15</w:t>
            </w:r>
            <w:r>
              <w:rPr>
                <w:rFonts w:hint="eastAsia" w:ascii="宋体" w:hAnsi="宋体" w:cs="宋体"/>
                <w:b/>
                <w:bCs/>
                <w:color w:val="000000" w:themeColor="text1"/>
                <w:sz w:val="18"/>
                <w:szCs w:val="18"/>
                <w:highlight w:val="none"/>
                <w14:textFill>
                  <w14:solidFill>
                    <w14:schemeClr w14:val="tx1"/>
                  </w14:solidFill>
                </w14:textFill>
              </w:rPr>
              <w:t>分）</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eastAsia" w:ascii="宋体" w:hAnsi="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12</w:t>
            </w:r>
            <w:r>
              <w:rPr>
                <w:rFonts w:hint="eastAsia" w:ascii="宋体" w:hAnsi="宋体" w:cs="宋体"/>
                <w:color w:val="000000" w:themeColor="text1"/>
                <w:highlight w:val="none"/>
                <w:lang w:bidi="ar"/>
                <w14:textFill>
                  <w14:solidFill>
                    <w14:schemeClr w14:val="tx1"/>
                  </w14:solidFill>
                </w14:textFill>
              </w:rPr>
              <w:t>≤m≤</w:t>
            </w:r>
            <w:r>
              <w:rPr>
                <w:rFonts w:hint="eastAsia" w:ascii="宋体" w:hAnsi="宋体" w:cs="宋体"/>
                <w:color w:val="000000" w:themeColor="text1"/>
                <w:highlight w:val="none"/>
                <w:lang w:val="en-US" w:eastAsia="zh-CN" w:bidi="ar"/>
                <w14:textFill>
                  <w14:solidFill>
                    <w14:schemeClr w14:val="tx1"/>
                  </w14:solidFill>
                </w14:textFill>
              </w:rPr>
              <w:t>15</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88" w:lineRule="auto"/>
              <w:ind w:left="0" w:right="0" w:firstLine="0"/>
              <w:rPr>
                <w:rFonts w:hint="eastAsia" w:ascii="Times New Roman" w:hAnsi="Times New Roman" w:cs="Times New Roman"/>
                <w:kern w:val="2"/>
                <w:lang w:val="en-US" w:eastAsia="zh-CN"/>
              </w:rPr>
            </w:pPr>
            <w:r>
              <w:rPr>
                <w:rFonts w:hint="eastAsia" w:ascii="Times New Roman" w:hAnsi="Times New Roman" w:cs="Times New Roman"/>
                <w:kern w:val="2"/>
              </w:rPr>
              <w:t>设计管理要点明确清晰、可行性非常强，至少包含工作计划编排及保证措施、质量保证措施、优化设计管理、对拟投入人员考核及处罚管理等内容，内容充实，完全满足</w:t>
            </w:r>
            <w:r>
              <w:rPr>
                <w:rFonts w:hint="eastAsia" w:ascii="Times New Roman" w:hAnsi="Times New Roman" w:cs="Times New Roman"/>
                <w:kern w:val="2"/>
                <w:lang w:val="en-US" w:eastAsia="zh-CN"/>
              </w:rPr>
              <w:t>比选文件</w:t>
            </w:r>
            <w:r>
              <w:rPr>
                <w:rFonts w:hint="eastAsia" w:ascii="Times New Roman" w:hAnsi="Times New Roman" w:cs="Times New Roman"/>
                <w:kern w:val="2"/>
              </w:rPr>
              <w:t xml:space="preserve">要求。  </w:t>
            </w:r>
          </w:p>
        </w:tc>
        <w:tc>
          <w:tcPr>
            <w:tcW w:w="986" w:type="dxa"/>
            <w:vMerge w:val="continue"/>
            <w:tcBorders>
              <w:left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36" w:type="dxa"/>
            <w:vMerge w:val="continue"/>
            <w:tcBorders>
              <w:left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p>
        </w:tc>
        <w:tc>
          <w:tcPr>
            <w:tcW w:w="1686" w:type="dxa"/>
            <w:vMerge w:val="continue"/>
            <w:tcBorders>
              <w:left w:val="single" w:color="000000" w:sz="4" w:space="0"/>
              <w:right w:val="single" w:color="000000" w:sz="4" w:space="0"/>
            </w:tcBorders>
            <w:shd w:val="clear" w:color="auto" w:fill="auto"/>
            <w:vAlign w:val="center"/>
          </w:tcPr>
          <w:p>
            <w:pPr>
              <w:spacing w:before="0" w:after="0" w:afterAutospacing="0"/>
              <w:ind w:left="0" w:leftChars="0" w:right="0" w:rightChars="0" w:firstLine="0" w:firstLineChars="0"/>
              <w:jc w:val="center"/>
              <w:rPr>
                <w:rFonts w:ascii="宋体" w:hAnsi="宋体" w:cs="宋体"/>
                <w:b/>
                <w:bCs/>
                <w:color w:val="000000" w:themeColor="text1"/>
                <w:sz w:val="18"/>
                <w:szCs w:val="18"/>
                <w:highlight w:val="none"/>
                <w14:textFill>
                  <w14:solidFill>
                    <w14:schemeClr w14:val="tx1"/>
                  </w14:solidFill>
                </w14:textFill>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9</w:t>
            </w:r>
            <w:r>
              <w:rPr>
                <w:rFonts w:hint="eastAsia" w:ascii="宋体" w:hAnsi="宋体" w:cs="宋体"/>
                <w:color w:val="000000" w:themeColor="text1"/>
                <w:highlight w:val="none"/>
                <w:lang w:bidi="ar"/>
                <w14:textFill>
                  <w14:solidFill>
                    <w14:schemeClr w14:val="tx1"/>
                  </w14:solidFill>
                </w14:textFill>
              </w:rPr>
              <w:t>&lt;m&lt;</w:t>
            </w:r>
            <w:r>
              <w:rPr>
                <w:rFonts w:hint="eastAsia" w:ascii="宋体" w:hAnsi="宋体" w:cs="宋体"/>
                <w:color w:val="000000" w:themeColor="text1"/>
                <w:highlight w:val="none"/>
                <w:lang w:val="en-US" w:eastAsia="zh-CN" w:bidi="ar"/>
                <w14:textFill>
                  <w14:solidFill>
                    <w14:schemeClr w14:val="tx1"/>
                  </w14:solidFill>
                </w14:textFill>
              </w:rPr>
              <w:t>12</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88" w:lineRule="auto"/>
              <w:ind w:left="0" w:right="0" w:firstLine="0"/>
              <w:rPr>
                <w:rFonts w:hint="eastAsia" w:ascii="Times New Roman" w:hAnsi="Times New Roman" w:cs="Times New Roman"/>
                <w:kern w:val="2"/>
              </w:rPr>
            </w:pPr>
            <w:r>
              <w:rPr>
                <w:rFonts w:hint="eastAsia" w:ascii="Times New Roman" w:hAnsi="Times New Roman" w:cs="Times New Roman"/>
                <w:kern w:val="2"/>
              </w:rPr>
              <w:t>设计管理要点清晰、可行性强，至少包含工作计划编排或保证措施、质量保证措施、对拟投入人员考核及处罚管理等内容，内容充实，能满足</w:t>
            </w:r>
            <w:r>
              <w:rPr>
                <w:rFonts w:hint="eastAsia" w:ascii="Times New Roman" w:hAnsi="Times New Roman" w:cs="Times New Roman"/>
                <w:kern w:val="2"/>
                <w:lang w:val="en-US" w:eastAsia="zh-CN"/>
              </w:rPr>
              <w:t>比选文件</w:t>
            </w:r>
            <w:r>
              <w:rPr>
                <w:rFonts w:hint="eastAsia" w:ascii="Times New Roman" w:hAnsi="Times New Roman" w:cs="Times New Roman"/>
                <w:kern w:val="2"/>
              </w:rPr>
              <w:t>要求。</w:t>
            </w:r>
          </w:p>
        </w:tc>
        <w:tc>
          <w:tcPr>
            <w:tcW w:w="986" w:type="dxa"/>
            <w:vMerge w:val="continue"/>
            <w:tcBorders>
              <w:left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36" w:type="dxa"/>
            <w:vMerge w:val="continue"/>
            <w:tcBorders>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p>
        </w:tc>
        <w:tc>
          <w:tcPr>
            <w:tcW w:w="1686" w:type="dxa"/>
            <w:vMerge w:val="continue"/>
            <w:tcBorders>
              <w:left w:val="single" w:color="000000" w:sz="4" w:space="0"/>
              <w:bottom w:val="single" w:color="000000" w:sz="4" w:space="0"/>
              <w:right w:val="single" w:color="000000" w:sz="4" w:space="0"/>
            </w:tcBorders>
            <w:shd w:val="clear" w:color="auto" w:fill="auto"/>
            <w:vAlign w:val="center"/>
          </w:tcPr>
          <w:p>
            <w:pPr>
              <w:spacing w:before="0" w:after="0" w:afterAutospacing="0"/>
              <w:ind w:left="0" w:leftChars="0" w:right="0" w:rightChars="0" w:firstLine="0" w:firstLineChars="0"/>
              <w:jc w:val="center"/>
              <w:rPr>
                <w:rFonts w:ascii="宋体" w:hAnsi="宋体" w:cs="宋体"/>
                <w:b/>
                <w:bCs/>
                <w:color w:val="000000" w:themeColor="text1"/>
                <w:sz w:val="18"/>
                <w:szCs w:val="18"/>
                <w:highlight w:val="none"/>
                <w14:textFill>
                  <w14:solidFill>
                    <w14:schemeClr w14:val="tx1"/>
                  </w14:solidFill>
                </w14:textFill>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0&lt;m≤</w:t>
            </w:r>
            <w:r>
              <w:rPr>
                <w:rFonts w:hint="eastAsia" w:ascii="宋体" w:hAnsi="宋体" w:cs="宋体"/>
                <w:color w:val="000000" w:themeColor="text1"/>
                <w:highlight w:val="none"/>
                <w:lang w:val="en-US" w:eastAsia="zh-CN" w:bidi="ar"/>
                <w14:textFill>
                  <w14:solidFill>
                    <w14:schemeClr w14:val="tx1"/>
                  </w14:solidFill>
                </w14:textFill>
              </w:rPr>
              <w:t>9</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88" w:lineRule="auto"/>
              <w:ind w:left="0" w:right="0" w:firstLine="0"/>
              <w:rPr>
                <w:rFonts w:hint="eastAsia" w:ascii="Times New Roman" w:hAnsi="Times New Roman" w:cs="Times New Roman"/>
                <w:kern w:val="2"/>
              </w:rPr>
            </w:pPr>
            <w:r>
              <w:rPr>
                <w:rFonts w:hint="eastAsia" w:ascii="Times New Roman" w:hAnsi="Times New Roman" w:cs="Times New Roman"/>
                <w:kern w:val="2"/>
              </w:rPr>
              <w:t>无设计管理要点，缺少工作计划编排或保证措施、质量保证措施等内容，无法满足</w:t>
            </w:r>
            <w:r>
              <w:rPr>
                <w:rFonts w:hint="eastAsia" w:ascii="Times New Roman" w:hAnsi="Times New Roman" w:cs="Times New Roman"/>
                <w:kern w:val="2"/>
                <w:lang w:val="en-US" w:eastAsia="zh-CN"/>
              </w:rPr>
              <w:t>比选文件</w:t>
            </w:r>
            <w:r>
              <w:rPr>
                <w:rFonts w:hint="eastAsia" w:ascii="Times New Roman" w:hAnsi="Times New Roman" w:cs="Times New Roman"/>
                <w:kern w:val="2"/>
              </w:rPr>
              <w:t>要求。</w:t>
            </w:r>
          </w:p>
        </w:tc>
        <w:tc>
          <w:tcPr>
            <w:tcW w:w="986" w:type="dxa"/>
            <w:vMerge w:val="continue"/>
            <w:tcBorders>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681"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bidi="ar"/>
                <w14:textFill>
                  <w14:solidFill>
                    <w14:schemeClr w14:val="tx1"/>
                  </w14:solidFill>
                </w14:textFill>
              </w:rPr>
              <w:t>5</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40" w:lineRule="auto"/>
              <w:ind w:left="0" w:right="0" w:firstLine="0"/>
              <w:jc w:val="center"/>
              <w:textAlignment w:val="cente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t>业绩</w:t>
            </w:r>
          </w:p>
          <w:p>
            <w:pPr>
              <w:widowControl w:val="0"/>
              <w:spacing w:before="0" w:after="0" w:afterAutospacing="0" w:line="240" w:lineRule="auto"/>
              <w:ind w:left="0" w:right="0" w:firstLine="0"/>
              <w:jc w:val="center"/>
              <w:textAlignment w:val="cente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t>（15分）</w:t>
            </w:r>
          </w:p>
        </w:tc>
        <w:tc>
          <w:tcPr>
            <w:tcW w:w="59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40" w:lineRule="auto"/>
              <w:ind w:left="0" w:right="0" w:firstLine="0"/>
              <w:textAlignment w:val="center"/>
              <w:rPr>
                <w:rFonts w:hint="eastAsia" w:ascii="宋体" w:hAnsi="宋体" w:cs="宋体"/>
                <w:color w:val="000000" w:themeColor="text1"/>
                <w:kern w:val="2"/>
                <w:highlight w:val="none"/>
                <w:lang w:bidi="ar"/>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比选申请人自2021年1月1日至比选申请截止时间前，承接过（完工/在建项目）1个及以上40万元（含）以上的市政工程设计项目。</w:t>
            </w:r>
            <w:r>
              <w:rPr>
                <w:rFonts w:hint="eastAsia" w:ascii="宋体" w:hAnsi="宋体" w:cs="宋体"/>
                <w:color w:val="000000" w:themeColor="text1"/>
                <w:kern w:val="2"/>
                <w:highlight w:val="none"/>
                <w:lang w:bidi="ar"/>
                <w14:textFill>
                  <w14:solidFill>
                    <w14:schemeClr w14:val="tx1"/>
                  </w14:solidFill>
                </w14:textFill>
              </w:rPr>
              <w:t>本项满分</w:t>
            </w:r>
            <w:r>
              <w:rPr>
                <w:rFonts w:hint="eastAsia" w:ascii="宋体" w:hAnsi="宋体" w:cs="宋体"/>
                <w:color w:val="000000" w:themeColor="text1"/>
                <w:kern w:val="2"/>
                <w:highlight w:val="none"/>
                <w:lang w:val="en-US" w:eastAsia="zh-CN" w:bidi="ar"/>
                <w14:textFill>
                  <w14:solidFill>
                    <w14:schemeClr w14:val="tx1"/>
                  </w14:solidFill>
                </w14:textFill>
              </w:rPr>
              <w:t>15</w:t>
            </w:r>
            <w:r>
              <w:rPr>
                <w:rFonts w:hint="eastAsia" w:ascii="宋体" w:hAnsi="宋体" w:cs="宋体"/>
                <w:color w:val="000000" w:themeColor="text1"/>
                <w:kern w:val="2"/>
                <w:highlight w:val="none"/>
                <w:lang w:bidi="ar"/>
                <w14:textFill>
                  <w14:solidFill>
                    <w14:schemeClr w14:val="tx1"/>
                  </w14:solidFill>
                </w14:textFill>
              </w:rPr>
              <w:t>分，其中不同规模业绩得分如下:</w:t>
            </w:r>
          </w:p>
          <w:p>
            <w:pPr>
              <w:widowControl w:val="0"/>
              <w:spacing w:before="0" w:after="0" w:afterAutospacing="0" w:line="240" w:lineRule="auto"/>
              <w:ind w:left="0" w:right="0" w:firstLine="0"/>
              <w:textAlignment w:val="center"/>
              <w:rPr>
                <w:rFonts w:hint="eastAsia" w:ascii="宋体" w:hAnsi="宋体" w:cs="宋体"/>
                <w:color w:val="000000" w:themeColor="text1"/>
                <w:kern w:val="2"/>
                <w:highlight w:val="none"/>
                <w:lang w:bidi="ar"/>
                <w14:textFill>
                  <w14:solidFill>
                    <w14:schemeClr w14:val="tx1"/>
                  </w14:solidFill>
                </w14:textFill>
              </w:rPr>
            </w:pPr>
            <w:r>
              <w:rPr>
                <w:rFonts w:hint="eastAsia" w:ascii="宋体" w:hAnsi="宋体" w:cs="宋体"/>
                <w:color w:val="000000" w:themeColor="text1"/>
                <w:kern w:val="2"/>
                <w:highlight w:val="none"/>
                <w:lang w:bidi="ar"/>
                <w14:textFill>
                  <w14:solidFill>
                    <w14:schemeClr w14:val="tx1"/>
                  </w14:solidFill>
                </w14:textFill>
              </w:rPr>
              <w:t>（1）</w:t>
            </w:r>
            <w:r>
              <w:rPr>
                <w:rFonts w:hint="eastAsia" w:ascii="宋体" w:hAnsi="宋体" w:cs="宋体"/>
                <w:color w:val="000000" w:themeColor="text1"/>
                <w:kern w:val="2"/>
                <w:highlight w:val="none"/>
                <w:lang w:val="en-US" w:eastAsia="zh-CN" w:bidi="ar"/>
                <w14:textFill>
                  <w14:solidFill>
                    <w14:schemeClr w14:val="tx1"/>
                  </w14:solidFill>
                </w14:textFill>
              </w:rPr>
              <w:t>40</w:t>
            </w:r>
            <w:r>
              <w:rPr>
                <w:rFonts w:hint="eastAsia" w:ascii="宋体" w:hAnsi="宋体" w:cs="宋体"/>
                <w:color w:val="000000" w:themeColor="text1"/>
                <w:kern w:val="2"/>
                <w:highlight w:val="none"/>
                <w:lang w:bidi="ar"/>
                <w14:textFill>
                  <w14:solidFill>
                    <w14:schemeClr w14:val="tx1"/>
                  </w14:solidFill>
                </w14:textFill>
              </w:rPr>
              <w:t>万元≤单项合同金额＜</w:t>
            </w:r>
            <w:r>
              <w:rPr>
                <w:rFonts w:hint="eastAsia" w:ascii="宋体" w:hAnsi="宋体" w:cs="宋体"/>
                <w:color w:val="000000" w:themeColor="text1"/>
                <w:kern w:val="2"/>
                <w:highlight w:val="none"/>
                <w:lang w:val="en-US" w:eastAsia="zh-CN" w:bidi="ar"/>
                <w14:textFill>
                  <w14:solidFill>
                    <w14:schemeClr w14:val="tx1"/>
                  </w14:solidFill>
                </w14:textFill>
              </w:rPr>
              <w:t>50</w:t>
            </w:r>
            <w:r>
              <w:rPr>
                <w:rFonts w:hint="eastAsia" w:ascii="宋体" w:hAnsi="宋体" w:cs="宋体"/>
                <w:color w:val="000000" w:themeColor="text1"/>
                <w:kern w:val="2"/>
                <w:highlight w:val="none"/>
                <w:lang w:bidi="ar"/>
                <w14:textFill>
                  <w14:solidFill>
                    <w14:schemeClr w14:val="tx1"/>
                  </w14:solidFill>
                </w14:textFill>
              </w:rPr>
              <w:t>万元的，一个得2</w:t>
            </w:r>
            <w:r>
              <w:rPr>
                <w:rFonts w:hint="eastAsia" w:ascii="宋体" w:hAnsi="宋体" w:cs="宋体"/>
                <w:color w:val="000000" w:themeColor="text1"/>
                <w:kern w:val="2"/>
                <w:highlight w:val="none"/>
                <w:lang w:val="en-US" w:eastAsia="zh-CN" w:bidi="ar"/>
                <w14:textFill>
                  <w14:solidFill>
                    <w14:schemeClr w14:val="tx1"/>
                  </w14:solidFill>
                </w14:textFill>
              </w:rPr>
              <w:t>.5</w:t>
            </w:r>
            <w:r>
              <w:rPr>
                <w:rFonts w:hint="eastAsia" w:ascii="宋体" w:hAnsi="宋体" w:cs="宋体"/>
                <w:color w:val="000000" w:themeColor="text1"/>
                <w:kern w:val="2"/>
                <w:highlight w:val="none"/>
                <w:lang w:bidi="ar"/>
                <w14:textFill>
                  <w14:solidFill>
                    <w14:schemeClr w14:val="tx1"/>
                  </w14:solidFill>
                </w14:textFill>
              </w:rPr>
              <w:t>分；</w:t>
            </w:r>
          </w:p>
          <w:p>
            <w:pPr>
              <w:widowControl w:val="0"/>
              <w:spacing w:before="0" w:after="0" w:afterAutospacing="0" w:line="240" w:lineRule="auto"/>
              <w:ind w:left="0" w:right="0" w:firstLine="0"/>
              <w:textAlignment w:val="center"/>
              <w:rPr>
                <w:rFonts w:hint="eastAsia" w:ascii="宋体" w:hAnsi="宋体" w:cs="宋体"/>
                <w:color w:val="000000" w:themeColor="text1"/>
                <w:kern w:val="2"/>
                <w:highlight w:val="none"/>
                <w:lang w:bidi="ar"/>
                <w14:textFill>
                  <w14:solidFill>
                    <w14:schemeClr w14:val="tx1"/>
                  </w14:solidFill>
                </w14:textFill>
              </w:rPr>
            </w:pPr>
            <w:r>
              <w:rPr>
                <w:rFonts w:hint="eastAsia" w:ascii="宋体" w:hAnsi="宋体" w:cs="宋体"/>
                <w:color w:val="000000" w:themeColor="text1"/>
                <w:kern w:val="2"/>
                <w:highlight w:val="none"/>
                <w:lang w:bidi="ar"/>
                <w14:textFill>
                  <w14:solidFill>
                    <w14:schemeClr w14:val="tx1"/>
                  </w14:solidFill>
                </w14:textFill>
              </w:rPr>
              <w:t>（2）</w:t>
            </w:r>
            <w:r>
              <w:rPr>
                <w:rFonts w:hint="eastAsia" w:ascii="宋体" w:hAnsi="宋体" w:cs="宋体"/>
                <w:color w:val="000000" w:themeColor="text1"/>
                <w:kern w:val="2"/>
                <w:highlight w:val="none"/>
                <w:lang w:val="en-US" w:eastAsia="zh-CN" w:bidi="ar"/>
                <w14:textFill>
                  <w14:solidFill>
                    <w14:schemeClr w14:val="tx1"/>
                  </w14:solidFill>
                </w14:textFill>
              </w:rPr>
              <w:t>50</w:t>
            </w:r>
            <w:r>
              <w:rPr>
                <w:rFonts w:hint="eastAsia" w:ascii="宋体" w:hAnsi="宋体" w:cs="宋体"/>
                <w:color w:val="000000" w:themeColor="text1"/>
                <w:kern w:val="2"/>
                <w:highlight w:val="none"/>
                <w:lang w:bidi="ar"/>
                <w14:textFill>
                  <w14:solidFill>
                    <w14:schemeClr w14:val="tx1"/>
                  </w14:solidFill>
                </w14:textFill>
              </w:rPr>
              <w:t>万元≤单项合同金额＜</w:t>
            </w:r>
            <w:r>
              <w:rPr>
                <w:rFonts w:hint="eastAsia" w:ascii="宋体" w:hAnsi="宋体" w:cs="宋体"/>
                <w:color w:val="000000" w:themeColor="text1"/>
                <w:kern w:val="2"/>
                <w:highlight w:val="none"/>
                <w:lang w:val="en-US" w:eastAsia="zh-CN" w:bidi="ar"/>
                <w14:textFill>
                  <w14:solidFill>
                    <w14:schemeClr w14:val="tx1"/>
                  </w14:solidFill>
                </w14:textFill>
              </w:rPr>
              <w:t>60</w:t>
            </w:r>
            <w:r>
              <w:rPr>
                <w:rFonts w:hint="eastAsia" w:ascii="宋体" w:hAnsi="宋体" w:cs="宋体"/>
                <w:color w:val="000000" w:themeColor="text1"/>
                <w:kern w:val="2"/>
                <w:highlight w:val="none"/>
                <w:lang w:bidi="ar"/>
                <w14:textFill>
                  <w14:solidFill>
                    <w14:schemeClr w14:val="tx1"/>
                  </w14:solidFill>
                </w14:textFill>
              </w:rPr>
              <w:t>万元的，一个得3分；</w:t>
            </w:r>
          </w:p>
          <w:p>
            <w:pPr>
              <w:widowControl w:val="0"/>
              <w:spacing w:before="0" w:after="0" w:afterAutospacing="0" w:line="240" w:lineRule="auto"/>
              <w:ind w:left="0" w:right="0" w:firstLine="0"/>
              <w:textAlignment w:val="center"/>
              <w:rPr>
                <w:rFonts w:hint="eastAsia" w:ascii="宋体" w:hAnsi="宋体" w:cs="宋体"/>
                <w:color w:val="000000" w:themeColor="text1"/>
                <w:kern w:val="2"/>
                <w:highlight w:val="none"/>
                <w:lang w:bidi="ar"/>
                <w14:textFill>
                  <w14:solidFill>
                    <w14:schemeClr w14:val="tx1"/>
                  </w14:solidFill>
                </w14:textFill>
              </w:rPr>
            </w:pPr>
            <w:r>
              <w:rPr>
                <w:rFonts w:hint="eastAsia" w:ascii="宋体" w:hAnsi="宋体" w:cs="宋体"/>
                <w:color w:val="000000" w:themeColor="text1"/>
                <w:kern w:val="2"/>
                <w:highlight w:val="none"/>
                <w:lang w:bidi="ar"/>
                <w14:textFill>
                  <w14:solidFill>
                    <w14:schemeClr w14:val="tx1"/>
                  </w14:solidFill>
                </w14:textFill>
              </w:rPr>
              <w:t>（3）单项合同金额≥</w:t>
            </w:r>
            <w:r>
              <w:rPr>
                <w:rFonts w:hint="eastAsia" w:ascii="宋体" w:hAnsi="宋体" w:cs="宋体"/>
                <w:color w:val="000000" w:themeColor="text1"/>
                <w:kern w:val="2"/>
                <w:highlight w:val="none"/>
                <w:lang w:val="en-US" w:eastAsia="zh-CN" w:bidi="ar"/>
                <w14:textFill>
                  <w14:solidFill>
                    <w14:schemeClr w14:val="tx1"/>
                  </w14:solidFill>
                </w14:textFill>
              </w:rPr>
              <w:t>60</w:t>
            </w:r>
            <w:r>
              <w:rPr>
                <w:rFonts w:hint="eastAsia" w:ascii="宋体" w:hAnsi="宋体" w:cs="宋体"/>
                <w:color w:val="000000" w:themeColor="text1"/>
                <w:kern w:val="2"/>
                <w:highlight w:val="none"/>
                <w:lang w:bidi="ar"/>
                <w14:textFill>
                  <w14:solidFill>
                    <w14:schemeClr w14:val="tx1"/>
                  </w14:solidFill>
                </w14:textFill>
              </w:rPr>
              <w:t>万元的，一个得4分；</w:t>
            </w:r>
          </w:p>
          <w:p>
            <w:pPr>
              <w:widowControl w:val="0"/>
              <w:spacing w:before="0" w:after="0" w:afterAutospacing="0" w:line="240" w:lineRule="auto"/>
              <w:ind w:left="0" w:right="0" w:firstLine="0"/>
              <w:textAlignment w:val="center"/>
              <w:rPr>
                <w:rFonts w:hint="eastAsia" w:ascii="宋体" w:hAnsi="宋体" w:cs="宋体"/>
                <w:color w:val="000000" w:themeColor="text1"/>
                <w:kern w:val="2"/>
                <w:highlight w:val="none"/>
                <w:lang w:bidi="ar"/>
                <w14:textFill>
                  <w14:solidFill>
                    <w14:schemeClr w14:val="tx1"/>
                  </w14:solidFill>
                </w14:textFill>
              </w:rPr>
            </w:pPr>
            <w:r>
              <w:rPr>
                <w:rFonts w:hint="eastAsia" w:ascii="宋体" w:hAnsi="宋体" w:cs="宋体"/>
                <w:color w:val="000000" w:themeColor="text1"/>
                <w:kern w:val="2"/>
                <w:highlight w:val="none"/>
                <w:lang w:bidi="ar"/>
                <w14:textFill>
                  <w14:solidFill>
                    <w14:schemeClr w14:val="tx1"/>
                  </w14:solidFill>
                </w14:textFill>
              </w:rPr>
              <w:t>提供下述材料之一即可：①合同文件；②中标通知书；③业主证明材料。所提供材料需能证明符合业绩内容，否则视为无效证明文件，提供复印件加盖比选申请人公章，原件备查。</w:t>
            </w: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540" w:hRule="atLeast"/>
          <w:jc w:val="center"/>
        </w:trPr>
        <w:tc>
          <w:tcPr>
            <w:tcW w:w="232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技术文件得分</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60</w:t>
            </w:r>
          </w:p>
        </w:tc>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cs="宋体"/>
                <w:color w:val="000000" w:themeColor="text1"/>
                <w:highlight w:val="none"/>
                <w14:textFill>
                  <w14:solidFill>
                    <w14:schemeClr w14:val="tx1"/>
                  </w14:solidFill>
                </w14:textFill>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themeColor="text1"/>
                <w:sz w:val="22"/>
                <w:szCs w:val="22"/>
                <w:highlight w:val="none"/>
                <w14:textFill>
                  <w14:solidFill>
                    <w14:schemeClr w14:val="tx1"/>
                  </w14:solidFill>
                </w14:textFill>
              </w:rPr>
            </w:pPr>
          </w:p>
        </w:tc>
      </w:tr>
    </w:tbl>
    <w:p>
      <w:pPr>
        <w:spacing w:before="0" w:after="0"/>
        <w:ind w:left="0" w:right="0" w:firstLine="0"/>
        <w:jc w:val="left"/>
        <w:rPr>
          <w:b/>
          <w:bCs/>
          <w:color w:val="000000" w:themeColor="text1"/>
          <w:highlight w:val="none"/>
          <w14:textFill>
            <w14:solidFill>
              <w14:schemeClr w14:val="tx1"/>
            </w14:solidFill>
          </w14:textFill>
        </w:rPr>
      </w:pPr>
    </w:p>
    <w:p>
      <w:pPr>
        <w:rPr>
          <w:b/>
          <w:bCs/>
          <w:color w:val="000000" w:themeColor="text1"/>
          <w:highlight w:val="none"/>
          <w14:textFill>
            <w14:solidFill>
              <w14:schemeClr w14:val="tx1"/>
            </w14:solidFill>
          </w14:textFill>
        </w:rPr>
      </w:pPr>
      <w:r>
        <w:rPr>
          <w:b/>
          <w:bCs/>
          <w:color w:val="000000" w:themeColor="text1"/>
          <w:highlight w:val="none"/>
          <w14:textFill>
            <w14:solidFill>
              <w14:schemeClr w14:val="tx1"/>
            </w14:solidFill>
          </w14:textFill>
        </w:rPr>
        <w:br w:type="page"/>
      </w:r>
    </w:p>
    <w:p>
      <w:pPr>
        <w:spacing w:before="0" w:after="0"/>
        <w:ind w:left="0" w:right="0" w:firstLine="0"/>
        <w:jc w:val="left"/>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附表四《价格文件评分表》</w:t>
      </w:r>
    </w:p>
    <w:p>
      <w:pPr>
        <w:spacing w:before="0" w:after="0"/>
        <w:ind w:left="0" w:right="0" w:firstLine="0"/>
        <w:jc w:val="center"/>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价格文件评分表</w:t>
      </w:r>
    </w:p>
    <w:tbl>
      <w:tblPr>
        <w:tblStyle w:val="35"/>
        <w:tblW w:w="98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8"/>
        <w:gridCol w:w="1108"/>
        <w:gridCol w:w="2366"/>
        <w:gridCol w:w="3013"/>
        <w:gridCol w:w="1108"/>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序号</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项目</w:t>
            </w:r>
          </w:p>
        </w:tc>
        <w:tc>
          <w:tcPr>
            <w:tcW w:w="326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评审基准价</w:t>
            </w:r>
          </w:p>
        </w:tc>
        <w:tc>
          <w:tcPr>
            <w:tcW w:w="410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评分标准</w:t>
            </w:r>
          </w:p>
        </w:tc>
        <w:tc>
          <w:tcPr>
            <w:tcW w:w="87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分值</w:t>
            </w:r>
          </w:p>
        </w:tc>
        <w:tc>
          <w:tcPr>
            <w:tcW w:w="60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4" w:hRule="atLeast"/>
          <w:tblHeader/>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1</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比选报价</w:t>
            </w:r>
          </w:p>
        </w:tc>
        <w:tc>
          <w:tcPr>
            <w:tcW w:w="3261" w:type="dxa"/>
            <w:tcBorders>
              <w:top w:val="single" w:color="auto" w:sz="4" w:space="0"/>
              <w:left w:val="single" w:color="auto" w:sz="4" w:space="0"/>
              <w:bottom w:val="single" w:color="auto" w:sz="4" w:space="0"/>
              <w:right w:val="single" w:color="auto" w:sz="4" w:space="0"/>
            </w:tcBorders>
            <w:vAlign w:val="center"/>
          </w:tcPr>
          <w:p>
            <w:pPr>
              <w:widowControl w:val="0"/>
              <w:spacing w:before="0" w:after="0" w:afterAutospacing="0" w:line="240" w:lineRule="auto"/>
              <w:ind w:left="0" w:right="0" w:firstLine="0"/>
              <w:jc w:val="center"/>
              <w:textAlignment w:val="center"/>
              <w:rPr>
                <w:rFonts w:hint="eastAsia" w:ascii="宋体" w:hAnsi="宋体" w:cs="宋体"/>
                <w:color w:val="000000" w:themeColor="text1"/>
                <w:kern w:val="2"/>
                <w:highlight w:val="none"/>
                <w:lang w:val="en-US" w:eastAsia="zh-CN" w:bidi="ar"/>
                <w14:textFill>
                  <w14:solidFill>
                    <w14:schemeClr w14:val="tx1"/>
                  </w14:solidFill>
                </w14:textFill>
              </w:rPr>
            </w:pPr>
            <w:r>
              <w:rPr>
                <w:rFonts w:hint="eastAsia" w:ascii="宋体" w:hAnsi="宋体" w:cs="宋体"/>
                <w:color w:val="000000" w:themeColor="text1"/>
                <w:highlight w:val="none"/>
                <w:lang w:eastAsia="zh-CN" w:bidi="ar"/>
                <w14:textFill>
                  <w14:solidFill>
                    <w14:schemeClr w14:val="tx1"/>
                  </w14:solidFill>
                </w14:textFill>
              </w:rPr>
              <w:t>（</w:t>
            </w:r>
            <w:r>
              <w:rPr>
                <w:rFonts w:hint="eastAsia" w:ascii="宋体" w:hAnsi="宋体" w:cs="宋体"/>
                <w:color w:val="000000" w:themeColor="text1"/>
                <w:highlight w:val="none"/>
                <w:lang w:val="en-US" w:eastAsia="zh-CN" w:bidi="ar"/>
                <w14:textFill>
                  <w14:solidFill>
                    <w14:schemeClr w14:val="tx1"/>
                  </w14:solidFill>
                </w14:textFill>
              </w:rPr>
              <w:t>1</w:t>
            </w:r>
            <w:r>
              <w:rPr>
                <w:rFonts w:hint="eastAsia" w:ascii="宋体" w:hAnsi="宋体" w:cs="宋体"/>
                <w:color w:val="000000" w:themeColor="text1"/>
                <w:kern w:val="2"/>
                <w:highlight w:val="none"/>
                <w:lang w:val="en-US" w:eastAsia="zh-CN" w:bidi="ar"/>
                <w14:textFill>
                  <w14:solidFill>
                    <w14:schemeClr w14:val="tx1"/>
                  </w14:solidFill>
                </w14:textFill>
              </w:rPr>
              <w:t>）比选申请人总报价大于上控价时比选申请文件作无效处理。</w:t>
            </w:r>
          </w:p>
          <w:p>
            <w:pPr>
              <w:widowControl w:val="0"/>
              <w:spacing w:before="0" w:after="0" w:afterAutospacing="0" w:line="240" w:lineRule="auto"/>
              <w:ind w:left="0" w:right="0" w:firstLine="0"/>
              <w:jc w:val="center"/>
              <w:textAlignment w:val="center"/>
              <w:rPr>
                <w:rFonts w:hint="eastAsia" w:ascii="宋体" w:hAnsi="宋体" w:cs="宋体"/>
                <w:color w:val="000000" w:themeColor="text1"/>
                <w:kern w:val="2"/>
                <w:highlight w:val="none"/>
                <w:lang w:val="en-US" w:eastAsia="zh-CN" w:bidi="ar"/>
                <w14:textFill>
                  <w14:solidFill>
                    <w14:schemeClr w14:val="tx1"/>
                  </w14:solidFill>
                </w14:textFill>
              </w:rPr>
            </w:pPr>
            <w:r>
              <w:rPr>
                <w:rFonts w:hint="eastAsia" w:ascii="宋体" w:hAnsi="宋体" w:cs="宋体"/>
                <w:color w:val="000000" w:themeColor="text1"/>
                <w:kern w:val="2"/>
                <w:highlight w:val="none"/>
                <w:lang w:val="en-US" w:eastAsia="zh-CN" w:bidi="ar"/>
                <w14:textFill>
                  <w14:solidFill>
                    <w14:schemeClr w14:val="tx1"/>
                  </w14:solidFill>
                </w14:textFill>
              </w:rPr>
              <w:t>（2）当比选申请人总报价小于或者等于上控价时，资格审查合格的有效报价比选申请人在3家以上（含3家）的，将去掉最高的有效报价后（报价相同的一并去掉），取不含税总报价的算术平均值作为评审基准价。基准价和比选申请价格得分计算结果均保留小数点后两位。</w:t>
            </w:r>
          </w:p>
          <w:p>
            <w:pPr>
              <w:widowControl w:val="0"/>
              <w:spacing w:before="0" w:after="0" w:afterAutospacing="0" w:line="240" w:lineRule="auto"/>
              <w:ind w:left="0" w:right="0" w:firstLine="0"/>
              <w:jc w:val="center"/>
              <w:textAlignment w:val="center"/>
              <w:rPr>
                <w:rFonts w:hint="default" w:ascii="宋体" w:hAnsi="宋体" w:eastAsia="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kern w:val="2"/>
                <w:highlight w:val="none"/>
                <w:lang w:val="en-US" w:eastAsia="zh-CN" w:bidi="ar"/>
                <w14:textFill>
                  <w14:solidFill>
                    <w14:schemeClr w14:val="tx1"/>
                  </w14:solidFill>
                </w14:textFill>
              </w:rPr>
              <w:t>（3）如所有比选申请人的报价相同，则该报价为评审基准价。</w:t>
            </w:r>
          </w:p>
        </w:tc>
        <w:tc>
          <w:tcPr>
            <w:tcW w:w="4107" w:type="dxa"/>
            <w:tcBorders>
              <w:top w:val="single" w:color="auto" w:sz="4" w:space="0"/>
              <w:left w:val="single" w:color="auto" w:sz="4" w:space="0"/>
              <w:bottom w:val="single" w:color="auto" w:sz="4" w:space="0"/>
              <w:right w:val="single" w:color="auto" w:sz="4" w:space="0"/>
            </w:tcBorders>
            <w:vAlign w:val="center"/>
          </w:tcPr>
          <w:p>
            <w:pPr>
              <w:widowControl w:val="0"/>
              <w:spacing w:before="0" w:after="0" w:afterAutospacing="0" w:line="240" w:lineRule="auto"/>
              <w:ind w:left="0" w:right="0" w:firstLine="0"/>
              <w:jc w:val="center"/>
              <w:textAlignment w:val="center"/>
              <w:rPr>
                <w:rFonts w:hint="eastAsia" w:ascii="宋体" w:hAnsi="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评审时以经评审的基准价为最高分，采用内插法计算，比选申请人报价每高于基准价1％的扣1分，每低于基准价1％的扣0.5分，扣完即止。</w:t>
            </w:r>
          </w:p>
          <w:p>
            <w:pPr>
              <w:widowControl w:val="0"/>
              <w:spacing w:before="0" w:after="0" w:afterAutospacing="0" w:line="240" w:lineRule="auto"/>
              <w:ind w:left="0" w:right="0" w:firstLine="0"/>
              <w:jc w:val="center"/>
              <w:textAlignment w:val="center"/>
              <w:rPr>
                <w:rFonts w:hint="eastAsia" w:ascii="宋体" w:hAnsi="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1）当评审价等于基准价时，比选申请人的价格得分为40分；</w:t>
            </w:r>
          </w:p>
          <w:p>
            <w:pPr>
              <w:widowControl w:val="0"/>
              <w:spacing w:before="0" w:after="0" w:afterAutospacing="0" w:line="240" w:lineRule="auto"/>
              <w:ind w:left="0" w:right="0" w:firstLine="0"/>
              <w:jc w:val="center"/>
              <w:textAlignment w:val="center"/>
              <w:rPr>
                <w:rFonts w:hint="eastAsia" w:ascii="宋体" w:hAnsi="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2）当评审价高于基准价时，每高于基准价的1%，比选申请人的价格得分扣1分，中间数按内插法计算，即：某比选申请人价格分=40-（评审价-基准价）/基准价×100×1；</w:t>
            </w:r>
          </w:p>
          <w:p>
            <w:pPr>
              <w:widowControl w:val="0"/>
              <w:spacing w:before="0" w:after="0" w:afterAutospacing="0" w:line="240" w:lineRule="auto"/>
              <w:ind w:left="0" w:right="0" w:firstLine="0"/>
              <w:jc w:val="center"/>
              <w:textAlignment w:val="center"/>
              <w:rPr>
                <w:rFonts w:hint="eastAsia" w:ascii="宋体" w:hAnsi="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3）当评审价低于基准价时，每低于基准价的1%，比选申请人的价格得分扣0.5分，中间数按内插法计算，即:某比选申请人价格分=40-（基准价-评审价）/基准价×100×0.5；</w:t>
            </w:r>
          </w:p>
          <w:p>
            <w:pPr>
              <w:widowControl w:val="0"/>
              <w:spacing w:before="0" w:after="0" w:afterAutospacing="0" w:line="240" w:lineRule="auto"/>
              <w:ind w:left="0" w:right="0" w:firstLine="0"/>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本项最低为0分。</w:t>
            </w:r>
          </w:p>
        </w:tc>
        <w:tc>
          <w:tcPr>
            <w:tcW w:w="87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0≤m≤</w:t>
            </w:r>
            <w:r>
              <w:rPr>
                <w:rFonts w:hint="eastAsia" w:ascii="宋体" w:hAnsi="宋体" w:cs="宋体"/>
                <w:color w:val="000000" w:themeColor="text1"/>
                <w:highlight w:val="none"/>
                <w:lang w:val="en-US" w:eastAsia="zh-CN" w:bidi="ar"/>
                <w14:textFill>
                  <w14:solidFill>
                    <w14:schemeClr w14:val="tx1"/>
                  </w14:solidFill>
                </w14:textFill>
              </w:rPr>
              <w:t>4</w:t>
            </w:r>
            <w:r>
              <w:rPr>
                <w:rFonts w:hint="eastAsia" w:ascii="宋体" w:hAnsi="宋体" w:cs="宋体"/>
                <w:color w:val="000000" w:themeColor="text1"/>
                <w:highlight w:val="none"/>
                <w:lang w:bidi="ar"/>
                <w14:textFill>
                  <w14:solidFill>
                    <w14:schemeClr w14:val="tx1"/>
                  </w14:solidFill>
                </w14:textFill>
              </w:rPr>
              <w:t>0</w:t>
            </w:r>
          </w:p>
        </w:tc>
        <w:tc>
          <w:tcPr>
            <w:tcW w:w="60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价格文件得分</w:t>
            </w:r>
          </w:p>
        </w:tc>
        <w:tc>
          <w:tcPr>
            <w:tcW w:w="7368" w:type="dxa"/>
            <w:gridSpan w:val="2"/>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default" w:ascii="宋体" w:hAnsi="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40</w:t>
            </w:r>
          </w:p>
        </w:tc>
        <w:tc>
          <w:tcPr>
            <w:tcW w:w="877" w:type="dxa"/>
            <w:tcBorders>
              <w:top w:val="single" w:color="auto" w:sz="4" w:space="0"/>
              <w:left w:val="single" w:color="auto" w:sz="4" w:space="0"/>
              <w:bottom w:val="single" w:color="auto" w:sz="4" w:space="0"/>
              <w:right w:val="single" w:color="auto" w:sz="4" w:space="0"/>
            </w:tcBorders>
          </w:tcPr>
          <w:p>
            <w:pPr>
              <w:jc w:val="center"/>
              <w:textAlignment w:val="center"/>
              <w:rPr>
                <w:rFonts w:hint="eastAsia" w:ascii="宋体" w:hAnsi="宋体" w:cs="宋体"/>
                <w:color w:val="000000" w:themeColor="text1"/>
                <w:highlight w:val="none"/>
                <w:lang w:bidi="ar"/>
                <w14:textFill>
                  <w14:solidFill>
                    <w14:schemeClr w14:val="tx1"/>
                  </w14:solidFill>
                </w14:textFill>
              </w:rPr>
            </w:pPr>
          </w:p>
        </w:tc>
        <w:tc>
          <w:tcPr>
            <w:tcW w:w="607" w:type="dxa"/>
            <w:tcBorders>
              <w:top w:val="single" w:color="auto" w:sz="4" w:space="0"/>
              <w:left w:val="single" w:color="auto" w:sz="4" w:space="0"/>
              <w:bottom w:val="single" w:color="auto" w:sz="4" w:space="0"/>
              <w:right w:val="single" w:color="auto" w:sz="4" w:space="0"/>
            </w:tcBorders>
          </w:tcPr>
          <w:p>
            <w:pPr>
              <w:jc w:val="center"/>
              <w:textAlignment w:val="center"/>
              <w:rPr>
                <w:rFonts w:hint="eastAsia" w:ascii="宋体" w:hAnsi="宋体" w:cs="宋体"/>
                <w:color w:val="000000" w:themeColor="text1"/>
                <w:highlight w:val="none"/>
                <w:lang w:bidi="ar"/>
                <w14:textFill>
                  <w14:solidFill>
                    <w14:schemeClr w14:val="tx1"/>
                  </w14:solidFill>
                </w14:textFill>
              </w:rPr>
            </w:pPr>
          </w:p>
        </w:tc>
      </w:tr>
    </w:tbl>
    <w:p>
      <w:pPr>
        <w:pStyle w:val="15"/>
        <w:ind w:left="707" w:leftChars="207" w:hanging="272" w:hangingChars="13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注：比选报价如有修正，需填写附表《比选报价修正表》并由比选人代表签字确认。</w:t>
      </w:r>
    </w:p>
    <w:p>
      <w:pPr>
        <w:pStyle w:val="15"/>
        <w:ind w:left="707" w:leftChars="207" w:hanging="272" w:hangingChars="136"/>
        <w:rPr>
          <w:color w:val="000000" w:themeColor="text1"/>
          <w:highlight w:val="none"/>
          <w14:textFill>
            <w14:solidFill>
              <w14:schemeClr w14:val="tx1"/>
            </w14:solidFill>
          </w14:textFill>
        </w:rPr>
      </w:pPr>
    </w:p>
    <w:p>
      <w:pPr>
        <w:pStyle w:val="15"/>
        <w:ind w:left="707" w:leftChars="207" w:hanging="272" w:hangingChars="136"/>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pPr>
        <w:pStyle w:val="6"/>
      </w:pPr>
    </w:p>
    <w:p>
      <w:pPr>
        <w:spacing w:before="0" w:after="0"/>
        <w:ind w:left="0" w:right="0" w:firstLine="0"/>
        <w:jc w:val="left"/>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附表五综合评审得分表</w:t>
      </w:r>
    </w:p>
    <w:p>
      <w:pPr>
        <w:pStyle w:val="15"/>
        <w:jc w:val="center"/>
        <w:rPr>
          <w:rFonts w:hAnsi="宋体" w:cs="Times New Roman"/>
          <w:b/>
          <w:color w:val="000000" w:themeColor="text1"/>
          <w:sz w:val="28"/>
          <w:szCs w:val="28"/>
          <w:highlight w:val="none"/>
          <w14:textFill>
            <w14:solidFill>
              <w14:schemeClr w14:val="tx1"/>
            </w14:solidFill>
          </w14:textFill>
        </w:rPr>
      </w:pPr>
      <w:r>
        <w:rPr>
          <w:rFonts w:hint="eastAsia" w:hAnsi="宋体" w:cs="Times New Roman"/>
          <w:b/>
          <w:color w:val="000000" w:themeColor="text1"/>
          <w:sz w:val="28"/>
          <w:szCs w:val="28"/>
          <w:highlight w:val="none"/>
          <w14:textFill>
            <w14:solidFill>
              <w14:schemeClr w14:val="tx1"/>
            </w14:solidFill>
          </w14:textFill>
        </w:rPr>
        <w:t>综合评审得分表</w:t>
      </w:r>
    </w:p>
    <w:tbl>
      <w:tblPr>
        <w:tblStyle w:val="36"/>
        <w:tblW w:w="90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4"/>
        <w:gridCol w:w="3024"/>
        <w:gridCol w:w="2657"/>
        <w:gridCol w:w="1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3" w:hRule="atLeast"/>
          <w:jc w:val="center"/>
        </w:trPr>
        <w:tc>
          <w:tcPr>
            <w:tcW w:w="2004" w:type="dxa"/>
            <w:vAlign w:val="center"/>
          </w:tcPr>
          <w:p>
            <w:pPr>
              <w:spacing w:before="0" w:line="240" w:lineRule="auto"/>
              <w:ind w:right="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序号</w:t>
            </w:r>
          </w:p>
        </w:tc>
        <w:tc>
          <w:tcPr>
            <w:tcW w:w="3024" w:type="dxa"/>
            <w:vAlign w:val="center"/>
          </w:tcPr>
          <w:p>
            <w:pPr>
              <w:spacing w:before="0" w:line="240" w:lineRule="auto"/>
              <w:ind w:left="0" w:right="0" w:firstLine="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项目</w:t>
            </w:r>
          </w:p>
        </w:tc>
        <w:tc>
          <w:tcPr>
            <w:tcW w:w="2657" w:type="dxa"/>
            <w:vAlign w:val="center"/>
          </w:tcPr>
          <w:p>
            <w:pPr>
              <w:spacing w:before="0" w:line="240" w:lineRule="auto"/>
              <w:ind w:right="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满分</w:t>
            </w:r>
          </w:p>
        </w:tc>
        <w:tc>
          <w:tcPr>
            <w:tcW w:w="0" w:type="auto"/>
            <w:vAlign w:val="center"/>
          </w:tcPr>
          <w:p>
            <w:pPr>
              <w:spacing w:before="0" w:line="240" w:lineRule="auto"/>
              <w:ind w:right="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2004" w:type="dxa"/>
            <w:vAlign w:val="center"/>
          </w:tcPr>
          <w:p>
            <w:pPr>
              <w:pStyle w:val="15"/>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1</w:t>
            </w:r>
          </w:p>
        </w:tc>
        <w:tc>
          <w:tcPr>
            <w:tcW w:w="3024" w:type="dxa"/>
            <w:vAlign w:val="center"/>
          </w:tcPr>
          <w:p>
            <w:pPr>
              <w:pStyle w:val="15"/>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技术文件得分</w:t>
            </w:r>
          </w:p>
        </w:tc>
        <w:tc>
          <w:tcPr>
            <w:tcW w:w="2657" w:type="dxa"/>
            <w:vAlign w:val="center"/>
          </w:tcPr>
          <w:p>
            <w:pPr>
              <w:pStyle w:val="15"/>
              <w:jc w:val="center"/>
              <w:rPr>
                <w:rFonts w:hint="default" w:hAnsi="宋体" w:eastAsia="宋体"/>
                <w:color w:val="000000" w:themeColor="text1"/>
                <w:highlight w:val="none"/>
                <w:lang w:val="en-US" w:eastAsia="zh-CN"/>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t>60</w:t>
            </w:r>
          </w:p>
        </w:tc>
        <w:tc>
          <w:tcPr>
            <w:tcW w:w="0" w:type="auto"/>
            <w:vAlign w:val="center"/>
          </w:tcPr>
          <w:p>
            <w:pPr>
              <w:pStyle w:val="15"/>
              <w:jc w:val="center"/>
              <w:rPr>
                <w:rFonts w:hAnsi="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 w:hRule="atLeast"/>
          <w:jc w:val="center"/>
        </w:trPr>
        <w:tc>
          <w:tcPr>
            <w:tcW w:w="2004" w:type="dxa"/>
            <w:vAlign w:val="center"/>
          </w:tcPr>
          <w:p>
            <w:pPr>
              <w:pStyle w:val="15"/>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2</w:t>
            </w:r>
          </w:p>
        </w:tc>
        <w:tc>
          <w:tcPr>
            <w:tcW w:w="3024" w:type="dxa"/>
            <w:vAlign w:val="center"/>
          </w:tcPr>
          <w:p>
            <w:pPr>
              <w:pStyle w:val="15"/>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价格文件得分</w:t>
            </w:r>
          </w:p>
        </w:tc>
        <w:tc>
          <w:tcPr>
            <w:tcW w:w="2657" w:type="dxa"/>
            <w:vAlign w:val="center"/>
          </w:tcPr>
          <w:p>
            <w:pPr>
              <w:pStyle w:val="15"/>
              <w:jc w:val="center"/>
              <w:rPr>
                <w:rFonts w:hint="default" w:hAnsi="宋体" w:eastAsia="宋体"/>
                <w:color w:val="000000" w:themeColor="text1"/>
                <w:highlight w:val="none"/>
                <w:lang w:val="en-US" w:eastAsia="zh-CN"/>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t>40</w:t>
            </w:r>
          </w:p>
        </w:tc>
        <w:tc>
          <w:tcPr>
            <w:tcW w:w="0" w:type="auto"/>
            <w:vAlign w:val="center"/>
          </w:tcPr>
          <w:p>
            <w:pPr>
              <w:pStyle w:val="15"/>
              <w:ind w:left="0" w:firstLine="0"/>
              <w:jc w:val="center"/>
              <w:rPr>
                <w:rFonts w:hAnsi="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6" w:hRule="atLeast"/>
          <w:jc w:val="center"/>
        </w:trPr>
        <w:tc>
          <w:tcPr>
            <w:tcW w:w="7685" w:type="dxa"/>
            <w:gridSpan w:val="3"/>
            <w:vAlign w:val="center"/>
          </w:tcPr>
          <w:p>
            <w:pPr>
              <w:pStyle w:val="15"/>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最终得分（合计）</w:t>
            </w:r>
          </w:p>
        </w:tc>
        <w:tc>
          <w:tcPr>
            <w:tcW w:w="0" w:type="auto"/>
            <w:vAlign w:val="center"/>
          </w:tcPr>
          <w:p>
            <w:pPr>
              <w:pStyle w:val="15"/>
              <w:jc w:val="center"/>
              <w:rPr>
                <w:rFonts w:hAnsi="宋体"/>
                <w:color w:val="000000" w:themeColor="text1"/>
                <w:highlight w:val="none"/>
                <w14:textFill>
                  <w14:solidFill>
                    <w14:schemeClr w14:val="tx1"/>
                  </w14:solidFill>
                </w14:textFill>
              </w:rPr>
            </w:pPr>
          </w:p>
        </w:tc>
      </w:tr>
    </w:tbl>
    <w:p>
      <w:pPr>
        <w:pStyle w:val="15"/>
        <w:rPr>
          <w:rFonts w:hAnsi="宋体"/>
          <w:color w:val="000000" w:themeColor="text1"/>
          <w:highlight w:val="none"/>
          <w14:textFill>
            <w14:solidFill>
              <w14:schemeClr w14:val="tx1"/>
            </w14:solidFill>
          </w14:textFill>
        </w:rPr>
      </w:pPr>
    </w:p>
    <w:p>
      <w:pPr>
        <w:spacing w:before="159"/>
        <w:ind w:right="-57" w:firstLine="0"/>
        <w:jc w:val="center"/>
        <w:rPr>
          <w:rFonts w:ascii="宋体" w:hAnsi="宋体"/>
          <w:b/>
          <w:color w:val="000000" w:themeColor="text1"/>
          <w:sz w:val="28"/>
          <w:szCs w:val="28"/>
          <w:highlight w:val="none"/>
          <w14:textFill>
            <w14:solidFill>
              <w14:schemeClr w14:val="tx1"/>
            </w14:solidFill>
          </w14:textFill>
        </w:rPr>
      </w:pPr>
    </w:p>
    <w:p>
      <w:pPr>
        <w:pStyle w:val="32"/>
        <w:ind w:firstLine="562"/>
        <w:rPr>
          <w:rFonts w:ascii="宋体" w:hAnsi="宋体"/>
          <w:b/>
          <w:color w:val="000000" w:themeColor="text1"/>
          <w:sz w:val="28"/>
          <w:szCs w:val="28"/>
          <w:highlight w:val="none"/>
          <w14:textFill>
            <w14:solidFill>
              <w14:schemeClr w14:val="tx1"/>
            </w14:solidFill>
          </w14:textFill>
        </w:rPr>
        <w:sectPr>
          <w:headerReference r:id="rId19" w:type="default"/>
          <w:pgSz w:w="11905" w:h="16838"/>
          <w:pgMar w:top="1417" w:right="1417" w:bottom="1417" w:left="1417" w:header="454" w:footer="567" w:gutter="0"/>
          <w:cols w:space="720" w:num="1"/>
          <w:docGrid w:linePitch="319" w:charSpace="0"/>
        </w:sectPr>
      </w:pPr>
    </w:p>
    <w:p>
      <w:pPr>
        <w:pStyle w:val="33"/>
      </w:pPr>
    </w:p>
    <w:p>
      <w:pPr>
        <w:pStyle w:val="32"/>
        <w:ind w:firstLine="562"/>
        <w:rPr>
          <w:rFonts w:ascii="宋体" w:hAnsi="宋体"/>
          <w:b/>
          <w:color w:val="000000" w:themeColor="text1"/>
          <w:sz w:val="28"/>
          <w:szCs w:val="28"/>
          <w:highlight w:val="none"/>
          <w14:textFill>
            <w14:solidFill>
              <w14:schemeClr w14:val="tx1"/>
            </w14:solidFill>
          </w14:textFill>
        </w:rPr>
      </w:pPr>
    </w:p>
    <w:p>
      <w:pPr>
        <w:spacing w:before="159"/>
        <w:ind w:right="-57" w:firstLine="0"/>
        <w:jc w:val="center"/>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附表：比选申请报价修正表</w:t>
      </w:r>
    </w:p>
    <w:tbl>
      <w:tblPr>
        <w:tblStyle w:val="35"/>
        <w:tblW w:w="138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45"/>
        <w:gridCol w:w="3474"/>
        <w:gridCol w:w="3872"/>
        <w:gridCol w:w="43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bottom w:val="single" w:color="auto" w:sz="4" w:space="0"/>
              <w:right w:val="single" w:color="auto" w:sz="4" w:space="0"/>
            </w:tcBorders>
            <w:vAlign w:val="center"/>
          </w:tcPr>
          <w:p>
            <w:pPr>
              <w:spacing w:before="0" w:line="240" w:lineRule="auto"/>
              <w:ind w:right="0" w:firstLine="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编号</w:t>
            </w:r>
          </w:p>
        </w:tc>
        <w:tc>
          <w:tcPr>
            <w:tcW w:w="3474" w:type="dxa"/>
            <w:tcBorders>
              <w:left w:val="single" w:color="auto" w:sz="4" w:space="0"/>
              <w:bottom w:val="single" w:color="auto" w:sz="4" w:space="0"/>
              <w:right w:val="single" w:color="auto" w:sz="4" w:space="0"/>
            </w:tcBorders>
            <w:vAlign w:val="center"/>
          </w:tcPr>
          <w:p>
            <w:pPr>
              <w:spacing w:before="0" w:line="240" w:lineRule="auto"/>
              <w:ind w:right="0" w:firstLine="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修正项目</w:t>
            </w:r>
          </w:p>
        </w:tc>
        <w:tc>
          <w:tcPr>
            <w:tcW w:w="3872" w:type="dxa"/>
            <w:tcBorders>
              <w:left w:val="single" w:color="auto" w:sz="4" w:space="0"/>
              <w:bottom w:val="single" w:color="auto" w:sz="4" w:space="0"/>
              <w:right w:val="single" w:color="auto" w:sz="4" w:space="0"/>
            </w:tcBorders>
            <w:vAlign w:val="center"/>
          </w:tcPr>
          <w:p>
            <w:pPr>
              <w:spacing w:before="0" w:line="240" w:lineRule="auto"/>
              <w:ind w:right="0" w:firstLine="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修正前比选申请报价</w:t>
            </w:r>
          </w:p>
        </w:tc>
        <w:tc>
          <w:tcPr>
            <w:tcW w:w="4389" w:type="dxa"/>
            <w:tcBorders>
              <w:top w:val="single" w:color="auto" w:sz="4" w:space="0"/>
              <w:left w:val="single" w:color="auto" w:sz="4" w:space="0"/>
              <w:bottom w:val="single" w:color="auto" w:sz="4" w:space="0"/>
              <w:right w:val="single" w:color="auto" w:sz="4" w:space="0"/>
            </w:tcBorders>
            <w:vAlign w:val="center"/>
          </w:tcPr>
          <w:p>
            <w:pPr>
              <w:spacing w:before="0" w:line="240" w:lineRule="auto"/>
              <w:ind w:right="0" w:firstLine="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修正后比选申请报价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firstLine="0"/>
              <w:jc w:val="center"/>
              <w:rPr>
                <w:rFonts w:ascii="宋体" w:hAnsi="宋体"/>
                <w:color w:val="000000" w:themeColor="text1"/>
                <w:highlight w:val="none"/>
                <w14:textFill>
                  <w14:solidFill>
                    <w14:schemeClr w14:val="tx1"/>
                  </w14:solidFill>
                </w14:textFill>
              </w:rPr>
            </w:pPr>
          </w:p>
        </w:tc>
        <w:tc>
          <w:tcPr>
            <w:tcW w:w="3474" w:type="dxa"/>
            <w:tcBorders>
              <w:left w:val="single" w:color="auto" w:sz="4" w:space="0"/>
              <w:right w:val="single" w:color="auto" w:sz="4" w:space="0"/>
            </w:tcBorders>
            <w:vAlign w:val="center"/>
          </w:tcPr>
          <w:p>
            <w:pPr>
              <w:spacing w:before="0" w:line="240" w:lineRule="auto"/>
              <w:ind w:right="0" w:firstLine="0"/>
              <w:jc w:val="left"/>
              <w:rPr>
                <w:rFonts w:ascii="宋体" w:hAnsi="宋体" w:cs="宋体"/>
                <w:color w:val="000000" w:themeColor="text1"/>
                <w:highlight w:val="none"/>
                <w14:textFill>
                  <w14:solidFill>
                    <w14:schemeClr w14:val="tx1"/>
                  </w14:solidFill>
                </w14:textFill>
              </w:rPr>
            </w:pPr>
          </w:p>
        </w:tc>
        <w:tc>
          <w:tcPr>
            <w:tcW w:w="3872" w:type="dxa"/>
            <w:tcBorders>
              <w:left w:val="single" w:color="auto" w:sz="4" w:space="0"/>
              <w:right w:val="single" w:color="auto" w:sz="4" w:space="0"/>
            </w:tcBorders>
            <w:vAlign w:val="center"/>
          </w:tcPr>
          <w:p>
            <w:pPr>
              <w:spacing w:before="0" w:line="240" w:lineRule="auto"/>
              <w:ind w:right="0" w:firstLine="0"/>
              <w:jc w:val="center"/>
              <w:rPr>
                <w:rFonts w:ascii="宋体" w:hAnsi="宋体" w:cs="宋体"/>
                <w:color w:val="000000" w:themeColor="text1"/>
                <w:highlight w:val="none"/>
                <w14:textFill>
                  <w14:solidFill>
                    <w14:schemeClr w14:val="tx1"/>
                  </w14:solidFill>
                </w14:textFill>
              </w:rPr>
            </w:pPr>
          </w:p>
        </w:tc>
        <w:tc>
          <w:tcPr>
            <w:tcW w:w="4389" w:type="dxa"/>
            <w:tcBorders>
              <w:top w:val="single" w:color="auto" w:sz="4" w:space="0"/>
              <w:left w:val="single" w:color="auto" w:sz="4" w:space="0"/>
              <w:bottom w:val="single" w:color="auto" w:sz="4" w:space="0"/>
              <w:right w:val="single" w:color="auto" w:sz="4" w:space="0"/>
            </w:tcBorders>
            <w:vAlign w:val="center"/>
          </w:tcPr>
          <w:p>
            <w:pPr>
              <w:spacing w:before="0" w:line="240" w:lineRule="auto"/>
              <w:ind w:right="0" w:firstLine="0"/>
              <w:rPr>
                <w:rFonts w:ascii="宋体" w:hAnsi="宋体"/>
                <w:color w:val="000000" w:themeColor="text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firstLine="0"/>
              <w:jc w:val="center"/>
              <w:rPr>
                <w:rFonts w:ascii="宋体" w:hAnsi="宋体"/>
                <w:color w:val="000000" w:themeColor="text1"/>
                <w:highlight w:val="none"/>
                <w14:textFill>
                  <w14:solidFill>
                    <w14:schemeClr w14:val="tx1"/>
                  </w14:solidFill>
                </w14:textFill>
              </w:rPr>
            </w:pPr>
          </w:p>
        </w:tc>
        <w:tc>
          <w:tcPr>
            <w:tcW w:w="3474" w:type="dxa"/>
            <w:tcBorders>
              <w:left w:val="single" w:color="auto" w:sz="4" w:space="0"/>
              <w:right w:val="single" w:color="auto" w:sz="4" w:space="0"/>
            </w:tcBorders>
            <w:vAlign w:val="center"/>
          </w:tcPr>
          <w:p>
            <w:pPr>
              <w:spacing w:before="0" w:line="240" w:lineRule="auto"/>
              <w:ind w:right="0" w:firstLine="0"/>
              <w:jc w:val="center"/>
              <w:rPr>
                <w:rFonts w:ascii="宋体" w:hAnsi="宋体"/>
                <w:color w:val="000000" w:themeColor="text1"/>
                <w:highlight w:val="none"/>
                <w14:textFill>
                  <w14:solidFill>
                    <w14:schemeClr w14:val="tx1"/>
                  </w14:solidFill>
                </w14:textFill>
              </w:rPr>
            </w:pPr>
          </w:p>
        </w:tc>
        <w:tc>
          <w:tcPr>
            <w:tcW w:w="3872" w:type="dxa"/>
            <w:tcBorders>
              <w:left w:val="single" w:color="auto" w:sz="4" w:space="0"/>
              <w:right w:val="single" w:color="auto" w:sz="4" w:space="0"/>
            </w:tcBorders>
            <w:vAlign w:val="center"/>
          </w:tcPr>
          <w:p>
            <w:pPr>
              <w:spacing w:before="0" w:line="240" w:lineRule="auto"/>
              <w:ind w:right="0" w:firstLine="0"/>
              <w:jc w:val="left"/>
              <w:rPr>
                <w:rFonts w:ascii="宋体" w:hAnsi="宋体"/>
                <w:b/>
                <w:color w:val="000000" w:themeColor="text1"/>
                <w:sz w:val="24"/>
                <w:szCs w:val="24"/>
                <w:highlight w:val="none"/>
                <w14:textFill>
                  <w14:solidFill>
                    <w14:schemeClr w14:val="tx1"/>
                  </w14:solidFill>
                </w14:textFill>
              </w:rPr>
            </w:pPr>
          </w:p>
        </w:tc>
        <w:tc>
          <w:tcPr>
            <w:tcW w:w="4389" w:type="dxa"/>
            <w:tcBorders>
              <w:top w:val="single" w:color="auto" w:sz="4" w:space="0"/>
              <w:left w:val="single" w:color="auto" w:sz="4" w:space="0"/>
              <w:bottom w:val="single" w:color="auto" w:sz="4" w:space="0"/>
              <w:right w:val="single" w:color="auto" w:sz="4" w:space="0"/>
            </w:tcBorders>
            <w:vAlign w:val="center"/>
          </w:tcPr>
          <w:p>
            <w:pPr>
              <w:spacing w:before="0" w:line="240" w:lineRule="auto"/>
              <w:ind w:right="0" w:firstLine="0"/>
              <w:jc w:val="left"/>
              <w:rPr>
                <w:rFonts w:ascii="宋体" w:hAnsi="宋体" w:cs="宋体"/>
                <w:b/>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jc w:val="left"/>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修正前比选申请报价总价：</w:t>
            </w:r>
          </w:p>
        </w:tc>
        <w:tc>
          <w:tcPr>
            <w:tcW w:w="11735" w:type="dxa"/>
            <w:gridSpan w:val="3"/>
            <w:tcBorders>
              <w:left w:val="single" w:color="auto" w:sz="4" w:space="0"/>
              <w:right w:val="single" w:color="auto" w:sz="4" w:space="0"/>
            </w:tcBorders>
            <w:vAlign w:val="center"/>
          </w:tcPr>
          <w:p>
            <w:pPr>
              <w:spacing w:before="0" w:line="240" w:lineRule="auto"/>
              <w:ind w:right="0" w:firstLine="0"/>
              <w:rPr>
                <w:rFonts w:ascii="宋体" w:hAnsi="宋体" w:cs="宋体"/>
                <w:b/>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修正后比选申请报价总价：</w:t>
            </w:r>
          </w:p>
        </w:tc>
        <w:tc>
          <w:tcPr>
            <w:tcW w:w="11735" w:type="dxa"/>
            <w:gridSpan w:val="3"/>
            <w:tcBorders>
              <w:left w:val="single" w:color="auto" w:sz="4" w:space="0"/>
              <w:right w:val="single" w:color="auto" w:sz="4" w:space="0"/>
            </w:tcBorders>
            <w:vAlign w:val="center"/>
          </w:tcPr>
          <w:p>
            <w:pPr>
              <w:spacing w:before="0" w:line="240" w:lineRule="auto"/>
              <w:ind w:right="0" w:firstLine="0"/>
              <w:rPr>
                <w:rFonts w:ascii="宋体" w:hAnsi="宋体" w:cs="宋体"/>
                <w:b/>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比选申请人名称</w:t>
            </w:r>
          </w:p>
        </w:tc>
        <w:tc>
          <w:tcPr>
            <w:tcW w:w="11735" w:type="dxa"/>
            <w:gridSpan w:val="3"/>
            <w:tcBorders>
              <w:left w:val="single" w:color="auto" w:sz="4" w:space="0"/>
              <w:right w:val="single" w:color="auto" w:sz="4" w:space="0"/>
            </w:tcBorders>
            <w:vAlign w:val="center"/>
          </w:tcPr>
          <w:p>
            <w:pPr>
              <w:spacing w:before="0" w:line="240" w:lineRule="auto"/>
              <w:ind w:right="0" w:firstLine="0"/>
              <w:rPr>
                <w:rFonts w:ascii="宋体" w:hAnsi="宋体" w:cs="宋体"/>
                <w:b/>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比选申请人声明</w:t>
            </w:r>
          </w:p>
        </w:tc>
        <w:tc>
          <w:tcPr>
            <w:tcW w:w="11735" w:type="dxa"/>
            <w:gridSpan w:val="3"/>
            <w:tcBorders>
              <w:left w:val="single" w:color="auto" w:sz="4" w:space="0"/>
              <w:right w:val="single" w:color="auto" w:sz="4" w:space="0"/>
            </w:tcBorders>
            <w:vAlign w:val="center"/>
          </w:tcPr>
          <w:p>
            <w:pPr>
              <w:spacing w:before="0" w:line="240" w:lineRule="auto"/>
              <w:ind w:right="0" w:firstLine="0"/>
              <w:rPr>
                <w:rFonts w:ascii="宋体" w:hAnsi="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我单位（</w:t>
            </w:r>
            <w:r>
              <w:rPr>
                <w:rFonts w:ascii="宋体" w:hAnsi="宋体"/>
                <w:b/>
                <w:color w:val="000000" w:themeColor="text1"/>
                <w:sz w:val="44"/>
                <w:szCs w:val="44"/>
                <w:highlight w:val="none"/>
                <w14:textFill>
                  <w14:solidFill>
                    <w14:schemeClr w14:val="tx1"/>
                  </w14:solidFill>
                </w14:textFill>
              </w:rPr>
              <w:t>□</w:t>
            </w:r>
            <w:r>
              <w:rPr>
                <w:rFonts w:hint="eastAsia" w:ascii="宋体" w:hAnsi="宋体" w:cs="宋体"/>
                <w:b/>
                <w:color w:val="000000" w:themeColor="text1"/>
                <w:sz w:val="24"/>
                <w:szCs w:val="24"/>
                <w:highlight w:val="none"/>
                <w14:textFill>
                  <w14:solidFill>
                    <w14:schemeClr w14:val="tx1"/>
                  </w14:solidFill>
                </w14:textFill>
              </w:rPr>
              <w:t>接受</w:t>
            </w:r>
            <w:r>
              <w:rPr>
                <w:rFonts w:ascii="宋体" w:hAnsi="宋体"/>
                <w:b/>
                <w:color w:val="000000" w:themeColor="text1"/>
                <w:sz w:val="44"/>
                <w:szCs w:val="44"/>
                <w:highlight w:val="none"/>
                <w14:textFill>
                  <w14:solidFill>
                    <w14:schemeClr w14:val="tx1"/>
                  </w14:solidFill>
                </w14:textFill>
              </w:rPr>
              <w:t>□</w:t>
            </w:r>
            <w:r>
              <w:rPr>
                <w:rFonts w:ascii="宋体" w:hAnsi="宋体"/>
                <w:b/>
                <w:color w:val="000000" w:themeColor="text1"/>
                <w:sz w:val="24"/>
                <w:szCs w:val="24"/>
                <w:highlight w:val="none"/>
                <w14:textFill>
                  <w14:solidFill>
                    <w14:schemeClr w14:val="tx1"/>
                  </w14:solidFill>
                </w14:textFill>
              </w:rPr>
              <w:t>不接受</w:t>
            </w:r>
            <w:r>
              <w:rPr>
                <w:rFonts w:hint="eastAsia" w:ascii="宋体" w:hAnsi="宋体"/>
                <w:b/>
                <w:color w:val="000000" w:themeColor="text1"/>
                <w:sz w:val="24"/>
                <w:szCs w:val="24"/>
                <w:highlight w:val="none"/>
                <w14:textFill>
                  <w14:solidFill>
                    <w14:schemeClr w14:val="tx1"/>
                  </w14:solidFill>
                </w14:textFill>
              </w:rPr>
              <w:t>）本评审办法第3.3款价格评审确定的评审总价和中选价。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比选申请人代表签字</w:t>
            </w:r>
          </w:p>
        </w:tc>
        <w:tc>
          <w:tcPr>
            <w:tcW w:w="11735" w:type="dxa"/>
            <w:gridSpan w:val="3"/>
            <w:tcBorders>
              <w:left w:val="single" w:color="auto" w:sz="4" w:space="0"/>
              <w:right w:val="single" w:color="auto" w:sz="4" w:space="0"/>
            </w:tcBorders>
            <w:vAlign w:val="center"/>
          </w:tcPr>
          <w:p>
            <w:pPr>
              <w:spacing w:before="0" w:line="240" w:lineRule="auto"/>
              <w:ind w:right="0" w:firstLine="0"/>
              <w:rPr>
                <w:rFonts w:ascii="宋体" w:hAnsi="宋体" w:cs="宋体"/>
                <w:b/>
                <w:color w:val="000000" w:themeColor="text1"/>
                <w:sz w:val="24"/>
                <w:szCs w:val="24"/>
                <w:highlight w:val="none"/>
                <w14:textFill>
                  <w14:solidFill>
                    <w14:schemeClr w14:val="tx1"/>
                  </w14:solidFill>
                </w14:textFill>
              </w:rPr>
            </w:pPr>
          </w:p>
          <w:p>
            <w:pPr>
              <w:spacing w:before="0" w:line="240" w:lineRule="auto"/>
              <w:ind w:right="0" w:firstLine="0"/>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 xml:space="preserve">                                                                     日期：    年  月   日</w:t>
            </w:r>
          </w:p>
        </w:tc>
      </w:tr>
    </w:tbl>
    <w:p>
      <w:pPr>
        <w:spacing w:before="0" w:after="0"/>
        <w:ind w:left="420" w:right="0" w:firstLine="0"/>
        <w:jc w:val="left"/>
        <w:rPr>
          <w:rFonts w:ascii="宋体" w:hAnsi="宋体"/>
          <w:color w:val="000000" w:themeColor="text1"/>
          <w:highlight w:val="none"/>
          <w14:textFill>
            <w14:solidFill>
              <w14:schemeClr w14:val="tx1"/>
            </w14:solidFill>
          </w14:textFill>
        </w:rPr>
      </w:pPr>
    </w:p>
    <w:sectPr>
      <w:pgSz w:w="16838" w:h="11905" w:orient="landscape"/>
      <w:pgMar w:top="1417" w:right="1417" w:bottom="1417" w:left="1417" w:header="454" w:footer="567" w:gutter="0"/>
      <w:cols w:space="720" w:num="1"/>
      <w:docGrid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Consolas">
    <w:panose1 w:val="020B0609020204030204"/>
    <w:charset w:val="00"/>
    <w:family w:val="modern"/>
    <w:pitch w:val="default"/>
    <w:sig w:usb0="E00006FF" w:usb1="0000FCFF" w:usb2="00000001" w:usb3="00000000" w:csb0="6000019F" w:csb1="DFD7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clear" w:pos="4153"/>
      </w:tabs>
      <w:jc w:val="cen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58471"/>
    </w:sdtPr>
    <w:sdtContent>
      <w:p>
        <w:pPr>
          <w:pStyle w:val="19"/>
          <w:jc w:val="center"/>
        </w:pPr>
        <w:r>
          <w:fldChar w:fldCharType="begin"/>
        </w:r>
        <w:r>
          <w:instrText xml:space="preserve">PAGE   \* MERGEFORMAT</w:instrText>
        </w:r>
        <w:r>
          <w:fldChar w:fldCharType="separate"/>
        </w:r>
        <w:r>
          <w:rPr>
            <w:lang w:val="zh-CN"/>
          </w:rPr>
          <w:t>22</w:t>
        </w:r>
        <w:r>
          <w:rPr>
            <w:lang w:val="zh-CN"/>
          </w:rPr>
          <w:fldChar w:fldCharType="end"/>
        </w:r>
      </w:p>
    </w:sdtContent>
  </w:sdt>
  <w:p>
    <w:pPr>
      <w:pStyle w:val="20"/>
      <w:pBdr>
        <w:bottom w:val="none" w:color="auto" w:sz="0" w:space="0"/>
      </w:pBdr>
      <w:tabs>
        <w:tab w:val="right" w:pos="8728"/>
        <w:tab w:val="clear" w:pos="4153"/>
        <w:tab w:val="clear" w:pos="8306"/>
      </w:tabs>
      <w:ind w:left="0" w:right="343" w:firstLine="0"/>
      <w:jc w:val="both"/>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0"/>
      <w:ind w:right="-57" w:firstLine="0"/>
      <w:jc w:val="cente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2" name="文本框 6"/>
              <wp:cNvGraphicFramePr/>
              <a:graphic xmlns:a="http://schemas.openxmlformats.org/drawingml/2006/main">
                <a:graphicData uri="http://schemas.microsoft.com/office/word/2010/wordprocessingShape">
                  <wps:wsp>
                    <wps:cNvSpPr txBox="1"/>
                    <wps:spPr>
                      <a:xfrm>
                        <a:off x="0" y="0"/>
                        <a:ext cx="1829435" cy="387350"/>
                      </a:xfrm>
                      <a:prstGeom prst="rect">
                        <a:avLst/>
                      </a:prstGeom>
                      <a:noFill/>
                      <a:ln w="6350" cap="flat">
                        <a:noFill/>
                      </a:ln>
                      <a:effectLst/>
                    </wps:spPr>
                    <wps:txbx>
                      <w:txbxContent>
                        <w:p>
                          <w:r>
                            <w:fldChar w:fldCharType="begin"/>
                          </w:r>
                          <w:r>
                            <w:instrText xml:space="preserve">PAGE  \* MERGEFORMAT</w:instrText>
                          </w:r>
                          <w:r>
                            <w:fldChar w:fldCharType="separate"/>
                          </w:r>
                          <w:r>
                            <w:t>101</w:t>
                          </w:r>
                          <w:r>
                            <w:fldChar w:fldCharType="end"/>
                          </w:r>
                        </w:p>
                      </w:txbxContent>
                    </wps:txbx>
                    <wps:bodyPr rot="0" spcFirstLastPara="0" vertOverflow="overflow" horzOverflow="overflow" vert="horz" wrap="none" lIns="0" tIns="0" rIns="0" bIns="0" numCol="1" spcCol="0" rtlCol="0" fromWordArt="0" anchor="t" anchorCtr="0" forceAA="0" compatLnSpc="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NJWO7QAAAABQEAAA8AAAAAAAAAAQAgAAAAIgAAAGRycy9kb3ducmV2&#10;LnhtbFBLAQIUABQAAAAIAIdO4kA/vF3EPQIAAG8EAAAOAAAAAAAAAAEAIAAAAB8BAABkcnMvZTJv&#10;RG9jLnhtbFBLBQYAAAAABgAGAFkBAADOBQAAAAA=&#10;">
              <v:fill on="f" focussize="0,0"/>
              <v:stroke on="f" weight="0.5pt"/>
              <v:imagedata o:title=""/>
              <o:lock v:ext="edit" aspectratio="f"/>
              <v:textbox inset="0mm,0mm,0mm,0mm" style="mso-fit-shape-to-text:t;">
                <w:txbxContent>
                  <w:p>
                    <w:r>
                      <w:fldChar w:fldCharType="begin"/>
                    </w:r>
                    <w:r>
                      <w:instrText xml:space="preserve">PAGE  \* MERGEFORMAT</w:instrText>
                    </w:r>
                    <w:r>
                      <w:fldChar w:fldCharType="separate"/>
                    </w:r>
                    <w:r>
                      <w:t>101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w:fldChar w:fldCharType="begin"/>
    </w:r>
    <w:r>
      <w:instrText xml:space="preserve">PAGE   \* MERGEFORMAT</w:instrText>
    </w:r>
    <w:r>
      <w:fldChar w:fldCharType="separate"/>
    </w:r>
    <w:r>
      <w:rPr>
        <w:lang w:val="zh-CN"/>
      </w:rPr>
      <w:t>2</w:t>
    </w:r>
    <w:r>
      <w:rPr>
        <w:lang w:val="zh-CN"/>
      </w:rPr>
      <w:fldChar w:fldCharType="end"/>
    </w:r>
  </w:p>
  <w:p>
    <w:pPr>
      <w:pStyle w:val="20"/>
      <w:pBdr>
        <w:bottom w:val="none" w:color="auto" w:sz="0" w:space="0"/>
      </w:pBdr>
      <w:tabs>
        <w:tab w:val="right" w:pos="8728"/>
        <w:tab w:val="clear" w:pos="4153"/>
        <w:tab w:val="clear" w:pos="8306"/>
      </w:tabs>
      <w:ind w:left="0" w:right="343" w:firstLine="0"/>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225"/>
      <w:rPr>
        <w:rFonts w:ascii="Calibri" w:hAnsi="Calibri" w:eastAsia="Calibri" w:cs="Calibri"/>
        <w:sz w:val="18"/>
        <w:szCs w:val="18"/>
      </w:rPr>
    </w:pPr>
    <w:r>
      <w:rPr>
        <w:rFonts w:ascii="Calibri" w:hAnsi="Calibri" w:eastAsia="Calibri" w:cs="Calibri"/>
        <w:spacing w:val="-4"/>
        <w:sz w:val="18"/>
        <w:szCs w:val="18"/>
      </w:rPr>
      <w:t>100</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225"/>
      <w:rPr>
        <w:rFonts w:ascii="Calibri" w:hAnsi="Calibri" w:eastAsia="Calibri" w:cs="Calibri"/>
        <w:sz w:val="18"/>
        <w:szCs w:val="18"/>
      </w:rPr>
    </w:pPr>
    <w:r>
      <w:rPr>
        <w:rFonts w:ascii="Calibri" w:hAnsi="Calibri" w:eastAsia="Calibri" w:cs="Calibri"/>
        <w:spacing w:val="-4"/>
        <w:sz w:val="18"/>
        <w:szCs w:val="18"/>
      </w:rPr>
      <w:t>101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225"/>
      <w:rPr>
        <w:rFonts w:ascii="Calibri" w:hAnsi="Calibri" w:eastAsia="Calibri" w:cs="Calibri"/>
        <w:sz w:val="18"/>
        <w:szCs w:val="18"/>
      </w:rPr>
    </w:pPr>
    <w:r>
      <w:rPr>
        <w:rFonts w:ascii="Calibri" w:hAnsi="Calibri" w:eastAsia="Calibri" w:cs="Calibri"/>
        <w:spacing w:val="-6"/>
        <w:sz w:val="18"/>
        <w:szCs w:val="18"/>
      </w:rPr>
      <w:t>102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225"/>
      <w:rPr>
        <w:rFonts w:ascii="Calibri" w:hAnsi="Calibri" w:eastAsia="Calibri" w:cs="Calibri"/>
        <w:sz w:val="18"/>
        <w:szCs w:val="18"/>
      </w:rPr>
    </w:pPr>
    <w:r>
      <w:rPr>
        <w:rFonts w:ascii="Calibri" w:hAnsi="Calibri" w:eastAsia="Calibri" w:cs="Calibri"/>
        <w:spacing w:val="-4"/>
        <w:sz w:val="18"/>
        <w:szCs w:val="18"/>
      </w:rPr>
      <w:t>105</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225"/>
      <w:rPr>
        <w:rFonts w:ascii="Calibri" w:hAnsi="Calibri" w:eastAsia="Calibri" w:cs="Calibri"/>
        <w:sz w:val="18"/>
        <w:szCs w:val="18"/>
      </w:rPr>
    </w:pPr>
    <w:r>
      <w:rPr>
        <w:rFonts w:ascii="Calibri" w:hAnsi="Calibri" w:eastAsia="Calibri" w:cs="Calibri"/>
        <w:spacing w:val="-4"/>
        <w:sz w:val="18"/>
        <w:szCs w:val="18"/>
      </w:rPr>
      <w:t>110</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6" w:lineRule="auto"/>
      <w:ind w:left="4441"/>
      <w:rPr>
        <w:rFonts w:ascii="Calibri" w:hAnsi="Calibri" w:eastAsia="Calibri" w:cs="Calibri"/>
        <w:sz w:val="18"/>
        <w:szCs w:val="18"/>
      </w:rPr>
    </w:pPr>
    <w:r>
      <w:rPr>
        <w:rFonts w:ascii="Calibri" w:hAnsi="Calibri" w:eastAsia="Calibri" w:cs="Calibri"/>
        <w:spacing w:val="-4"/>
        <w:sz w:val="18"/>
        <w:szCs w:val="18"/>
      </w:rPr>
      <w:t>111</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441"/>
      <w:rPr>
        <w:rFonts w:ascii="Calibri" w:hAnsi="Calibri" w:eastAsia="Calibri" w:cs="Calibri"/>
        <w:sz w:val="18"/>
        <w:szCs w:val="18"/>
      </w:rPr>
    </w:pPr>
    <w:r>
      <w:rPr>
        <w:rFonts w:ascii="Calibri" w:hAnsi="Calibri" w:eastAsia="Calibri" w:cs="Calibri"/>
        <w:spacing w:val="-4"/>
        <w:sz w:val="18"/>
        <w:szCs w:val="18"/>
      </w:rPr>
      <w:t>112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tabs>
        <w:tab w:val="left" w:pos="2847"/>
        <w:tab w:val="left" w:pos="3510"/>
        <w:tab w:val="left" w:pos="4002"/>
        <w:tab w:val="clear" w:pos="4153"/>
        <w:tab w:val="clear" w:pos="8306"/>
      </w:tabs>
      <w:jc w:val="both"/>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spacing w:before="0"/>
      <w:ind w:right="-57" w:firstLine="0"/>
      <w:jc w:val="both"/>
      <w:rPr>
        <w:rFonts w:ascii="宋体" w:hAnsi="宋体"/>
        <w:color w:val="000000"/>
        <w:sz w:val="15"/>
        <w:szCs w:val="15"/>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before="0"/>
      <w:ind w:right="-57" w:firstLine="0"/>
      <w:jc w:val="both"/>
      <w:rPr>
        <w:rFonts w:ascii="宋体" w:hAnsi="宋体"/>
        <w:color w:val="000000"/>
        <w:sz w:val="15"/>
        <w:szCs w:val="15"/>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ind w:right="-57"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15546"/>
    <w:multiLevelType w:val="singleLevel"/>
    <w:tmpl w:val="8DD15546"/>
    <w:lvl w:ilvl="0" w:tentative="0">
      <w:start w:val="1"/>
      <w:numFmt w:val="decimal"/>
      <w:suff w:val="nothing"/>
      <w:lvlText w:val="（%1）"/>
      <w:lvlJc w:val="left"/>
    </w:lvl>
  </w:abstractNum>
  <w:abstractNum w:abstractNumId="1">
    <w:nsid w:val="04684264"/>
    <w:multiLevelType w:val="multilevel"/>
    <w:tmpl w:val="04684264"/>
    <w:lvl w:ilvl="0" w:tentative="0">
      <w:start w:val="2"/>
      <w:numFmt w:val="japaneseCounting"/>
      <w:lvlText w:val="第%1条"/>
      <w:lvlJc w:val="left"/>
      <w:pPr>
        <w:tabs>
          <w:tab w:val="left" w:pos="1935"/>
        </w:tabs>
        <w:ind w:left="1935" w:hanging="1290"/>
      </w:pPr>
      <w:rPr>
        <w:rFonts w:hint="eastAsia"/>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2">
    <w:nsid w:val="20E229C9"/>
    <w:multiLevelType w:val="singleLevel"/>
    <w:tmpl w:val="20E229C9"/>
    <w:lvl w:ilvl="0" w:tentative="0">
      <w:start w:val="1"/>
      <w:numFmt w:val="decimal"/>
      <w:suff w:val="nothing"/>
      <w:lvlText w:val="%1、"/>
      <w:lvlJc w:val="left"/>
    </w:lvl>
  </w:abstractNum>
  <w:abstractNum w:abstractNumId="3">
    <w:nsid w:val="2F000001"/>
    <w:multiLevelType w:val="multilevel"/>
    <w:tmpl w:val="2F000001"/>
    <w:lvl w:ilvl="0" w:tentative="0">
      <w:start w:val="18"/>
      <w:numFmt w:val="decimal"/>
      <w:suff w:val="space"/>
      <w:lvlText w:val="%1."/>
      <w:lvlJc w:val="left"/>
    </w:lvl>
    <w:lvl w:ilvl="1" w:tentative="0">
      <w:start w:val="18"/>
      <w:numFmt w:val="decimal"/>
      <w:suff w:val="space"/>
      <w:lvlText w:val="%1."/>
      <w:lvlJc w:val="left"/>
    </w:lvl>
    <w:lvl w:ilvl="2" w:tentative="0">
      <w:start w:val="18"/>
      <w:numFmt w:val="decimal"/>
      <w:suff w:val="space"/>
      <w:lvlText w:val="%1."/>
      <w:lvlJc w:val="left"/>
    </w:lvl>
    <w:lvl w:ilvl="3" w:tentative="0">
      <w:start w:val="18"/>
      <w:numFmt w:val="decimal"/>
      <w:suff w:val="space"/>
      <w:lvlText w:val="%1."/>
      <w:lvlJc w:val="left"/>
    </w:lvl>
    <w:lvl w:ilvl="4" w:tentative="0">
      <w:start w:val="18"/>
      <w:numFmt w:val="decimal"/>
      <w:suff w:val="space"/>
      <w:lvlText w:val="%1."/>
      <w:lvlJc w:val="left"/>
    </w:lvl>
    <w:lvl w:ilvl="5" w:tentative="0">
      <w:start w:val="18"/>
      <w:numFmt w:val="decimal"/>
      <w:suff w:val="space"/>
      <w:lvlText w:val="%1."/>
      <w:lvlJc w:val="left"/>
    </w:lvl>
    <w:lvl w:ilvl="6" w:tentative="0">
      <w:start w:val="18"/>
      <w:numFmt w:val="decimal"/>
      <w:suff w:val="space"/>
      <w:lvlText w:val="%1."/>
      <w:lvlJc w:val="left"/>
    </w:lvl>
    <w:lvl w:ilvl="7" w:tentative="0">
      <w:start w:val="18"/>
      <w:numFmt w:val="decimal"/>
      <w:suff w:val="space"/>
      <w:lvlText w:val="%1."/>
      <w:lvlJc w:val="left"/>
    </w:lvl>
    <w:lvl w:ilvl="8" w:tentative="0">
      <w:start w:val="18"/>
      <w:numFmt w:val="decimal"/>
      <w:suff w:val="space"/>
      <w:lvlText w:val="%1."/>
      <w:lvlJc w:val="left"/>
    </w:lvl>
  </w:abstractNum>
  <w:abstractNum w:abstractNumId="4">
    <w:nsid w:val="2F000002"/>
    <w:multiLevelType w:val="multilevel"/>
    <w:tmpl w:val="2F000002"/>
    <w:lvl w:ilvl="0" w:tentative="0">
      <w:start w:val="13"/>
      <w:numFmt w:val="decimal"/>
      <w:suff w:val="space"/>
      <w:lvlText w:val="%1."/>
      <w:lvlJc w:val="left"/>
    </w:lvl>
    <w:lvl w:ilvl="1" w:tentative="0">
      <w:start w:val="13"/>
      <w:numFmt w:val="decimal"/>
      <w:suff w:val="space"/>
      <w:lvlText w:val="%1."/>
      <w:lvlJc w:val="left"/>
    </w:lvl>
    <w:lvl w:ilvl="2" w:tentative="0">
      <w:start w:val="13"/>
      <w:numFmt w:val="decimal"/>
      <w:suff w:val="space"/>
      <w:lvlText w:val="%1."/>
      <w:lvlJc w:val="left"/>
    </w:lvl>
    <w:lvl w:ilvl="3" w:tentative="0">
      <w:start w:val="13"/>
      <w:numFmt w:val="decimal"/>
      <w:suff w:val="space"/>
      <w:lvlText w:val="%1."/>
      <w:lvlJc w:val="left"/>
    </w:lvl>
    <w:lvl w:ilvl="4" w:tentative="0">
      <w:start w:val="13"/>
      <w:numFmt w:val="decimal"/>
      <w:suff w:val="space"/>
      <w:lvlText w:val="%1."/>
      <w:lvlJc w:val="left"/>
    </w:lvl>
    <w:lvl w:ilvl="5" w:tentative="0">
      <w:start w:val="13"/>
      <w:numFmt w:val="decimal"/>
      <w:suff w:val="space"/>
      <w:lvlText w:val="%1."/>
      <w:lvlJc w:val="left"/>
    </w:lvl>
    <w:lvl w:ilvl="6" w:tentative="0">
      <w:start w:val="13"/>
      <w:numFmt w:val="decimal"/>
      <w:suff w:val="space"/>
      <w:lvlText w:val="%1."/>
      <w:lvlJc w:val="left"/>
    </w:lvl>
    <w:lvl w:ilvl="7" w:tentative="0">
      <w:start w:val="13"/>
      <w:numFmt w:val="decimal"/>
      <w:suff w:val="space"/>
      <w:lvlText w:val="%1."/>
      <w:lvlJc w:val="left"/>
    </w:lvl>
    <w:lvl w:ilvl="8" w:tentative="0">
      <w:start w:val="13"/>
      <w:numFmt w:val="decimal"/>
      <w:suff w:val="space"/>
      <w:lvlText w:val="%1."/>
      <w:lvlJc w:val="left"/>
    </w:lvl>
  </w:abstractNum>
  <w:abstractNum w:abstractNumId="5">
    <w:nsid w:val="2F000011"/>
    <w:multiLevelType w:val="multilevel"/>
    <w:tmpl w:val="2F000011"/>
    <w:lvl w:ilvl="0" w:tentative="0">
      <w:start w:val="1"/>
      <w:numFmt w:val="chineseCountingThousand"/>
      <w:lvlText w:val="第%1章"/>
      <w:lvlJc w:val="left"/>
      <w:pPr>
        <w:tabs>
          <w:tab w:val="left" w:pos="1134"/>
        </w:tabs>
        <w:ind w:left="1134" w:hanging="1134"/>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6">
    <w:nsid w:val="2F000016"/>
    <w:multiLevelType w:val="multilevel"/>
    <w:tmpl w:val="2F000016"/>
    <w:lvl w:ilvl="0" w:tentative="0">
      <w:start w:val="8"/>
      <w:numFmt w:val="decimal"/>
      <w:lvlText w:val="%1"/>
      <w:lvlJc w:val="left"/>
      <w:pPr>
        <w:tabs>
          <w:tab w:val="left" w:pos="720"/>
        </w:tabs>
        <w:ind w:left="720" w:hanging="720"/>
      </w:pPr>
      <w:rPr>
        <w:rFonts w:hint="default"/>
      </w:rPr>
    </w:lvl>
    <w:lvl w:ilvl="1" w:tentative="0">
      <w:start w:val="1"/>
      <w:numFmt w:val="decimal"/>
      <w:lvlText w:val="A%2"/>
      <w:lvlJc w:val="left"/>
      <w:pPr>
        <w:tabs>
          <w:tab w:val="left" w:pos="567"/>
        </w:tabs>
        <w:ind w:left="567" w:hanging="567"/>
      </w:pPr>
      <w:rPr>
        <w:rFonts w:hint="eastAsia"/>
        <w:b/>
        <w:i w:val="0"/>
        <w:sz w:val="21"/>
        <w:szCs w:val="21"/>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7">
    <w:nsid w:val="2F000029"/>
    <w:multiLevelType w:val="multilevel"/>
    <w:tmpl w:val="2F000029"/>
    <w:lvl w:ilvl="0" w:tentative="0">
      <w:start w:val="34"/>
      <w:numFmt w:val="decimal"/>
      <w:suff w:val="space"/>
      <w:lvlText w:val="%1."/>
      <w:lvlJc w:val="left"/>
    </w:lvl>
    <w:lvl w:ilvl="1" w:tentative="0">
      <w:start w:val="34"/>
      <w:numFmt w:val="decimal"/>
      <w:suff w:val="space"/>
      <w:lvlText w:val="%1."/>
      <w:lvlJc w:val="left"/>
    </w:lvl>
    <w:lvl w:ilvl="2" w:tentative="0">
      <w:start w:val="34"/>
      <w:numFmt w:val="decimal"/>
      <w:suff w:val="space"/>
      <w:lvlText w:val="%1."/>
      <w:lvlJc w:val="left"/>
    </w:lvl>
    <w:lvl w:ilvl="3" w:tentative="0">
      <w:start w:val="34"/>
      <w:numFmt w:val="decimal"/>
      <w:suff w:val="space"/>
      <w:lvlText w:val="%1."/>
      <w:lvlJc w:val="left"/>
    </w:lvl>
    <w:lvl w:ilvl="4" w:tentative="0">
      <w:start w:val="34"/>
      <w:numFmt w:val="decimal"/>
      <w:suff w:val="space"/>
      <w:lvlText w:val="%1."/>
      <w:lvlJc w:val="left"/>
    </w:lvl>
    <w:lvl w:ilvl="5" w:tentative="0">
      <w:start w:val="34"/>
      <w:numFmt w:val="decimal"/>
      <w:suff w:val="space"/>
      <w:lvlText w:val="%1."/>
      <w:lvlJc w:val="left"/>
    </w:lvl>
    <w:lvl w:ilvl="6" w:tentative="0">
      <w:start w:val="34"/>
      <w:numFmt w:val="decimal"/>
      <w:suff w:val="space"/>
      <w:lvlText w:val="%1."/>
      <w:lvlJc w:val="left"/>
    </w:lvl>
    <w:lvl w:ilvl="7" w:tentative="0">
      <w:start w:val="34"/>
      <w:numFmt w:val="decimal"/>
      <w:suff w:val="space"/>
      <w:lvlText w:val="%1."/>
      <w:lvlJc w:val="left"/>
    </w:lvl>
    <w:lvl w:ilvl="8" w:tentative="0">
      <w:start w:val="34"/>
      <w:numFmt w:val="decimal"/>
      <w:suff w:val="space"/>
      <w:lvlText w:val="%1."/>
      <w:lvlJc w:val="left"/>
    </w:lvl>
  </w:abstractNum>
  <w:abstractNum w:abstractNumId="8">
    <w:nsid w:val="2F00003B"/>
    <w:multiLevelType w:val="multilevel"/>
    <w:tmpl w:val="2F00003B"/>
    <w:lvl w:ilvl="0" w:tentative="0">
      <w:start w:val="23"/>
      <w:numFmt w:val="decimal"/>
      <w:suff w:val="space"/>
      <w:lvlText w:val="%1."/>
      <w:lvlJc w:val="left"/>
    </w:lvl>
    <w:lvl w:ilvl="1" w:tentative="0">
      <w:start w:val="23"/>
      <w:numFmt w:val="decimal"/>
      <w:suff w:val="space"/>
      <w:lvlText w:val="%1."/>
      <w:lvlJc w:val="left"/>
    </w:lvl>
    <w:lvl w:ilvl="2" w:tentative="0">
      <w:start w:val="23"/>
      <w:numFmt w:val="decimal"/>
      <w:suff w:val="space"/>
      <w:lvlText w:val="%1."/>
      <w:lvlJc w:val="left"/>
    </w:lvl>
    <w:lvl w:ilvl="3" w:tentative="0">
      <w:start w:val="23"/>
      <w:numFmt w:val="decimal"/>
      <w:suff w:val="space"/>
      <w:lvlText w:val="%1."/>
      <w:lvlJc w:val="left"/>
    </w:lvl>
    <w:lvl w:ilvl="4" w:tentative="0">
      <w:start w:val="23"/>
      <w:numFmt w:val="decimal"/>
      <w:suff w:val="space"/>
      <w:lvlText w:val="%1."/>
      <w:lvlJc w:val="left"/>
    </w:lvl>
    <w:lvl w:ilvl="5" w:tentative="0">
      <w:start w:val="23"/>
      <w:numFmt w:val="decimal"/>
      <w:suff w:val="space"/>
      <w:lvlText w:val="%1."/>
      <w:lvlJc w:val="left"/>
    </w:lvl>
    <w:lvl w:ilvl="6" w:tentative="0">
      <w:start w:val="23"/>
      <w:numFmt w:val="decimal"/>
      <w:suff w:val="space"/>
      <w:lvlText w:val="%1."/>
      <w:lvlJc w:val="left"/>
    </w:lvl>
    <w:lvl w:ilvl="7" w:tentative="0">
      <w:start w:val="23"/>
      <w:numFmt w:val="decimal"/>
      <w:suff w:val="space"/>
      <w:lvlText w:val="%1."/>
      <w:lvlJc w:val="left"/>
    </w:lvl>
    <w:lvl w:ilvl="8" w:tentative="0">
      <w:start w:val="23"/>
      <w:numFmt w:val="decimal"/>
      <w:suff w:val="space"/>
      <w:lvlText w:val="%1."/>
      <w:lvlJc w:val="left"/>
    </w:lvl>
  </w:abstractNum>
  <w:abstractNum w:abstractNumId="9">
    <w:nsid w:val="2F000045"/>
    <w:multiLevelType w:val="multilevel"/>
    <w:tmpl w:val="2F000045"/>
    <w:lvl w:ilvl="0" w:tentative="0">
      <w:start w:val="9"/>
      <w:numFmt w:val="decimal"/>
      <w:suff w:val="space"/>
      <w:lvlText w:val="%1."/>
      <w:lvlJc w:val="left"/>
    </w:lvl>
    <w:lvl w:ilvl="1" w:tentative="0">
      <w:start w:val="9"/>
      <w:numFmt w:val="decimal"/>
      <w:suff w:val="space"/>
      <w:lvlText w:val="%1."/>
      <w:lvlJc w:val="left"/>
    </w:lvl>
    <w:lvl w:ilvl="2" w:tentative="0">
      <w:start w:val="9"/>
      <w:numFmt w:val="decimal"/>
      <w:suff w:val="space"/>
      <w:lvlText w:val="%1."/>
      <w:lvlJc w:val="left"/>
    </w:lvl>
    <w:lvl w:ilvl="3" w:tentative="0">
      <w:start w:val="9"/>
      <w:numFmt w:val="decimal"/>
      <w:suff w:val="space"/>
      <w:lvlText w:val="%1."/>
      <w:lvlJc w:val="left"/>
    </w:lvl>
    <w:lvl w:ilvl="4" w:tentative="0">
      <w:start w:val="9"/>
      <w:numFmt w:val="decimal"/>
      <w:suff w:val="space"/>
      <w:lvlText w:val="%1."/>
      <w:lvlJc w:val="left"/>
    </w:lvl>
    <w:lvl w:ilvl="5" w:tentative="0">
      <w:start w:val="9"/>
      <w:numFmt w:val="decimal"/>
      <w:suff w:val="space"/>
      <w:lvlText w:val="%1."/>
      <w:lvlJc w:val="left"/>
    </w:lvl>
    <w:lvl w:ilvl="6" w:tentative="0">
      <w:start w:val="9"/>
      <w:numFmt w:val="decimal"/>
      <w:suff w:val="space"/>
      <w:lvlText w:val="%1."/>
      <w:lvlJc w:val="left"/>
    </w:lvl>
    <w:lvl w:ilvl="7" w:tentative="0">
      <w:start w:val="9"/>
      <w:numFmt w:val="decimal"/>
      <w:suff w:val="space"/>
      <w:lvlText w:val="%1."/>
      <w:lvlJc w:val="left"/>
    </w:lvl>
    <w:lvl w:ilvl="8" w:tentative="0">
      <w:start w:val="9"/>
      <w:numFmt w:val="decimal"/>
      <w:suff w:val="space"/>
      <w:lvlText w:val="%1."/>
      <w:lvlJc w:val="left"/>
    </w:lvl>
  </w:abstractNum>
  <w:num w:numId="1">
    <w:abstractNumId w:val="5"/>
  </w:num>
  <w:num w:numId="2">
    <w:abstractNumId w:val="9"/>
  </w:num>
  <w:num w:numId="3">
    <w:abstractNumId w:val="4"/>
  </w:num>
  <w:num w:numId="4">
    <w:abstractNumId w:val="3"/>
  </w:num>
  <w:num w:numId="5">
    <w:abstractNumId w:val="8"/>
  </w:num>
  <w:num w:numId="6">
    <w:abstractNumId w:val="7"/>
  </w:num>
  <w:num w:numId="7">
    <w:abstractNumId w:val="1"/>
  </w:num>
  <w:num w:numId="8">
    <w:abstractNumId w:val="6"/>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documentProtection w:edit="trackedChanges" w:enforcement="0"/>
  <w:defaultTabStop w:val="420"/>
  <w:displayHorizontalDrawingGridEvery w:val="1"/>
  <w:displayVerticalDrawingGridEvery w:val="1"/>
  <w:noPunctuationKerning w:val="1"/>
  <w:characterSpacingControl w:val="compressPunctuation"/>
  <w:footnotePr>
    <w:footnote w:id="0"/>
    <w:footnote w:id="1"/>
  </w:footnotePr>
  <w:endnotePr>
    <w:endnote w:id="0"/>
    <w:endnote w:id="1"/>
  </w:endnotePr>
  <w:compat>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3NmE2Y2RhY2ExZTYyZDQ5NmU3NTcyYTg0NmExNTYifQ=="/>
  </w:docVars>
  <w:rsids>
    <w:rsidRoot w:val="00BA3124"/>
    <w:rsid w:val="000000F2"/>
    <w:rsid w:val="00000139"/>
    <w:rsid w:val="000015EE"/>
    <w:rsid w:val="00001F81"/>
    <w:rsid w:val="00003D65"/>
    <w:rsid w:val="000045EA"/>
    <w:rsid w:val="00007C3F"/>
    <w:rsid w:val="000121FE"/>
    <w:rsid w:val="00012496"/>
    <w:rsid w:val="000133F6"/>
    <w:rsid w:val="000143B4"/>
    <w:rsid w:val="00015B06"/>
    <w:rsid w:val="000221CB"/>
    <w:rsid w:val="00022F88"/>
    <w:rsid w:val="000257D8"/>
    <w:rsid w:val="00030F30"/>
    <w:rsid w:val="00037F78"/>
    <w:rsid w:val="00040102"/>
    <w:rsid w:val="00040FCF"/>
    <w:rsid w:val="000437E6"/>
    <w:rsid w:val="00043A7E"/>
    <w:rsid w:val="00043DC9"/>
    <w:rsid w:val="00043E88"/>
    <w:rsid w:val="0004419E"/>
    <w:rsid w:val="0005200D"/>
    <w:rsid w:val="000574DB"/>
    <w:rsid w:val="00066110"/>
    <w:rsid w:val="00070470"/>
    <w:rsid w:val="00074337"/>
    <w:rsid w:val="00075937"/>
    <w:rsid w:val="00077483"/>
    <w:rsid w:val="000811B4"/>
    <w:rsid w:val="0008222E"/>
    <w:rsid w:val="000835FB"/>
    <w:rsid w:val="0008533F"/>
    <w:rsid w:val="00086A0A"/>
    <w:rsid w:val="00092270"/>
    <w:rsid w:val="00092AE4"/>
    <w:rsid w:val="0009493E"/>
    <w:rsid w:val="00095B78"/>
    <w:rsid w:val="000A1767"/>
    <w:rsid w:val="000A49C9"/>
    <w:rsid w:val="000B0AEB"/>
    <w:rsid w:val="000B34C7"/>
    <w:rsid w:val="000B467E"/>
    <w:rsid w:val="000B5BA2"/>
    <w:rsid w:val="000C1668"/>
    <w:rsid w:val="000C1D2F"/>
    <w:rsid w:val="000C20C1"/>
    <w:rsid w:val="000C32A2"/>
    <w:rsid w:val="000C401F"/>
    <w:rsid w:val="000C48AC"/>
    <w:rsid w:val="000C53FF"/>
    <w:rsid w:val="000C56A1"/>
    <w:rsid w:val="000C68D6"/>
    <w:rsid w:val="000D2B9F"/>
    <w:rsid w:val="000D3045"/>
    <w:rsid w:val="000D349E"/>
    <w:rsid w:val="000D3933"/>
    <w:rsid w:val="000D6F83"/>
    <w:rsid w:val="000E072A"/>
    <w:rsid w:val="000E7218"/>
    <w:rsid w:val="000E7DA5"/>
    <w:rsid w:val="000F56F5"/>
    <w:rsid w:val="000F5E28"/>
    <w:rsid w:val="000F6EB3"/>
    <w:rsid w:val="00100517"/>
    <w:rsid w:val="00100A70"/>
    <w:rsid w:val="00101DB2"/>
    <w:rsid w:val="00104D2E"/>
    <w:rsid w:val="00106C71"/>
    <w:rsid w:val="0011106B"/>
    <w:rsid w:val="001118C7"/>
    <w:rsid w:val="0011296C"/>
    <w:rsid w:val="001169E8"/>
    <w:rsid w:val="001207B4"/>
    <w:rsid w:val="001209DA"/>
    <w:rsid w:val="00126FBA"/>
    <w:rsid w:val="001315CE"/>
    <w:rsid w:val="00133A8C"/>
    <w:rsid w:val="00134F25"/>
    <w:rsid w:val="00135B62"/>
    <w:rsid w:val="00136FF6"/>
    <w:rsid w:val="00141670"/>
    <w:rsid w:val="001432B2"/>
    <w:rsid w:val="001445DC"/>
    <w:rsid w:val="001456F3"/>
    <w:rsid w:val="001520D4"/>
    <w:rsid w:val="0015296D"/>
    <w:rsid w:val="0015422E"/>
    <w:rsid w:val="00155DA1"/>
    <w:rsid w:val="00155FD4"/>
    <w:rsid w:val="00157014"/>
    <w:rsid w:val="00157E71"/>
    <w:rsid w:val="00162725"/>
    <w:rsid w:val="00163FD9"/>
    <w:rsid w:val="00166BCD"/>
    <w:rsid w:val="001677D4"/>
    <w:rsid w:val="0017175E"/>
    <w:rsid w:val="00171822"/>
    <w:rsid w:val="00173A08"/>
    <w:rsid w:val="00180594"/>
    <w:rsid w:val="00186A28"/>
    <w:rsid w:val="00190D52"/>
    <w:rsid w:val="0019581C"/>
    <w:rsid w:val="001960F7"/>
    <w:rsid w:val="001A1DF2"/>
    <w:rsid w:val="001A37D3"/>
    <w:rsid w:val="001A3FCA"/>
    <w:rsid w:val="001A4FF1"/>
    <w:rsid w:val="001A6E81"/>
    <w:rsid w:val="001B0893"/>
    <w:rsid w:val="001B1944"/>
    <w:rsid w:val="001B2ECA"/>
    <w:rsid w:val="001B5A71"/>
    <w:rsid w:val="001B5E47"/>
    <w:rsid w:val="001C0694"/>
    <w:rsid w:val="001C0C50"/>
    <w:rsid w:val="001C638D"/>
    <w:rsid w:val="001D0502"/>
    <w:rsid w:val="001D25D7"/>
    <w:rsid w:val="001D4715"/>
    <w:rsid w:val="001E0D82"/>
    <w:rsid w:val="001E0D93"/>
    <w:rsid w:val="001E5985"/>
    <w:rsid w:val="001E598A"/>
    <w:rsid w:val="001E5B2B"/>
    <w:rsid w:val="001E5F4A"/>
    <w:rsid w:val="001F1EC3"/>
    <w:rsid w:val="001F4F93"/>
    <w:rsid w:val="001F780D"/>
    <w:rsid w:val="00200134"/>
    <w:rsid w:val="002026D7"/>
    <w:rsid w:val="002041A6"/>
    <w:rsid w:val="00206D2E"/>
    <w:rsid w:val="00210670"/>
    <w:rsid w:val="00210D44"/>
    <w:rsid w:val="002120BE"/>
    <w:rsid w:val="00212AF9"/>
    <w:rsid w:val="002140EE"/>
    <w:rsid w:val="002141C8"/>
    <w:rsid w:val="00226768"/>
    <w:rsid w:val="00226771"/>
    <w:rsid w:val="00226B2E"/>
    <w:rsid w:val="00226D0E"/>
    <w:rsid w:val="002337E3"/>
    <w:rsid w:val="00237A98"/>
    <w:rsid w:val="002413F6"/>
    <w:rsid w:val="00242818"/>
    <w:rsid w:val="0024287B"/>
    <w:rsid w:val="00242E5E"/>
    <w:rsid w:val="0024305E"/>
    <w:rsid w:val="0024384D"/>
    <w:rsid w:val="002441F7"/>
    <w:rsid w:val="00246588"/>
    <w:rsid w:val="0024741B"/>
    <w:rsid w:val="0025424F"/>
    <w:rsid w:val="00261C93"/>
    <w:rsid w:val="00262D37"/>
    <w:rsid w:val="00262F1F"/>
    <w:rsid w:val="00265564"/>
    <w:rsid w:val="00272F80"/>
    <w:rsid w:val="00275361"/>
    <w:rsid w:val="0027764C"/>
    <w:rsid w:val="002822FF"/>
    <w:rsid w:val="0028366D"/>
    <w:rsid w:val="002854ED"/>
    <w:rsid w:val="002931EC"/>
    <w:rsid w:val="00293A15"/>
    <w:rsid w:val="00296707"/>
    <w:rsid w:val="002A20A0"/>
    <w:rsid w:val="002A50F8"/>
    <w:rsid w:val="002A5261"/>
    <w:rsid w:val="002B0BE3"/>
    <w:rsid w:val="002B1199"/>
    <w:rsid w:val="002B1394"/>
    <w:rsid w:val="002B33D2"/>
    <w:rsid w:val="002C0DAB"/>
    <w:rsid w:val="002C4CDE"/>
    <w:rsid w:val="002C556E"/>
    <w:rsid w:val="002C5B0F"/>
    <w:rsid w:val="002C7056"/>
    <w:rsid w:val="002D23D9"/>
    <w:rsid w:val="002D2931"/>
    <w:rsid w:val="002D4681"/>
    <w:rsid w:val="002D6C36"/>
    <w:rsid w:val="002D6D0E"/>
    <w:rsid w:val="002E190D"/>
    <w:rsid w:val="002E6BE3"/>
    <w:rsid w:val="002F6933"/>
    <w:rsid w:val="00301931"/>
    <w:rsid w:val="00301F81"/>
    <w:rsid w:val="003021FF"/>
    <w:rsid w:val="0030641C"/>
    <w:rsid w:val="00307ACC"/>
    <w:rsid w:val="00315C23"/>
    <w:rsid w:val="003166B6"/>
    <w:rsid w:val="00316E03"/>
    <w:rsid w:val="003207F4"/>
    <w:rsid w:val="00320BB7"/>
    <w:rsid w:val="00322E79"/>
    <w:rsid w:val="00330D78"/>
    <w:rsid w:val="00331CB9"/>
    <w:rsid w:val="00333ABA"/>
    <w:rsid w:val="003354EE"/>
    <w:rsid w:val="00337C6A"/>
    <w:rsid w:val="0034051F"/>
    <w:rsid w:val="0034095F"/>
    <w:rsid w:val="00344C1C"/>
    <w:rsid w:val="003464E7"/>
    <w:rsid w:val="00346854"/>
    <w:rsid w:val="003500BC"/>
    <w:rsid w:val="0035321B"/>
    <w:rsid w:val="00353318"/>
    <w:rsid w:val="00353E8A"/>
    <w:rsid w:val="00354E36"/>
    <w:rsid w:val="00355D2E"/>
    <w:rsid w:val="003568E4"/>
    <w:rsid w:val="00361313"/>
    <w:rsid w:val="00361733"/>
    <w:rsid w:val="0036732D"/>
    <w:rsid w:val="003706A5"/>
    <w:rsid w:val="003712A4"/>
    <w:rsid w:val="00373EAE"/>
    <w:rsid w:val="003767CC"/>
    <w:rsid w:val="00377206"/>
    <w:rsid w:val="00383573"/>
    <w:rsid w:val="00383BEC"/>
    <w:rsid w:val="00387AC9"/>
    <w:rsid w:val="00393EBC"/>
    <w:rsid w:val="00395A23"/>
    <w:rsid w:val="003976F0"/>
    <w:rsid w:val="003A0C71"/>
    <w:rsid w:val="003A12FF"/>
    <w:rsid w:val="003A170B"/>
    <w:rsid w:val="003A1E4C"/>
    <w:rsid w:val="003A286A"/>
    <w:rsid w:val="003A7F1A"/>
    <w:rsid w:val="003B097F"/>
    <w:rsid w:val="003B1842"/>
    <w:rsid w:val="003B2656"/>
    <w:rsid w:val="003B3099"/>
    <w:rsid w:val="003B32EC"/>
    <w:rsid w:val="003B43D3"/>
    <w:rsid w:val="003B6BE9"/>
    <w:rsid w:val="003C0FC8"/>
    <w:rsid w:val="003C2384"/>
    <w:rsid w:val="003C312A"/>
    <w:rsid w:val="003C4653"/>
    <w:rsid w:val="003C6560"/>
    <w:rsid w:val="003D0506"/>
    <w:rsid w:val="003D2AB3"/>
    <w:rsid w:val="003D3A75"/>
    <w:rsid w:val="003D6118"/>
    <w:rsid w:val="003D7B5F"/>
    <w:rsid w:val="003E0439"/>
    <w:rsid w:val="003E148A"/>
    <w:rsid w:val="003E249E"/>
    <w:rsid w:val="003E454F"/>
    <w:rsid w:val="003E456D"/>
    <w:rsid w:val="003E6DFB"/>
    <w:rsid w:val="003E7AEB"/>
    <w:rsid w:val="003F2270"/>
    <w:rsid w:val="003F29EB"/>
    <w:rsid w:val="003F3AAC"/>
    <w:rsid w:val="003F66A7"/>
    <w:rsid w:val="003F746F"/>
    <w:rsid w:val="00403D28"/>
    <w:rsid w:val="004043A2"/>
    <w:rsid w:val="0040617E"/>
    <w:rsid w:val="00410FCA"/>
    <w:rsid w:val="004117BD"/>
    <w:rsid w:val="004126B4"/>
    <w:rsid w:val="00412A48"/>
    <w:rsid w:val="00414B71"/>
    <w:rsid w:val="0041519C"/>
    <w:rsid w:val="004151CE"/>
    <w:rsid w:val="00417574"/>
    <w:rsid w:val="004215F1"/>
    <w:rsid w:val="0042215D"/>
    <w:rsid w:val="0043285C"/>
    <w:rsid w:val="00436E82"/>
    <w:rsid w:val="00440F9A"/>
    <w:rsid w:val="00443ADE"/>
    <w:rsid w:val="0044418D"/>
    <w:rsid w:val="004443F3"/>
    <w:rsid w:val="0044699B"/>
    <w:rsid w:val="004510F6"/>
    <w:rsid w:val="004518D2"/>
    <w:rsid w:val="004537A0"/>
    <w:rsid w:val="0045479E"/>
    <w:rsid w:val="0045655F"/>
    <w:rsid w:val="004619A4"/>
    <w:rsid w:val="004632AA"/>
    <w:rsid w:val="00463CFE"/>
    <w:rsid w:val="00474EDC"/>
    <w:rsid w:val="00474FAA"/>
    <w:rsid w:val="00476B58"/>
    <w:rsid w:val="00476FBE"/>
    <w:rsid w:val="004810F7"/>
    <w:rsid w:val="00483264"/>
    <w:rsid w:val="004853B9"/>
    <w:rsid w:val="0048558F"/>
    <w:rsid w:val="00487AE6"/>
    <w:rsid w:val="00496E09"/>
    <w:rsid w:val="004A0C16"/>
    <w:rsid w:val="004A0D30"/>
    <w:rsid w:val="004A15D9"/>
    <w:rsid w:val="004A5884"/>
    <w:rsid w:val="004B1E96"/>
    <w:rsid w:val="004B249C"/>
    <w:rsid w:val="004B508D"/>
    <w:rsid w:val="004B51A8"/>
    <w:rsid w:val="004B62C0"/>
    <w:rsid w:val="004B6350"/>
    <w:rsid w:val="004B6AEB"/>
    <w:rsid w:val="004C0462"/>
    <w:rsid w:val="004C09AF"/>
    <w:rsid w:val="004C26E5"/>
    <w:rsid w:val="004C7017"/>
    <w:rsid w:val="004C7456"/>
    <w:rsid w:val="004D03B0"/>
    <w:rsid w:val="004D0D9C"/>
    <w:rsid w:val="004D1018"/>
    <w:rsid w:val="004D1DC8"/>
    <w:rsid w:val="004D1DC9"/>
    <w:rsid w:val="004D2987"/>
    <w:rsid w:val="004D449E"/>
    <w:rsid w:val="004D54B9"/>
    <w:rsid w:val="004D5FD7"/>
    <w:rsid w:val="004E1101"/>
    <w:rsid w:val="004E12DE"/>
    <w:rsid w:val="004E33AC"/>
    <w:rsid w:val="004E565B"/>
    <w:rsid w:val="004E6FB9"/>
    <w:rsid w:val="004E71AB"/>
    <w:rsid w:val="004F1783"/>
    <w:rsid w:val="004F66C0"/>
    <w:rsid w:val="004F6E95"/>
    <w:rsid w:val="00500C4A"/>
    <w:rsid w:val="00505261"/>
    <w:rsid w:val="00510E4D"/>
    <w:rsid w:val="00512A45"/>
    <w:rsid w:val="00513EB4"/>
    <w:rsid w:val="0052410E"/>
    <w:rsid w:val="00524A56"/>
    <w:rsid w:val="00524D25"/>
    <w:rsid w:val="0052634A"/>
    <w:rsid w:val="005266E9"/>
    <w:rsid w:val="00532363"/>
    <w:rsid w:val="005335D1"/>
    <w:rsid w:val="005342D7"/>
    <w:rsid w:val="00537677"/>
    <w:rsid w:val="00540EA2"/>
    <w:rsid w:val="00541401"/>
    <w:rsid w:val="005418DB"/>
    <w:rsid w:val="0054269C"/>
    <w:rsid w:val="005448AD"/>
    <w:rsid w:val="00545594"/>
    <w:rsid w:val="00545844"/>
    <w:rsid w:val="00547F73"/>
    <w:rsid w:val="00550F16"/>
    <w:rsid w:val="005523E4"/>
    <w:rsid w:val="00552AC0"/>
    <w:rsid w:val="00554AE7"/>
    <w:rsid w:val="005565A7"/>
    <w:rsid w:val="005604D4"/>
    <w:rsid w:val="005649E5"/>
    <w:rsid w:val="00564C20"/>
    <w:rsid w:val="00565889"/>
    <w:rsid w:val="00566C98"/>
    <w:rsid w:val="0056716E"/>
    <w:rsid w:val="00571D43"/>
    <w:rsid w:val="005740F5"/>
    <w:rsid w:val="00574C3B"/>
    <w:rsid w:val="00575AB8"/>
    <w:rsid w:val="0057690D"/>
    <w:rsid w:val="00576BFE"/>
    <w:rsid w:val="0058368C"/>
    <w:rsid w:val="00584B5D"/>
    <w:rsid w:val="00587B70"/>
    <w:rsid w:val="00587D80"/>
    <w:rsid w:val="005A059C"/>
    <w:rsid w:val="005A1A6A"/>
    <w:rsid w:val="005A2E67"/>
    <w:rsid w:val="005A304F"/>
    <w:rsid w:val="005A3B95"/>
    <w:rsid w:val="005A5B47"/>
    <w:rsid w:val="005A62DF"/>
    <w:rsid w:val="005A6F6A"/>
    <w:rsid w:val="005B01E0"/>
    <w:rsid w:val="005B2E43"/>
    <w:rsid w:val="005B439E"/>
    <w:rsid w:val="005B54A3"/>
    <w:rsid w:val="005B64BA"/>
    <w:rsid w:val="005B7D92"/>
    <w:rsid w:val="005C1C4F"/>
    <w:rsid w:val="005C1FB7"/>
    <w:rsid w:val="005C5B0E"/>
    <w:rsid w:val="005D0BB2"/>
    <w:rsid w:val="005D10F7"/>
    <w:rsid w:val="005D30DE"/>
    <w:rsid w:val="005D7942"/>
    <w:rsid w:val="005D7FBA"/>
    <w:rsid w:val="005E5912"/>
    <w:rsid w:val="005E6316"/>
    <w:rsid w:val="005F1E31"/>
    <w:rsid w:val="005F2A05"/>
    <w:rsid w:val="005F2C46"/>
    <w:rsid w:val="005F5B89"/>
    <w:rsid w:val="005F7685"/>
    <w:rsid w:val="00602F5C"/>
    <w:rsid w:val="00604364"/>
    <w:rsid w:val="00606397"/>
    <w:rsid w:val="00610D6D"/>
    <w:rsid w:val="00613971"/>
    <w:rsid w:val="006141A3"/>
    <w:rsid w:val="00615A0F"/>
    <w:rsid w:val="006173A4"/>
    <w:rsid w:val="00620F1A"/>
    <w:rsid w:val="00621A28"/>
    <w:rsid w:val="00622520"/>
    <w:rsid w:val="006279E7"/>
    <w:rsid w:val="00630C4B"/>
    <w:rsid w:val="00634596"/>
    <w:rsid w:val="00636916"/>
    <w:rsid w:val="00637EA1"/>
    <w:rsid w:val="006425FA"/>
    <w:rsid w:val="00642B95"/>
    <w:rsid w:val="00646B7B"/>
    <w:rsid w:val="00647559"/>
    <w:rsid w:val="00651DD9"/>
    <w:rsid w:val="006523EB"/>
    <w:rsid w:val="0065265C"/>
    <w:rsid w:val="00653A34"/>
    <w:rsid w:val="00653C14"/>
    <w:rsid w:val="0065460D"/>
    <w:rsid w:val="00657FF9"/>
    <w:rsid w:val="0066001D"/>
    <w:rsid w:val="00660994"/>
    <w:rsid w:val="006679DC"/>
    <w:rsid w:val="006701AC"/>
    <w:rsid w:val="00670400"/>
    <w:rsid w:val="006724B7"/>
    <w:rsid w:val="00677925"/>
    <w:rsid w:val="00677A8A"/>
    <w:rsid w:val="006804FA"/>
    <w:rsid w:val="00680AD6"/>
    <w:rsid w:val="00681B00"/>
    <w:rsid w:val="006870F1"/>
    <w:rsid w:val="006904B2"/>
    <w:rsid w:val="006904BE"/>
    <w:rsid w:val="006922EC"/>
    <w:rsid w:val="00692720"/>
    <w:rsid w:val="00692F7F"/>
    <w:rsid w:val="00695BD6"/>
    <w:rsid w:val="00695EDE"/>
    <w:rsid w:val="006A09D0"/>
    <w:rsid w:val="006A23E9"/>
    <w:rsid w:val="006A2F07"/>
    <w:rsid w:val="006A341C"/>
    <w:rsid w:val="006A42A7"/>
    <w:rsid w:val="006A4439"/>
    <w:rsid w:val="006A4D72"/>
    <w:rsid w:val="006A543A"/>
    <w:rsid w:val="006B37C7"/>
    <w:rsid w:val="006B6F3C"/>
    <w:rsid w:val="006C0558"/>
    <w:rsid w:val="006C21DA"/>
    <w:rsid w:val="006C27BF"/>
    <w:rsid w:val="006C2D0C"/>
    <w:rsid w:val="006C3847"/>
    <w:rsid w:val="006C4DC3"/>
    <w:rsid w:val="006C5D44"/>
    <w:rsid w:val="006C77CD"/>
    <w:rsid w:val="006D0072"/>
    <w:rsid w:val="006D1255"/>
    <w:rsid w:val="006D2C2B"/>
    <w:rsid w:val="006D3513"/>
    <w:rsid w:val="006D5D9F"/>
    <w:rsid w:val="006D7949"/>
    <w:rsid w:val="006D7DA1"/>
    <w:rsid w:val="006E1C8A"/>
    <w:rsid w:val="006E1CFF"/>
    <w:rsid w:val="006E32D8"/>
    <w:rsid w:val="006E35EC"/>
    <w:rsid w:val="006E37AD"/>
    <w:rsid w:val="006E5308"/>
    <w:rsid w:val="006F0669"/>
    <w:rsid w:val="006F1293"/>
    <w:rsid w:val="006F41CD"/>
    <w:rsid w:val="006F48AD"/>
    <w:rsid w:val="006F56A7"/>
    <w:rsid w:val="006F601F"/>
    <w:rsid w:val="006F629E"/>
    <w:rsid w:val="00702CEF"/>
    <w:rsid w:val="007032FC"/>
    <w:rsid w:val="00703D29"/>
    <w:rsid w:val="00703F0B"/>
    <w:rsid w:val="00705C65"/>
    <w:rsid w:val="007076B1"/>
    <w:rsid w:val="007112CA"/>
    <w:rsid w:val="0071236E"/>
    <w:rsid w:val="0071264D"/>
    <w:rsid w:val="00712F48"/>
    <w:rsid w:val="0071330B"/>
    <w:rsid w:val="00717494"/>
    <w:rsid w:val="0072051F"/>
    <w:rsid w:val="00722F66"/>
    <w:rsid w:val="00722FCE"/>
    <w:rsid w:val="007230D0"/>
    <w:rsid w:val="007258A2"/>
    <w:rsid w:val="00725977"/>
    <w:rsid w:val="00733600"/>
    <w:rsid w:val="007339A9"/>
    <w:rsid w:val="00734404"/>
    <w:rsid w:val="007345D7"/>
    <w:rsid w:val="00735BD4"/>
    <w:rsid w:val="00736B0B"/>
    <w:rsid w:val="007373DD"/>
    <w:rsid w:val="00737A61"/>
    <w:rsid w:val="00741B8D"/>
    <w:rsid w:val="00746901"/>
    <w:rsid w:val="007469E7"/>
    <w:rsid w:val="00746D36"/>
    <w:rsid w:val="00750C92"/>
    <w:rsid w:val="00751CDD"/>
    <w:rsid w:val="00753178"/>
    <w:rsid w:val="007534CB"/>
    <w:rsid w:val="00754FB0"/>
    <w:rsid w:val="00756CAA"/>
    <w:rsid w:val="00756D14"/>
    <w:rsid w:val="00762BE0"/>
    <w:rsid w:val="00762CB8"/>
    <w:rsid w:val="0076576D"/>
    <w:rsid w:val="0077088A"/>
    <w:rsid w:val="007751E3"/>
    <w:rsid w:val="00781FE4"/>
    <w:rsid w:val="007838E8"/>
    <w:rsid w:val="00785F88"/>
    <w:rsid w:val="00786B37"/>
    <w:rsid w:val="007877D5"/>
    <w:rsid w:val="00792362"/>
    <w:rsid w:val="0079519C"/>
    <w:rsid w:val="00796180"/>
    <w:rsid w:val="007A04DC"/>
    <w:rsid w:val="007A287A"/>
    <w:rsid w:val="007A2EB0"/>
    <w:rsid w:val="007A5556"/>
    <w:rsid w:val="007B04FF"/>
    <w:rsid w:val="007B22CC"/>
    <w:rsid w:val="007B6DA0"/>
    <w:rsid w:val="007C0A8F"/>
    <w:rsid w:val="007C15ED"/>
    <w:rsid w:val="007C19AE"/>
    <w:rsid w:val="007C2BBC"/>
    <w:rsid w:val="007C2CCC"/>
    <w:rsid w:val="007C337F"/>
    <w:rsid w:val="007D02A8"/>
    <w:rsid w:val="007D04F4"/>
    <w:rsid w:val="007D0888"/>
    <w:rsid w:val="007D2179"/>
    <w:rsid w:val="007D2FAE"/>
    <w:rsid w:val="007D399D"/>
    <w:rsid w:val="007D441B"/>
    <w:rsid w:val="007D59AF"/>
    <w:rsid w:val="007D7DEB"/>
    <w:rsid w:val="007E1BA9"/>
    <w:rsid w:val="007E201C"/>
    <w:rsid w:val="007E381F"/>
    <w:rsid w:val="007E74A7"/>
    <w:rsid w:val="007E7F03"/>
    <w:rsid w:val="007F0619"/>
    <w:rsid w:val="007F0AAA"/>
    <w:rsid w:val="007F28DB"/>
    <w:rsid w:val="007F4345"/>
    <w:rsid w:val="007F7B34"/>
    <w:rsid w:val="00803C1E"/>
    <w:rsid w:val="00804954"/>
    <w:rsid w:val="00810B98"/>
    <w:rsid w:val="0081164E"/>
    <w:rsid w:val="00816129"/>
    <w:rsid w:val="008176A7"/>
    <w:rsid w:val="008177BD"/>
    <w:rsid w:val="00817D86"/>
    <w:rsid w:val="00824189"/>
    <w:rsid w:val="008252F0"/>
    <w:rsid w:val="008269AE"/>
    <w:rsid w:val="00826C39"/>
    <w:rsid w:val="00826EBD"/>
    <w:rsid w:val="00836417"/>
    <w:rsid w:val="0083668C"/>
    <w:rsid w:val="00836E69"/>
    <w:rsid w:val="00840E0D"/>
    <w:rsid w:val="0084277A"/>
    <w:rsid w:val="008461E9"/>
    <w:rsid w:val="008475AA"/>
    <w:rsid w:val="00855A4E"/>
    <w:rsid w:val="00855D0E"/>
    <w:rsid w:val="00856676"/>
    <w:rsid w:val="00856873"/>
    <w:rsid w:val="00860F02"/>
    <w:rsid w:val="00861912"/>
    <w:rsid w:val="0086365B"/>
    <w:rsid w:val="008657A4"/>
    <w:rsid w:val="0086730C"/>
    <w:rsid w:val="008750C5"/>
    <w:rsid w:val="008761A0"/>
    <w:rsid w:val="008777EC"/>
    <w:rsid w:val="0088026D"/>
    <w:rsid w:val="00881EB7"/>
    <w:rsid w:val="0088203D"/>
    <w:rsid w:val="00884596"/>
    <w:rsid w:val="00884884"/>
    <w:rsid w:val="0088570D"/>
    <w:rsid w:val="00887902"/>
    <w:rsid w:val="00891420"/>
    <w:rsid w:val="00894CB4"/>
    <w:rsid w:val="00895FBB"/>
    <w:rsid w:val="008961D4"/>
    <w:rsid w:val="008973E6"/>
    <w:rsid w:val="008A0C18"/>
    <w:rsid w:val="008A1E1B"/>
    <w:rsid w:val="008A5FBB"/>
    <w:rsid w:val="008B0302"/>
    <w:rsid w:val="008B09E8"/>
    <w:rsid w:val="008B0AE8"/>
    <w:rsid w:val="008B224C"/>
    <w:rsid w:val="008C05CF"/>
    <w:rsid w:val="008C1461"/>
    <w:rsid w:val="008C1FAF"/>
    <w:rsid w:val="008C2226"/>
    <w:rsid w:val="008C4276"/>
    <w:rsid w:val="008C5153"/>
    <w:rsid w:val="008C534F"/>
    <w:rsid w:val="008C77F8"/>
    <w:rsid w:val="008D2976"/>
    <w:rsid w:val="008D55B2"/>
    <w:rsid w:val="008D6D95"/>
    <w:rsid w:val="008E500C"/>
    <w:rsid w:val="008F2A48"/>
    <w:rsid w:val="008F720F"/>
    <w:rsid w:val="009021F6"/>
    <w:rsid w:val="009028BF"/>
    <w:rsid w:val="00902910"/>
    <w:rsid w:val="00904592"/>
    <w:rsid w:val="00905412"/>
    <w:rsid w:val="009060CB"/>
    <w:rsid w:val="00906D34"/>
    <w:rsid w:val="0091169E"/>
    <w:rsid w:val="009120C7"/>
    <w:rsid w:val="009123C5"/>
    <w:rsid w:val="00916179"/>
    <w:rsid w:val="00917615"/>
    <w:rsid w:val="00921481"/>
    <w:rsid w:val="00921A28"/>
    <w:rsid w:val="00922F1D"/>
    <w:rsid w:val="00925337"/>
    <w:rsid w:val="00930239"/>
    <w:rsid w:val="00931174"/>
    <w:rsid w:val="009336C8"/>
    <w:rsid w:val="00937B1F"/>
    <w:rsid w:val="0094110B"/>
    <w:rsid w:val="009423A4"/>
    <w:rsid w:val="00944B82"/>
    <w:rsid w:val="00945006"/>
    <w:rsid w:val="00952E15"/>
    <w:rsid w:val="00955F7B"/>
    <w:rsid w:val="00956B31"/>
    <w:rsid w:val="00956FA8"/>
    <w:rsid w:val="00957AA0"/>
    <w:rsid w:val="009604CB"/>
    <w:rsid w:val="00962C11"/>
    <w:rsid w:val="00965538"/>
    <w:rsid w:val="00967371"/>
    <w:rsid w:val="00971F0D"/>
    <w:rsid w:val="0097464F"/>
    <w:rsid w:val="00975B33"/>
    <w:rsid w:val="009772EB"/>
    <w:rsid w:val="0098466F"/>
    <w:rsid w:val="00984BFB"/>
    <w:rsid w:val="00991B49"/>
    <w:rsid w:val="00991D05"/>
    <w:rsid w:val="009939D0"/>
    <w:rsid w:val="00995A55"/>
    <w:rsid w:val="009964B6"/>
    <w:rsid w:val="00997A87"/>
    <w:rsid w:val="009A1C5B"/>
    <w:rsid w:val="009A1FFC"/>
    <w:rsid w:val="009A7B76"/>
    <w:rsid w:val="009B0988"/>
    <w:rsid w:val="009B1B5B"/>
    <w:rsid w:val="009B1BFA"/>
    <w:rsid w:val="009B2B4B"/>
    <w:rsid w:val="009B68EE"/>
    <w:rsid w:val="009C320E"/>
    <w:rsid w:val="009C5DF4"/>
    <w:rsid w:val="009C5EBB"/>
    <w:rsid w:val="009C6064"/>
    <w:rsid w:val="009C6E1B"/>
    <w:rsid w:val="009D30BB"/>
    <w:rsid w:val="009D3453"/>
    <w:rsid w:val="009D431A"/>
    <w:rsid w:val="009D5237"/>
    <w:rsid w:val="009E1329"/>
    <w:rsid w:val="009E28E5"/>
    <w:rsid w:val="009E2F4D"/>
    <w:rsid w:val="009E3318"/>
    <w:rsid w:val="009E4CE3"/>
    <w:rsid w:val="009F214A"/>
    <w:rsid w:val="009F374F"/>
    <w:rsid w:val="009F588C"/>
    <w:rsid w:val="00A02C14"/>
    <w:rsid w:val="00A03373"/>
    <w:rsid w:val="00A05ECF"/>
    <w:rsid w:val="00A100F7"/>
    <w:rsid w:val="00A116B0"/>
    <w:rsid w:val="00A11C51"/>
    <w:rsid w:val="00A126E5"/>
    <w:rsid w:val="00A12C63"/>
    <w:rsid w:val="00A1337E"/>
    <w:rsid w:val="00A22A35"/>
    <w:rsid w:val="00A24133"/>
    <w:rsid w:val="00A249A4"/>
    <w:rsid w:val="00A24D71"/>
    <w:rsid w:val="00A2528E"/>
    <w:rsid w:val="00A261D2"/>
    <w:rsid w:val="00A2643C"/>
    <w:rsid w:val="00A33F45"/>
    <w:rsid w:val="00A34C49"/>
    <w:rsid w:val="00A4068C"/>
    <w:rsid w:val="00A421CE"/>
    <w:rsid w:val="00A44467"/>
    <w:rsid w:val="00A44C24"/>
    <w:rsid w:val="00A51022"/>
    <w:rsid w:val="00A529C6"/>
    <w:rsid w:val="00A54F86"/>
    <w:rsid w:val="00A5671B"/>
    <w:rsid w:val="00A63392"/>
    <w:rsid w:val="00A67971"/>
    <w:rsid w:val="00A722C5"/>
    <w:rsid w:val="00A74D68"/>
    <w:rsid w:val="00A80044"/>
    <w:rsid w:val="00A80406"/>
    <w:rsid w:val="00A83992"/>
    <w:rsid w:val="00A859DC"/>
    <w:rsid w:val="00A85D7D"/>
    <w:rsid w:val="00A85EAD"/>
    <w:rsid w:val="00A86417"/>
    <w:rsid w:val="00A872DA"/>
    <w:rsid w:val="00A90B9F"/>
    <w:rsid w:val="00A9122E"/>
    <w:rsid w:val="00A91F36"/>
    <w:rsid w:val="00A923BF"/>
    <w:rsid w:val="00A93A7F"/>
    <w:rsid w:val="00A97B0B"/>
    <w:rsid w:val="00AA4795"/>
    <w:rsid w:val="00AA63BA"/>
    <w:rsid w:val="00AB029B"/>
    <w:rsid w:val="00AB19DA"/>
    <w:rsid w:val="00AB4FA3"/>
    <w:rsid w:val="00AB52C3"/>
    <w:rsid w:val="00AB675B"/>
    <w:rsid w:val="00AB6B27"/>
    <w:rsid w:val="00AC4375"/>
    <w:rsid w:val="00AD122B"/>
    <w:rsid w:val="00AD629B"/>
    <w:rsid w:val="00AD649B"/>
    <w:rsid w:val="00AD6B25"/>
    <w:rsid w:val="00AD6ED0"/>
    <w:rsid w:val="00AE13A9"/>
    <w:rsid w:val="00AE2C17"/>
    <w:rsid w:val="00AE5333"/>
    <w:rsid w:val="00AE61ED"/>
    <w:rsid w:val="00AE6F3C"/>
    <w:rsid w:val="00AE73B7"/>
    <w:rsid w:val="00AF196A"/>
    <w:rsid w:val="00AF54E1"/>
    <w:rsid w:val="00B0080D"/>
    <w:rsid w:val="00B04E81"/>
    <w:rsid w:val="00B054A7"/>
    <w:rsid w:val="00B054BE"/>
    <w:rsid w:val="00B0579A"/>
    <w:rsid w:val="00B05F20"/>
    <w:rsid w:val="00B062CE"/>
    <w:rsid w:val="00B14E6B"/>
    <w:rsid w:val="00B16089"/>
    <w:rsid w:val="00B16411"/>
    <w:rsid w:val="00B2097B"/>
    <w:rsid w:val="00B2125F"/>
    <w:rsid w:val="00B2407B"/>
    <w:rsid w:val="00B25923"/>
    <w:rsid w:val="00B26432"/>
    <w:rsid w:val="00B266B6"/>
    <w:rsid w:val="00B33E2B"/>
    <w:rsid w:val="00B34D24"/>
    <w:rsid w:val="00B36CB6"/>
    <w:rsid w:val="00B36FD6"/>
    <w:rsid w:val="00B412B9"/>
    <w:rsid w:val="00B457D5"/>
    <w:rsid w:val="00B46611"/>
    <w:rsid w:val="00B47764"/>
    <w:rsid w:val="00B4784E"/>
    <w:rsid w:val="00B512B6"/>
    <w:rsid w:val="00B52D63"/>
    <w:rsid w:val="00B565D4"/>
    <w:rsid w:val="00B56BC4"/>
    <w:rsid w:val="00B60368"/>
    <w:rsid w:val="00B62476"/>
    <w:rsid w:val="00B626BB"/>
    <w:rsid w:val="00B724FE"/>
    <w:rsid w:val="00B80D2F"/>
    <w:rsid w:val="00B82E58"/>
    <w:rsid w:val="00B863CD"/>
    <w:rsid w:val="00B8685E"/>
    <w:rsid w:val="00B90995"/>
    <w:rsid w:val="00B90EB4"/>
    <w:rsid w:val="00B96041"/>
    <w:rsid w:val="00B97802"/>
    <w:rsid w:val="00BA0E5D"/>
    <w:rsid w:val="00BA3124"/>
    <w:rsid w:val="00BA37AA"/>
    <w:rsid w:val="00BA4879"/>
    <w:rsid w:val="00BA4EF2"/>
    <w:rsid w:val="00BA540E"/>
    <w:rsid w:val="00BA55B3"/>
    <w:rsid w:val="00BA7E0C"/>
    <w:rsid w:val="00BB0CCB"/>
    <w:rsid w:val="00BB2465"/>
    <w:rsid w:val="00BB2B84"/>
    <w:rsid w:val="00BB4575"/>
    <w:rsid w:val="00BB7304"/>
    <w:rsid w:val="00BC12CD"/>
    <w:rsid w:val="00BC175F"/>
    <w:rsid w:val="00BC34E9"/>
    <w:rsid w:val="00BC4999"/>
    <w:rsid w:val="00BC5E0F"/>
    <w:rsid w:val="00BD048A"/>
    <w:rsid w:val="00BD2157"/>
    <w:rsid w:val="00BD389A"/>
    <w:rsid w:val="00BD636E"/>
    <w:rsid w:val="00BD6F90"/>
    <w:rsid w:val="00BE060F"/>
    <w:rsid w:val="00BE1F58"/>
    <w:rsid w:val="00BE2F9C"/>
    <w:rsid w:val="00BE392B"/>
    <w:rsid w:val="00BE3C13"/>
    <w:rsid w:val="00BE4BAF"/>
    <w:rsid w:val="00BF087B"/>
    <w:rsid w:val="00BF13B2"/>
    <w:rsid w:val="00BF3812"/>
    <w:rsid w:val="00BF4099"/>
    <w:rsid w:val="00C00F71"/>
    <w:rsid w:val="00C031A5"/>
    <w:rsid w:val="00C03FB6"/>
    <w:rsid w:val="00C06587"/>
    <w:rsid w:val="00C07A4F"/>
    <w:rsid w:val="00C13489"/>
    <w:rsid w:val="00C158E3"/>
    <w:rsid w:val="00C244BA"/>
    <w:rsid w:val="00C2519C"/>
    <w:rsid w:val="00C25425"/>
    <w:rsid w:val="00C254EC"/>
    <w:rsid w:val="00C25AD7"/>
    <w:rsid w:val="00C31620"/>
    <w:rsid w:val="00C34524"/>
    <w:rsid w:val="00C3532B"/>
    <w:rsid w:val="00C3605A"/>
    <w:rsid w:val="00C3769F"/>
    <w:rsid w:val="00C4070E"/>
    <w:rsid w:val="00C4643C"/>
    <w:rsid w:val="00C46538"/>
    <w:rsid w:val="00C46568"/>
    <w:rsid w:val="00C475B3"/>
    <w:rsid w:val="00C50F38"/>
    <w:rsid w:val="00C519A3"/>
    <w:rsid w:val="00C524FA"/>
    <w:rsid w:val="00C54866"/>
    <w:rsid w:val="00C557E5"/>
    <w:rsid w:val="00C55E92"/>
    <w:rsid w:val="00C56715"/>
    <w:rsid w:val="00C61DF1"/>
    <w:rsid w:val="00C636A8"/>
    <w:rsid w:val="00C649A3"/>
    <w:rsid w:val="00C64C38"/>
    <w:rsid w:val="00C65FA0"/>
    <w:rsid w:val="00C6606A"/>
    <w:rsid w:val="00C716E6"/>
    <w:rsid w:val="00C72A24"/>
    <w:rsid w:val="00C736D2"/>
    <w:rsid w:val="00C7432E"/>
    <w:rsid w:val="00C75571"/>
    <w:rsid w:val="00C76FE6"/>
    <w:rsid w:val="00C80245"/>
    <w:rsid w:val="00C8124B"/>
    <w:rsid w:val="00C8178E"/>
    <w:rsid w:val="00C834F6"/>
    <w:rsid w:val="00C84A36"/>
    <w:rsid w:val="00C84FEE"/>
    <w:rsid w:val="00C85D99"/>
    <w:rsid w:val="00C91707"/>
    <w:rsid w:val="00C91765"/>
    <w:rsid w:val="00C96612"/>
    <w:rsid w:val="00C976A1"/>
    <w:rsid w:val="00CA0E6A"/>
    <w:rsid w:val="00CA115B"/>
    <w:rsid w:val="00CA3F44"/>
    <w:rsid w:val="00CA4DB7"/>
    <w:rsid w:val="00CA4EDA"/>
    <w:rsid w:val="00CA6144"/>
    <w:rsid w:val="00CA6CAC"/>
    <w:rsid w:val="00CB103A"/>
    <w:rsid w:val="00CB3033"/>
    <w:rsid w:val="00CB3C9F"/>
    <w:rsid w:val="00CB5F47"/>
    <w:rsid w:val="00CC0FA9"/>
    <w:rsid w:val="00CC18DB"/>
    <w:rsid w:val="00CC1C15"/>
    <w:rsid w:val="00CC375D"/>
    <w:rsid w:val="00CC46A2"/>
    <w:rsid w:val="00CC4FB0"/>
    <w:rsid w:val="00CC5B47"/>
    <w:rsid w:val="00CC6D92"/>
    <w:rsid w:val="00CD04A5"/>
    <w:rsid w:val="00CD66D6"/>
    <w:rsid w:val="00CD7D67"/>
    <w:rsid w:val="00CE01EF"/>
    <w:rsid w:val="00CE5CF4"/>
    <w:rsid w:val="00CF001A"/>
    <w:rsid w:val="00CF0250"/>
    <w:rsid w:val="00CF355D"/>
    <w:rsid w:val="00D0134F"/>
    <w:rsid w:val="00D0202D"/>
    <w:rsid w:val="00D043AD"/>
    <w:rsid w:val="00D06C66"/>
    <w:rsid w:val="00D072A1"/>
    <w:rsid w:val="00D10D67"/>
    <w:rsid w:val="00D124B6"/>
    <w:rsid w:val="00D14919"/>
    <w:rsid w:val="00D14E99"/>
    <w:rsid w:val="00D1571D"/>
    <w:rsid w:val="00D21E36"/>
    <w:rsid w:val="00D22BAB"/>
    <w:rsid w:val="00D22CA2"/>
    <w:rsid w:val="00D2321E"/>
    <w:rsid w:val="00D23492"/>
    <w:rsid w:val="00D26520"/>
    <w:rsid w:val="00D277F8"/>
    <w:rsid w:val="00D300DD"/>
    <w:rsid w:val="00D311AE"/>
    <w:rsid w:val="00D31A84"/>
    <w:rsid w:val="00D33C92"/>
    <w:rsid w:val="00D34371"/>
    <w:rsid w:val="00D353F0"/>
    <w:rsid w:val="00D44F13"/>
    <w:rsid w:val="00D45385"/>
    <w:rsid w:val="00D479CD"/>
    <w:rsid w:val="00D50D2A"/>
    <w:rsid w:val="00D52ED9"/>
    <w:rsid w:val="00D55A38"/>
    <w:rsid w:val="00D57C1D"/>
    <w:rsid w:val="00D6016D"/>
    <w:rsid w:val="00D60576"/>
    <w:rsid w:val="00D659F8"/>
    <w:rsid w:val="00D66AB0"/>
    <w:rsid w:val="00D7231B"/>
    <w:rsid w:val="00D73829"/>
    <w:rsid w:val="00D77BCE"/>
    <w:rsid w:val="00D812C8"/>
    <w:rsid w:val="00D816BB"/>
    <w:rsid w:val="00D829D0"/>
    <w:rsid w:val="00D831E8"/>
    <w:rsid w:val="00D841A1"/>
    <w:rsid w:val="00D84F11"/>
    <w:rsid w:val="00D90303"/>
    <w:rsid w:val="00D91030"/>
    <w:rsid w:val="00D91940"/>
    <w:rsid w:val="00D92C17"/>
    <w:rsid w:val="00D930BB"/>
    <w:rsid w:val="00D932AD"/>
    <w:rsid w:val="00D93779"/>
    <w:rsid w:val="00D95A48"/>
    <w:rsid w:val="00D95A4C"/>
    <w:rsid w:val="00D95BD7"/>
    <w:rsid w:val="00D97F97"/>
    <w:rsid w:val="00DA12F0"/>
    <w:rsid w:val="00DB181C"/>
    <w:rsid w:val="00DB2200"/>
    <w:rsid w:val="00DB58CB"/>
    <w:rsid w:val="00DC3C79"/>
    <w:rsid w:val="00DC5EB5"/>
    <w:rsid w:val="00DC5F38"/>
    <w:rsid w:val="00DD132F"/>
    <w:rsid w:val="00DD78AE"/>
    <w:rsid w:val="00DD78E6"/>
    <w:rsid w:val="00DE249D"/>
    <w:rsid w:val="00DE3825"/>
    <w:rsid w:val="00DE49ED"/>
    <w:rsid w:val="00DE7E18"/>
    <w:rsid w:val="00DF1BE1"/>
    <w:rsid w:val="00DF439B"/>
    <w:rsid w:val="00DF5814"/>
    <w:rsid w:val="00DF6C21"/>
    <w:rsid w:val="00DF6C36"/>
    <w:rsid w:val="00DF7BB9"/>
    <w:rsid w:val="00E02431"/>
    <w:rsid w:val="00E02BE5"/>
    <w:rsid w:val="00E03C51"/>
    <w:rsid w:val="00E11081"/>
    <w:rsid w:val="00E13C8A"/>
    <w:rsid w:val="00E148F4"/>
    <w:rsid w:val="00E2004A"/>
    <w:rsid w:val="00E22781"/>
    <w:rsid w:val="00E245D0"/>
    <w:rsid w:val="00E255AC"/>
    <w:rsid w:val="00E26053"/>
    <w:rsid w:val="00E312D2"/>
    <w:rsid w:val="00E33009"/>
    <w:rsid w:val="00E3415B"/>
    <w:rsid w:val="00E4207D"/>
    <w:rsid w:val="00E42EAA"/>
    <w:rsid w:val="00E43660"/>
    <w:rsid w:val="00E449D8"/>
    <w:rsid w:val="00E45D74"/>
    <w:rsid w:val="00E51F99"/>
    <w:rsid w:val="00E52414"/>
    <w:rsid w:val="00E55177"/>
    <w:rsid w:val="00E57591"/>
    <w:rsid w:val="00E653F5"/>
    <w:rsid w:val="00E667FC"/>
    <w:rsid w:val="00E72DB3"/>
    <w:rsid w:val="00E72F1F"/>
    <w:rsid w:val="00E763ED"/>
    <w:rsid w:val="00E80A9B"/>
    <w:rsid w:val="00E811CE"/>
    <w:rsid w:val="00E85B31"/>
    <w:rsid w:val="00E86025"/>
    <w:rsid w:val="00E8709E"/>
    <w:rsid w:val="00E91C8A"/>
    <w:rsid w:val="00E93BCC"/>
    <w:rsid w:val="00E9439E"/>
    <w:rsid w:val="00E94474"/>
    <w:rsid w:val="00E945F9"/>
    <w:rsid w:val="00E947DF"/>
    <w:rsid w:val="00E9526F"/>
    <w:rsid w:val="00E96E54"/>
    <w:rsid w:val="00EA0F86"/>
    <w:rsid w:val="00EA1145"/>
    <w:rsid w:val="00EA11E5"/>
    <w:rsid w:val="00EA1ED7"/>
    <w:rsid w:val="00EA3FDA"/>
    <w:rsid w:val="00EA5C66"/>
    <w:rsid w:val="00EA6F6A"/>
    <w:rsid w:val="00EB09CB"/>
    <w:rsid w:val="00EB0C24"/>
    <w:rsid w:val="00EB13EB"/>
    <w:rsid w:val="00EC0728"/>
    <w:rsid w:val="00EC1617"/>
    <w:rsid w:val="00EC2752"/>
    <w:rsid w:val="00EC2D7B"/>
    <w:rsid w:val="00EC3475"/>
    <w:rsid w:val="00EC7653"/>
    <w:rsid w:val="00ED4554"/>
    <w:rsid w:val="00ED5241"/>
    <w:rsid w:val="00ED64CD"/>
    <w:rsid w:val="00ED7DBB"/>
    <w:rsid w:val="00EE19D7"/>
    <w:rsid w:val="00EE5896"/>
    <w:rsid w:val="00EE6E83"/>
    <w:rsid w:val="00EE6FF6"/>
    <w:rsid w:val="00EF20F4"/>
    <w:rsid w:val="00EF2D43"/>
    <w:rsid w:val="00EF2D68"/>
    <w:rsid w:val="00EF4BB5"/>
    <w:rsid w:val="00EF5BD9"/>
    <w:rsid w:val="00EF6456"/>
    <w:rsid w:val="00F00891"/>
    <w:rsid w:val="00F02662"/>
    <w:rsid w:val="00F06631"/>
    <w:rsid w:val="00F0794E"/>
    <w:rsid w:val="00F102B2"/>
    <w:rsid w:val="00F105FA"/>
    <w:rsid w:val="00F115E5"/>
    <w:rsid w:val="00F121C0"/>
    <w:rsid w:val="00F143F6"/>
    <w:rsid w:val="00F1492D"/>
    <w:rsid w:val="00F160B7"/>
    <w:rsid w:val="00F1690F"/>
    <w:rsid w:val="00F2140E"/>
    <w:rsid w:val="00F23B65"/>
    <w:rsid w:val="00F275D0"/>
    <w:rsid w:val="00F27C97"/>
    <w:rsid w:val="00F321F7"/>
    <w:rsid w:val="00F331FE"/>
    <w:rsid w:val="00F344A6"/>
    <w:rsid w:val="00F344D6"/>
    <w:rsid w:val="00F3485E"/>
    <w:rsid w:val="00F348DA"/>
    <w:rsid w:val="00F35244"/>
    <w:rsid w:val="00F37250"/>
    <w:rsid w:val="00F3752A"/>
    <w:rsid w:val="00F401AB"/>
    <w:rsid w:val="00F40FBF"/>
    <w:rsid w:val="00F4149C"/>
    <w:rsid w:val="00F414D7"/>
    <w:rsid w:val="00F4165C"/>
    <w:rsid w:val="00F41ABA"/>
    <w:rsid w:val="00F4368E"/>
    <w:rsid w:val="00F43D41"/>
    <w:rsid w:val="00F502E0"/>
    <w:rsid w:val="00F52C3C"/>
    <w:rsid w:val="00F52F5A"/>
    <w:rsid w:val="00F54E34"/>
    <w:rsid w:val="00F55CCE"/>
    <w:rsid w:val="00F56501"/>
    <w:rsid w:val="00F57034"/>
    <w:rsid w:val="00F5705E"/>
    <w:rsid w:val="00F603CC"/>
    <w:rsid w:val="00F64A9E"/>
    <w:rsid w:val="00F64F57"/>
    <w:rsid w:val="00F70167"/>
    <w:rsid w:val="00F705AE"/>
    <w:rsid w:val="00F74EBD"/>
    <w:rsid w:val="00F82ADB"/>
    <w:rsid w:val="00F831B3"/>
    <w:rsid w:val="00F86B8B"/>
    <w:rsid w:val="00F8733F"/>
    <w:rsid w:val="00F910EF"/>
    <w:rsid w:val="00F91562"/>
    <w:rsid w:val="00F921B4"/>
    <w:rsid w:val="00F94057"/>
    <w:rsid w:val="00F962CD"/>
    <w:rsid w:val="00F96524"/>
    <w:rsid w:val="00FA25D3"/>
    <w:rsid w:val="00FA3D6B"/>
    <w:rsid w:val="00FA4022"/>
    <w:rsid w:val="00FA6493"/>
    <w:rsid w:val="00FA65E2"/>
    <w:rsid w:val="00FA7DC3"/>
    <w:rsid w:val="00FB255F"/>
    <w:rsid w:val="00FB3AAB"/>
    <w:rsid w:val="00FB6924"/>
    <w:rsid w:val="00FB7E37"/>
    <w:rsid w:val="00FC02B4"/>
    <w:rsid w:val="00FC4D62"/>
    <w:rsid w:val="00FC4DC3"/>
    <w:rsid w:val="00FD1370"/>
    <w:rsid w:val="00FD5F55"/>
    <w:rsid w:val="00FE0D6B"/>
    <w:rsid w:val="00FE2042"/>
    <w:rsid w:val="00FE3364"/>
    <w:rsid w:val="00FE34A0"/>
    <w:rsid w:val="00FE4EC0"/>
    <w:rsid w:val="00FE63D6"/>
    <w:rsid w:val="00FE6711"/>
    <w:rsid w:val="00FF2D5E"/>
    <w:rsid w:val="00FF3FB5"/>
    <w:rsid w:val="00FF5A2F"/>
    <w:rsid w:val="010075EB"/>
    <w:rsid w:val="014464BB"/>
    <w:rsid w:val="018A2DD6"/>
    <w:rsid w:val="01944FA6"/>
    <w:rsid w:val="01B254D2"/>
    <w:rsid w:val="01B32DAC"/>
    <w:rsid w:val="01ED0EB7"/>
    <w:rsid w:val="01FA0FE4"/>
    <w:rsid w:val="02012CC2"/>
    <w:rsid w:val="021B48C8"/>
    <w:rsid w:val="02204B8A"/>
    <w:rsid w:val="022B2C0A"/>
    <w:rsid w:val="022F6BC7"/>
    <w:rsid w:val="02416F44"/>
    <w:rsid w:val="0244425F"/>
    <w:rsid w:val="024D776B"/>
    <w:rsid w:val="026A0AE8"/>
    <w:rsid w:val="0277107B"/>
    <w:rsid w:val="027E2B09"/>
    <w:rsid w:val="029119C5"/>
    <w:rsid w:val="02C90803"/>
    <w:rsid w:val="02DA49BF"/>
    <w:rsid w:val="02E77631"/>
    <w:rsid w:val="031469F7"/>
    <w:rsid w:val="03346EF1"/>
    <w:rsid w:val="034104E4"/>
    <w:rsid w:val="034E77FA"/>
    <w:rsid w:val="037E7B55"/>
    <w:rsid w:val="038247D1"/>
    <w:rsid w:val="038932DA"/>
    <w:rsid w:val="039244C7"/>
    <w:rsid w:val="03AC5851"/>
    <w:rsid w:val="03AE2FE7"/>
    <w:rsid w:val="03B562A5"/>
    <w:rsid w:val="03B84CAB"/>
    <w:rsid w:val="03BF0DB3"/>
    <w:rsid w:val="03CE6E4F"/>
    <w:rsid w:val="03EC7ADB"/>
    <w:rsid w:val="03F241D3"/>
    <w:rsid w:val="040A5563"/>
    <w:rsid w:val="0412063E"/>
    <w:rsid w:val="04155FF2"/>
    <w:rsid w:val="042268D9"/>
    <w:rsid w:val="042C1E25"/>
    <w:rsid w:val="043128C5"/>
    <w:rsid w:val="04405E89"/>
    <w:rsid w:val="04506123"/>
    <w:rsid w:val="04516C11"/>
    <w:rsid w:val="046B508B"/>
    <w:rsid w:val="04723FE0"/>
    <w:rsid w:val="04831DF5"/>
    <w:rsid w:val="04953394"/>
    <w:rsid w:val="04AE2C39"/>
    <w:rsid w:val="04B638C9"/>
    <w:rsid w:val="04BA090E"/>
    <w:rsid w:val="04C035DB"/>
    <w:rsid w:val="04DC7AA1"/>
    <w:rsid w:val="052E6A0B"/>
    <w:rsid w:val="05351C19"/>
    <w:rsid w:val="05464E54"/>
    <w:rsid w:val="05507DB3"/>
    <w:rsid w:val="0555214E"/>
    <w:rsid w:val="055D3305"/>
    <w:rsid w:val="056E0C00"/>
    <w:rsid w:val="05756DA2"/>
    <w:rsid w:val="058A5177"/>
    <w:rsid w:val="059B7983"/>
    <w:rsid w:val="059D3FC3"/>
    <w:rsid w:val="05A0262C"/>
    <w:rsid w:val="05A209B1"/>
    <w:rsid w:val="05B16FE4"/>
    <w:rsid w:val="05B6346C"/>
    <w:rsid w:val="05DA3800"/>
    <w:rsid w:val="05DD2CAF"/>
    <w:rsid w:val="05EB5EC4"/>
    <w:rsid w:val="05EF467C"/>
    <w:rsid w:val="062C2A0E"/>
    <w:rsid w:val="06474F59"/>
    <w:rsid w:val="06493CDF"/>
    <w:rsid w:val="06682478"/>
    <w:rsid w:val="067D6448"/>
    <w:rsid w:val="068C63E6"/>
    <w:rsid w:val="069E5968"/>
    <w:rsid w:val="06AF3171"/>
    <w:rsid w:val="06B46DF4"/>
    <w:rsid w:val="06D0743C"/>
    <w:rsid w:val="06D277CE"/>
    <w:rsid w:val="06D54086"/>
    <w:rsid w:val="06F93FB6"/>
    <w:rsid w:val="071D537B"/>
    <w:rsid w:val="07441979"/>
    <w:rsid w:val="07476CBE"/>
    <w:rsid w:val="07680C05"/>
    <w:rsid w:val="076C2B3D"/>
    <w:rsid w:val="07944BFB"/>
    <w:rsid w:val="07A20778"/>
    <w:rsid w:val="07C30DC0"/>
    <w:rsid w:val="07CB1C49"/>
    <w:rsid w:val="07FE491D"/>
    <w:rsid w:val="080541CB"/>
    <w:rsid w:val="080833FF"/>
    <w:rsid w:val="081109FA"/>
    <w:rsid w:val="081F5E64"/>
    <w:rsid w:val="083D5587"/>
    <w:rsid w:val="08487BCE"/>
    <w:rsid w:val="084E2C38"/>
    <w:rsid w:val="08542415"/>
    <w:rsid w:val="0857273B"/>
    <w:rsid w:val="086064EB"/>
    <w:rsid w:val="08826C9A"/>
    <w:rsid w:val="0885360A"/>
    <w:rsid w:val="088840F9"/>
    <w:rsid w:val="08935B48"/>
    <w:rsid w:val="08962007"/>
    <w:rsid w:val="08A460BD"/>
    <w:rsid w:val="08A95FDE"/>
    <w:rsid w:val="08BD08B7"/>
    <w:rsid w:val="08C279CD"/>
    <w:rsid w:val="08E67064"/>
    <w:rsid w:val="08E850C3"/>
    <w:rsid w:val="08E92ED7"/>
    <w:rsid w:val="08F85B47"/>
    <w:rsid w:val="0900752E"/>
    <w:rsid w:val="0937501A"/>
    <w:rsid w:val="093E1C02"/>
    <w:rsid w:val="0955265E"/>
    <w:rsid w:val="09556F00"/>
    <w:rsid w:val="096156B5"/>
    <w:rsid w:val="09761A18"/>
    <w:rsid w:val="09874053"/>
    <w:rsid w:val="098C15AD"/>
    <w:rsid w:val="0999523A"/>
    <w:rsid w:val="09D0648D"/>
    <w:rsid w:val="0A03435D"/>
    <w:rsid w:val="0A110812"/>
    <w:rsid w:val="0A111F5C"/>
    <w:rsid w:val="0A216D3B"/>
    <w:rsid w:val="0A2A589F"/>
    <w:rsid w:val="0A2F7DC2"/>
    <w:rsid w:val="0A4941EF"/>
    <w:rsid w:val="0A54111B"/>
    <w:rsid w:val="0A7A508D"/>
    <w:rsid w:val="0AAB574F"/>
    <w:rsid w:val="0AB623B0"/>
    <w:rsid w:val="0ABC2E87"/>
    <w:rsid w:val="0ABF53B4"/>
    <w:rsid w:val="0AC01B2F"/>
    <w:rsid w:val="0ACD69C7"/>
    <w:rsid w:val="0AD063E7"/>
    <w:rsid w:val="0AD84D58"/>
    <w:rsid w:val="0AE36146"/>
    <w:rsid w:val="0AE77571"/>
    <w:rsid w:val="0AED7863"/>
    <w:rsid w:val="0AF33383"/>
    <w:rsid w:val="0B1E54CC"/>
    <w:rsid w:val="0B526C20"/>
    <w:rsid w:val="0B5F3D2C"/>
    <w:rsid w:val="0B6357F2"/>
    <w:rsid w:val="0B6920C9"/>
    <w:rsid w:val="0BB9314C"/>
    <w:rsid w:val="0BC25FDA"/>
    <w:rsid w:val="0BCB3067"/>
    <w:rsid w:val="0BE77114"/>
    <w:rsid w:val="0BFA6134"/>
    <w:rsid w:val="0C156278"/>
    <w:rsid w:val="0C193FE8"/>
    <w:rsid w:val="0C3279E8"/>
    <w:rsid w:val="0C3B6B9E"/>
    <w:rsid w:val="0C457826"/>
    <w:rsid w:val="0C4D4F79"/>
    <w:rsid w:val="0C6D2071"/>
    <w:rsid w:val="0C783830"/>
    <w:rsid w:val="0C9040A9"/>
    <w:rsid w:val="0C9772B7"/>
    <w:rsid w:val="0C9D11C1"/>
    <w:rsid w:val="0D0343E8"/>
    <w:rsid w:val="0D0904F0"/>
    <w:rsid w:val="0D1F7467"/>
    <w:rsid w:val="0D376CD8"/>
    <w:rsid w:val="0D3E6E23"/>
    <w:rsid w:val="0D460BF6"/>
    <w:rsid w:val="0D6C0594"/>
    <w:rsid w:val="0D7E3D32"/>
    <w:rsid w:val="0D8743CA"/>
    <w:rsid w:val="0D966621"/>
    <w:rsid w:val="0DA4122C"/>
    <w:rsid w:val="0DA96558"/>
    <w:rsid w:val="0DB7190D"/>
    <w:rsid w:val="0DBC1618"/>
    <w:rsid w:val="0DC37C2D"/>
    <w:rsid w:val="0DDD3D4B"/>
    <w:rsid w:val="0DF742E8"/>
    <w:rsid w:val="0DFB38A9"/>
    <w:rsid w:val="0DFC6867"/>
    <w:rsid w:val="0E054B31"/>
    <w:rsid w:val="0E1C4DF8"/>
    <w:rsid w:val="0E442C5F"/>
    <w:rsid w:val="0E4449F4"/>
    <w:rsid w:val="0E5C239D"/>
    <w:rsid w:val="0E6C5623"/>
    <w:rsid w:val="0E9A16A0"/>
    <w:rsid w:val="0E9C3A80"/>
    <w:rsid w:val="0EA83860"/>
    <w:rsid w:val="0EC11DB1"/>
    <w:rsid w:val="0ECA3487"/>
    <w:rsid w:val="0EDF2674"/>
    <w:rsid w:val="0EE27EFA"/>
    <w:rsid w:val="0EE73304"/>
    <w:rsid w:val="0EEB1960"/>
    <w:rsid w:val="0EEF2F3A"/>
    <w:rsid w:val="0EF1079A"/>
    <w:rsid w:val="0F034B9F"/>
    <w:rsid w:val="0F334EAC"/>
    <w:rsid w:val="0F380CF4"/>
    <w:rsid w:val="0F482EAC"/>
    <w:rsid w:val="0F4B55A7"/>
    <w:rsid w:val="0F5D74B7"/>
    <w:rsid w:val="0F7F0EF9"/>
    <w:rsid w:val="0F851459"/>
    <w:rsid w:val="0F8F1193"/>
    <w:rsid w:val="0FA20284"/>
    <w:rsid w:val="0FAE47D0"/>
    <w:rsid w:val="0FAF2C1E"/>
    <w:rsid w:val="0FC5746F"/>
    <w:rsid w:val="0FC73B58"/>
    <w:rsid w:val="0FE04AF8"/>
    <w:rsid w:val="0FED31DB"/>
    <w:rsid w:val="0FF878BE"/>
    <w:rsid w:val="1012557E"/>
    <w:rsid w:val="10141182"/>
    <w:rsid w:val="102742DA"/>
    <w:rsid w:val="10360A28"/>
    <w:rsid w:val="10394744"/>
    <w:rsid w:val="103D3495"/>
    <w:rsid w:val="1046543F"/>
    <w:rsid w:val="105A40DF"/>
    <w:rsid w:val="107E68E7"/>
    <w:rsid w:val="10864944"/>
    <w:rsid w:val="109615A9"/>
    <w:rsid w:val="10B10371"/>
    <w:rsid w:val="10BC4184"/>
    <w:rsid w:val="10BE0833"/>
    <w:rsid w:val="10CD621A"/>
    <w:rsid w:val="10E430B3"/>
    <w:rsid w:val="10F05ACB"/>
    <w:rsid w:val="10F52DBA"/>
    <w:rsid w:val="110000F0"/>
    <w:rsid w:val="110C1984"/>
    <w:rsid w:val="112214F7"/>
    <w:rsid w:val="112528C9"/>
    <w:rsid w:val="113B4A52"/>
    <w:rsid w:val="115469A1"/>
    <w:rsid w:val="115A5307"/>
    <w:rsid w:val="11731ED8"/>
    <w:rsid w:val="11771730"/>
    <w:rsid w:val="11790C53"/>
    <w:rsid w:val="1186164E"/>
    <w:rsid w:val="118916FB"/>
    <w:rsid w:val="118F66DA"/>
    <w:rsid w:val="11C15967"/>
    <w:rsid w:val="11CC1DC3"/>
    <w:rsid w:val="11CE1A42"/>
    <w:rsid w:val="11D87F8D"/>
    <w:rsid w:val="11E21A55"/>
    <w:rsid w:val="11E86E62"/>
    <w:rsid w:val="11F96B7B"/>
    <w:rsid w:val="12062999"/>
    <w:rsid w:val="122E1F54"/>
    <w:rsid w:val="122F4065"/>
    <w:rsid w:val="12463C8B"/>
    <w:rsid w:val="12550A22"/>
    <w:rsid w:val="125819A7"/>
    <w:rsid w:val="128072E8"/>
    <w:rsid w:val="128105EC"/>
    <w:rsid w:val="1296148B"/>
    <w:rsid w:val="12A8461D"/>
    <w:rsid w:val="12A93DFA"/>
    <w:rsid w:val="12AF45B4"/>
    <w:rsid w:val="12B677C2"/>
    <w:rsid w:val="12DB1D83"/>
    <w:rsid w:val="12DF2B84"/>
    <w:rsid w:val="12E60B70"/>
    <w:rsid w:val="12E87176"/>
    <w:rsid w:val="12EB341D"/>
    <w:rsid w:val="12EF1239"/>
    <w:rsid w:val="12FE7BB6"/>
    <w:rsid w:val="13233F21"/>
    <w:rsid w:val="133176F4"/>
    <w:rsid w:val="134F66BB"/>
    <w:rsid w:val="1351446D"/>
    <w:rsid w:val="135E6CD6"/>
    <w:rsid w:val="136256DC"/>
    <w:rsid w:val="137F2FFB"/>
    <w:rsid w:val="13C156F5"/>
    <w:rsid w:val="13C41980"/>
    <w:rsid w:val="13D9661F"/>
    <w:rsid w:val="13E75DFD"/>
    <w:rsid w:val="13EF4F40"/>
    <w:rsid w:val="13FD0428"/>
    <w:rsid w:val="14015E2E"/>
    <w:rsid w:val="14030ED7"/>
    <w:rsid w:val="14200317"/>
    <w:rsid w:val="142F2909"/>
    <w:rsid w:val="142F43C4"/>
    <w:rsid w:val="143E3F7E"/>
    <w:rsid w:val="148370CB"/>
    <w:rsid w:val="14A4376A"/>
    <w:rsid w:val="14AF1AFB"/>
    <w:rsid w:val="14AF537E"/>
    <w:rsid w:val="14DF538A"/>
    <w:rsid w:val="14F8090B"/>
    <w:rsid w:val="14FE50FD"/>
    <w:rsid w:val="15134595"/>
    <w:rsid w:val="1523533D"/>
    <w:rsid w:val="155E7499"/>
    <w:rsid w:val="15926C0E"/>
    <w:rsid w:val="15AB6757"/>
    <w:rsid w:val="15B754F7"/>
    <w:rsid w:val="161A6E20"/>
    <w:rsid w:val="161E52F6"/>
    <w:rsid w:val="161F42CE"/>
    <w:rsid w:val="16244BA5"/>
    <w:rsid w:val="16427D13"/>
    <w:rsid w:val="16446E8C"/>
    <w:rsid w:val="1649189C"/>
    <w:rsid w:val="16682151"/>
    <w:rsid w:val="16693194"/>
    <w:rsid w:val="1674297A"/>
    <w:rsid w:val="16873E04"/>
    <w:rsid w:val="16A24CDB"/>
    <w:rsid w:val="16AC1CCC"/>
    <w:rsid w:val="16DD7794"/>
    <w:rsid w:val="16F83FBE"/>
    <w:rsid w:val="17020B8B"/>
    <w:rsid w:val="17134B7E"/>
    <w:rsid w:val="172D57AC"/>
    <w:rsid w:val="174156B7"/>
    <w:rsid w:val="17451FF2"/>
    <w:rsid w:val="17465256"/>
    <w:rsid w:val="175A07E0"/>
    <w:rsid w:val="175D1764"/>
    <w:rsid w:val="17653B72"/>
    <w:rsid w:val="177B25F5"/>
    <w:rsid w:val="177E3E97"/>
    <w:rsid w:val="178E1F33"/>
    <w:rsid w:val="17A10E21"/>
    <w:rsid w:val="17AA7A6C"/>
    <w:rsid w:val="17DB7A23"/>
    <w:rsid w:val="17EF7DDE"/>
    <w:rsid w:val="17F001BC"/>
    <w:rsid w:val="180F4F9D"/>
    <w:rsid w:val="181C294C"/>
    <w:rsid w:val="1841525A"/>
    <w:rsid w:val="18814E45"/>
    <w:rsid w:val="18D16761"/>
    <w:rsid w:val="18DC2EDA"/>
    <w:rsid w:val="18DF2FA2"/>
    <w:rsid w:val="18F56002"/>
    <w:rsid w:val="18FF308F"/>
    <w:rsid w:val="190D0464"/>
    <w:rsid w:val="19193C38"/>
    <w:rsid w:val="19212A90"/>
    <w:rsid w:val="192B2C59"/>
    <w:rsid w:val="19763D46"/>
    <w:rsid w:val="198F649E"/>
    <w:rsid w:val="199204E8"/>
    <w:rsid w:val="19AB0160"/>
    <w:rsid w:val="19B634E4"/>
    <w:rsid w:val="19B67296"/>
    <w:rsid w:val="19BD0D56"/>
    <w:rsid w:val="19CA72DF"/>
    <w:rsid w:val="19DD3743"/>
    <w:rsid w:val="19F72CAC"/>
    <w:rsid w:val="19FD3D59"/>
    <w:rsid w:val="1A175E5A"/>
    <w:rsid w:val="1A1773DF"/>
    <w:rsid w:val="1A347747"/>
    <w:rsid w:val="1A3811A1"/>
    <w:rsid w:val="1A4A65D3"/>
    <w:rsid w:val="1A551442"/>
    <w:rsid w:val="1A6B1AA9"/>
    <w:rsid w:val="1A82366D"/>
    <w:rsid w:val="1A84167E"/>
    <w:rsid w:val="1A9557B6"/>
    <w:rsid w:val="1AA85649"/>
    <w:rsid w:val="1AA9305D"/>
    <w:rsid w:val="1AB001C9"/>
    <w:rsid w:val="1AC132AD"/>
    <w:rsid w:val="1AD50A96"/>
    <w:rsid w:val="1AE82C29"/>
    <w:rsid w:val="1AE84762"/>
    <w:rsid w:val="1B023DB0"/>
    <w:rsid w:val="1B0424DF"/>
    <w:rsid w:val="1B0E6672"/>
    <w:rsid w:val="1B487750"/>
    <w:rsid w:val="1B4C3F58"/>
    <w:rsid w:val="1B507884"/>
    <w:rsid w:val="1B516F09"/>
    <w:rsid w:val="1B531365"/>
    <w:rsid w:val="1B5A0CF0"/>
    <w:rsid w:val="1BA445E7"/>
    <w:rsid w:val="1BAB1CAE"/>
    <w:rsid w:val="1BAC38A3"/>
    <w:rsid w:val="1BB42683"/>
    <w:rsid w:val="1BB52303"/>
    <w:rsid w:val="1BBA51B0"/>
    <w:rsid w:val="1BC04F4C"/>
    <w:rsid w:val="1BC16115"/>
    <w:rsid w:val="1BC9751D"/>
    <w:rsid w:val="1BCF2EAD"/>
    <w:rsid w:val="1BD72652"/>
    <w:rsid w:val="1BD81D53"/>
    <w:rsid w:val="1BE76213"/>
    <w:rsid w:val="1BE972DA"/>
    <w:rsid w:val="1BF636F2"/>
    <w:rsid w:val="1BFD04F9"/>
    <w:rsid w:val="1C0C2F65"/>
    <w:rsid w:val="1C0F7519"/>
    <w:rsid w:val="1C104F28"/>
    <w:rsid w:val="1C2D3246"/>
    <w:rsid w:val="1C3A035E"/>
    <w:rsid w:val="1C3F2267"/>
    <w:rsid w:val="1C5A786C"/>
    <w:rsid w:val="1C694603"/>
    <w:rsid w:val="1C700838"/>
    <w:rsid w:val="1C725F39"/>
    <w:rsid w:val="1C7A4A57"/>
    <w:rsid w:val="1CE32D75"/>
    <w:rsid w:val="1CE76FE6"/>
    <w:rsid w:val="1CF27B0C"/>
    <w:rsid w:val="1D123CB9"/>
    <w:rsid w:val="1D54432D"/>
    <w:rsid w:val="1D5B63A3"/>
    <w:rsid w:val="1DB41DC8"/>
    <w:rsid w:val="1DB60B4F"/>
    <w:rsid w:val="1DC0365D"/>
    <w:rsid w:val="1DDC1B87"/>
    <w:rsid w:val="1DDF068E"/>
    <w:rsid w:val="1DE06110"/>
    <w:rsid w:val="1DF5042B"/>
    <w:rsid w:val="1E270F6A"/>
    <w:rsid w:val="1E29560A"/>
    <w:rsid w:val="1E33399B"/>
    <w:rsid w:val="1E3D59F6"/>
    <w:rsid w:val="1E501C47"/>
    <w:rsid w:val="1E521DDC"/>
    <w:rsid w:val="1E5A0411"/>
    <w:rsid w:val="1E615C1A"/>
    <w:rsid w:val="1E723480"/>
    <w:rsid w:val="1E805990"/>
    <w:rsid w:val="1E981141"/>
    <w:rsid w:val="1ECA08A3"/>
    <w:rsid w:val="1ED16069"/>
    <w:rsid w:val="1EDC5093"/>
    <w:rsid w:val="1F1B206A"/>
    <w:rsid w:val="1F3F2891"/>
    <w:rsid w:val="1F4278CA"/>
    <w:rsid w:val="1F4934E4"/>
    <w:rsid w:val="1F741DA9"/>
    <w:rsid w:val="1F921359"/>
    <w:rsid w:val="1F9B1C69"/>
    <w:rsid w:val="1FA47A22"/>
    <w:rsid w:val="1FB52F12"/>
    <w:rsid w:val="1FC31B28"/>
    <w:rsid w:val="1FD85D63"/>
    <w:rsid w:val="1FDB2A52"/>
    <w:rsid w:val="1FDF5A1E"/>
    <w:rsid w:val="1FEA0867"/>
    <w:rsid w:val="1FF05C03"/>
    <w:rsid w:val="200B6827"/>
    <w:rsid w:val="200C7BFB"/>
    <w:rsid w:val="201673B4"/>
    <w:rsid w:val="205F60D4"/>
    <w:rsid w:val="20737353"/>
    <w:rsid w:val="20841BE6"/>
    <w:rsid w:val="2087096D"/>
    <w:rsid w:val="209D4D0F"/>
    <w:rsid w:val="20BB2DEE"/>
    <w:rsid w:val="20CD2264"/>
    <w:rsid w:val="20E40D06"/>
    <w:rsid w:val="20F25736"/>
    <w:rsid w:val="20F37C9C"/>
    <w:rsid w:val="20F86BF8"/>
    <w:rsid w:val="21053439"/>
    <w:rsid w:val="210B2A97"/>
    <w:rsid w:val="211B33DF"/>
    <w:rsid w:val="211C1B31"/>
    <w:rsid w:val="212154AC"/>
    <w:rsid w:val="212632D9"/>
    <w:rsid w:val="212A726B"/>
    <w:rsid w:val="213360C4"/>
    <w:rsid w:val="214445A3"/>
    <w:rsid w:val="215C4B82"/>
    <w:rsid w:val="217414EF"/>
    <w:rsid w:val="218A2096"/>
    <w:rsid w:val="21B535DD"/>
    <w:rsid w:val="21BD3A96"/>
    <w:rsid w:val="21D37566"/>
    <w:rsid w:val="21D7200F"/>
    <w:rsid w:val="21DA4716"/>
    <w:rsid w:val="21E36050"/>
    <w:rsid w:val="21E52AA7"/>
    <w:rsid w:val="2204335C"/>
    <w:rsid w:val="220747FA"/>
    <w:rsid w:val="220F766F"/>
    <w:rsid w:val="22264B96"/>
    <w:rsid w:val="222D4521"/>
    <w:rsid w:val="22315125"/>
    <w:rsid w:val="22520EDD"/>
    <w:rsid w:val="226520FC"/>
    <w:rsid w:val="226B7889"/>
    <w:rsid w:val="228E32C0"/>
    <w:rsid w:val="229A6171"/>
    <w:rsid w:val="22B00A35"/>
    <w:rsid w:val="22D02FAE"/>
    <w:rsid w:val="22D633D5"/>
    <w:rsid w:val="22DE5C18"/>
    <w:rsid w:val="22FB0071"/>
    <w:rsid w:val="22FD3574"/>
    <w:rsid w:val="23045086"/>
    <w:rsid w:val="23140F9B"/>
    <w:rsid w:val="2316746F"/>
    <w:rsid w:val="233E161A"/>
    <w:rsid w:val="234D4CE0"/>
    <w:rsid w:val="23547806"/>
    <w:rsid w:val="23603619"/>
    <w:rsid w:val="23613299"/>
    <w:rsid w:val="23672FA4"/>
    <w:rsid w:val="236A0E4E"/>
    <w:rsid w:val="236C162A"/>
    <w:rsid w:val="23791FD4"/>
    <w:rsid w:val="23865A00"/>
    <w:rsid w:val="23913DE8"/>
    <w:rsid w:val="23A857F1"/>
    <w:rsid w:val="23B24AE2"/>
    <w:rsid w:val="23B91729"/>
    <w:rsid w:val="23D6539D"/>
    <w:rsid w:val="24084D2B"/>
    <w:rsid w:val="241D4B57"/>
    <w:rsid w:val="24236224"/>
    <w:rsid w:val="2425685A"/>
    <w:rsid w:val="24301B4D"/>
    <w:rsid w:val="243E1570"/>
    <w:rsid w:val="244E5C3A"/>
    <w:rsid w:val="24575D36"/>
    <w:rsid w:val="246C2851"/>
    <w:rsid w:val="24701268"/>
    <w:rsid w:val="247846A1"/>
    <w:rsid w:val="24794F9B"/>
    <w:rsid w:val="248249F5"/>
    <w:rsid w:val="248705C4"/>
    <w:rsid w:val="248F70E0"/>
    <w:rsid w:val="2494490F"/>
    <w:rsid w:val="249C1CC3"/>
    <w:rsid w:val="249E0AA2"/>
    <w:rsid w:val="24A36A13"/>
    <w:rsid w:val="24AC7768"/>
    <w:rsid w:val="24AF2DCF"/>
    <w:rsid w:val="24B52569"/>
    <w:rsid w:val="24C63A58"/>
    <w:rsid w:val="24DD4E1D"/>
    <w:rsid w:val="24E45DA7"/>
    <w:rsid w:val="24E8060D"/>
    <w:rsid w:val="24E9074E"/>
    <w:rsid w:val="24ED56A6"/>
    <w:rsid w:val="250B1734"/>
    <w:rsid w:val="25215953"/>
    <w:rsid w:val="25230CFB"/>
    <w:rsid w:val="25396722"/>
    <w:rsid w:val="25397845"/>
    <w:rsid w:val="25602A1C"/>
    <w:rsid w:val="25701558"/>
    <w:rsid w:val="259C54CD"/>
    <w:rsid w:val="25AE312A"/>
    <w:rsid w:val="25AF49D4"/>
    <w:rsid w:val="25BF65FB"/>
    <w:rsid w:val="25C744D7"/>
    <w:rsid w:val="25E33490"/>
    <w:rsid w:val="25E90AE7"/>
    <w:rsid w:val="26210C1E"/>
    <w:rsid w:val="26240577"/>
    <w:rsid w:val="26295FFB"/>
    <w:rsid w:val="264136D1"/>
    <w:rsid w:val="26492CDC"/>
    <w:rsid w:val="26505EEA"/>
    <w:rsid w:val="26522EA8"/>
    <w:rsid w:val="267B5F8E"/>
    <w:rsid w:val="268362C1"/>
    <w:rsid w:val="268705C2"/>
    <w:rsid w:val="26926A95"/>
    <w:rsid w:val="26C4296B"/>
    <w:rsid w:val="26CC0950"/>
    <w:rsid w:val="26D57925"/>
    <w:rsid w:val="26EE4AEF"/>
    <w:rsid w:val="27066912"/>
    <w:rsid w:val="270E63AA"/>
    <w:rsid w:val="27152DC8"/>
    <w:rsid w:val="271B4D43"/>
    <w:rsid w:val="273B4BEE"/>
    <w:rsid w:val="27435A51"/>
    <w:rsid w:val="27482BFF"/>
    <w:rsid w:val="278C7E70"/>
    <w:rsid w:val="27AF38A8"/>
    <w:rsid w:val="27CE703E"/>
    <w:rsid w:val="27D8263D"/>
    <w:rsid w:val="27D85BC0"/>
    <w:rsid w:val="27DD4B45"/>
    <w:rsid w:val="28164551"/>
    <w:rsid w:val="28204972"/>
    <w:rsid w:val="283418DA"/>
    <w:rsid w:val="2846681B"/>
    <w:rsid w:val="28651E7E"/>
    <w:rsid w:val="28A43E8F"/>
    <w:rsid w:val="28B43155"/>
    <w:rsid w:val="28F042F6"/>
    <w:rsid w:val="28FE6A4D"/>
    <w:rsid w:val="28FF44CE"/>
    <w:rsid w:val="29170CD9"/>
    <w:rsid w:val="29235B3A"/>
    <w:rsid w:val="2943504D"/>
    <w:rsid w:val="29710F8A"/>
    <w:rsid w:val="29741F0F"/>
    <w:rsid w:val="299F2DF9"/>
    <w:rsid w:val="29BB2683"/>
    <w:rsid w:val="29C9741A"/>
    <w:rsid w:val="29D3655E"/>
    <w:rsid w:val="29D4102F"/>
    <w:rsid w:val="29D659C5"/>
    <w:rsid w:val="29FB0EEE"/>
    <w:rsid w:val="2A0A5C85"/>
    <w:rsid w:val="2A144016"/>
    <w:rsid w:val="2A1C09AE"/>
    <w:rsid w:val="2A2778DC"/>
    <w:rsid w:val="2A2D4F40"/>
    <w:rsid w:val="2A4028DC"/>
    <w:rsid w:val="2A4525E7"/>
    <w:rsid w:val="2A4931EC"/>
    <w:rsid w:val="2A5063FA"/>
    <w:rsid w:val="2A693A20"/>
    <w:rsid w:val="2A84206C"/>
    <w:rsid w:val="2A930DCD"/>
    <w:rsid w:val="2A950493"/>
    <w:rsid w:val="2A9C3B5D"/>
    <w:rsid w:val="2AAC0265"/>
    <w:rsid w:val="2ABC498E"/>
    <w:rsid w:val="2ADD329F"/>
    <w:rsid w:val="2AE87B84"/>
    <w:rsid w:val="2AF040CB"/>
    <w:rsid w:val="2AF43A06"/>
    <w:rsid w:val="2AF43EF4"/>
    <w:rsid w:val="2AFF73A3"/>
    <w:rsid w:val="2B065545"/>
    <w:rsid w:val="2B295D8C"/>
    <w:rsid w:val="2B48310F"/>
    <w:rsid w:val="2B5613E8"/>
    <w:rsid w:val="2B615665"/>
    <w:rsid w:val="2B6371BC"/>
    <w:rsid w:val="2B94452D"/>
    <w:rsid w:val="2BA95732"/>
    <w:rsid w:val="2BBC30CD"/>
    <w:rsid w:val="2BC74CE2"/>
    <w:rsid w:val="2BCC505D"/>
    <w:rsid w:val="2BE27A8A"/>
    <w:rsid w:val="2C023E66"/>
    <w:rsid w:val="2C0C5343"/>
    <w:rsid w:val="2C1007F2"/>
    <w:rsid w:val="2C3907B8"/>
    <w:rsid w:val="2C393974"/>
    <w:rsid w:val="2C5D2C57"/>
    <w:rsid w:val="2C7212B2"/>
    <w:rsid w:val="2C7A76C0"/>
    <w:rsid w:val="2C7C70D5"/>
    <w:rsid w:val="2CA31EEA"/>
    <w:rsid w:val="2CB16305"/>
    <w:rsid w:val="2CBE047B"/>
    <w:rsid w:val="2CD933DA"/>
    <w:rsid w:val="2CEA02BC"/>
    <w:rsid w:val="2CFF0262"/>
    <w:rsid w:val="2D1E783E"/>
    <w:rsid w:val="2D290148"/>
    <w:rsid w:val="2D2C202A"/>
    <w:rsid w:val="2D3319B5"/>
    <w:rsid w:val="2D4B3F2E"/>
    <w:rsid w:val="2D4C61E9"/>
    <w:rsid w:val="2D511C5B"/>
    <w:rsid w:val="2D5D05FB"/>
    <w:rsid w:val="2D734A3C"/>
    <w:rsid w:val="2D7F6F76"/>
    <w:rsid w:val="2D8A43D9"/>
    <w:rsid w:val="2D974F5D"/>
    <w:rsid w:val="2DA72A14"/>
    <w:rsid w:val="2DB46A8B"/>
    <w:rsid w:val="2DD97BC5"/>
    <w:rsid w:val="2DDF2633"/>
    <w:rsid w:val="2DFC4EBE"/>
    <w:rsid w:val="2E11065B"/>
    <w:rsid w:val="2E1F0819"/>
    <w:rsid w:val="2E361093"/>
    <w:rsid w:val="2E5F231B"/>
    <w:rsid w:val="2E680171"/>
    <w:rsid w:val="2E766B49"/>
    <w:rsid w:val="2E811350"/>
    <w:rsid w:val="2EAB4EF9"/>
    <w:rsid w:val="2EB8037B"/>
    <w:rsid w:val="2ED53072"/>
    <w:rsid w:val="2ED578D6"/>
    <w:rsid w:val="2EE90B2A"/>
    <w:rsid w:val="2EFB6DA3"/>
    <w:rsid w:val="2F086A5B"/>
    <w:rsid w:val="2F2A406E"/>
    <w:rsid w:val="2F357E81"/>
    <w:rsid w:val="2F437197"/>
    <w:rsid w:val="2F6011C4"/>
    <w:rsid w:val="2F7B0865"/>
    <w:rsid w:val="2F824BFB"/>
    <w:rsid w:val="2F8D13DF"/>
    <w:rsid w:val="2F90750B"/>
    <w:rsid w:val="2F9846A2"/>
    <w:rsid w:val="2FA362B7"/>
    <w:rsid w:val="2FB05DB2"/>
    <w:rsid w:val="2FC32F68"/>
    <w:rsid w:val="2FE53B32"/>
    <w:rsid w:val="2FE85162"/>
    <w:rsid w:val="2FFB1A6A"/>
    <w:rsid w:val="30270E02"/>
    <w:rsid w:val="30370D29"/>
    <w:rsid w:val="306730ED"/>
    <w:rsid w:val="307149C9"/>
    <w:rsid w:val="308A2D31"/>
    <w:rsid w:val="308E71B9"/>
    <w:rsid w:val="309E19D2"/>
    <w:rsid w:val="30F009F7"/>
    <w:rsid w:val="310314D0"/>
    <w:rsid w:val="311B5793"/>
    <w:rsid w:val="31253DE5"/>
    <w:rsid w:val="313534E4"/>
    <w:rsid w:val="313E7737"/>
    <w:rsid w:val="31744B04"/>
    <w:rsid w:val="318A5C8E"/>
    <w:rsid w:val="319E1574"/>
    <w:rsid w:val="31BE3F1D"/>
    <w:rsid w:val="31CD416C"/>
    <w:rsid w:val="31D077C5"/>
    <w:rsid w:val="31DA2397"/>
    <w:rsid w:val="31E77834"/>
    <w:rsid w:val="31EE25F8"/>
    <w:rsid w:val="31F9551F"/>
    <w:rsid w:val="31FC65C4"/>
    <w:rsid w:val="321C1E43"/>
    <w:rsid w:val="322275CF"/>
    <w:rsid w:val="32265FD5"/>
    <w:rsid w:val="32387F65"/>
    <w:rsid w:val="323B5CA2"/>
    <w:rsid w:val="323D23EA"/>
    <w:rsid w:val="325D388A"/>
    <w:rsid w:val="327B34E1"/>
    <w:rsid w:val="32A66524"/>
    <w:rsid w:val="32A73A7A"/>
    <w:rsid w:val="32B36180"/>
    <w:rsid w:val="32C736B8"/>
    <w:rsid w:val="32D1034A"/>
    <w:rsid w:val="32D44B75"/>
    <w:rsid w:val="32D528F6"/>
    <w:rsid w:val="32F92259"/>
    <w:rsid w:val="33050007"/>
    <w:rsid w:val="33203C6F"/>
    <w:rsid w:val="332D0D86"/>
    <w:rsid w:val="333530C4"/>
    <w:rsid w:val="333A4819"/>
    <w:rsid w:val="334A3280"/>
    <w:rsid w:val="3363332D"/>
    <w:rsid w:val="33875D59"/>
    <w:rsid w:val="338A111E"/>
    <w:rsid w:val="33910AAB"/>
    <w:rsid w:val="33B32549"/>
    <w:rsid w:val="33BF02F5"/>
    <w:rsid w:val="33CC2F7B"/>
    <w:rsid w:val="33DB0B1F"/>
    <w:rsid w:val="33E701B5"/>
    <w:rsid w:val="33F203DA"/>
    <w:rsid w:val="33F66251"/>
    <w:rsid w:val="34137D7F"/>
    <w:rsid w:val="342D5ABF"/>
    <w:rsid w:val="343239E3"/>
    <w:rsid w:val="34445525"/>
    <w:rsid w:val="34463A51"/>
    <w:rsid w:val="34502C51"/>
    <w:rsid w:val="346028C4"/>
    <w:rsid w:val="34A018E8"/>
    <w:rsid w:val="34A054E6"/>
    <w:rsid w:val="34A22009"/>
    <w:rsid w:val="34AA129C"/>
    <w:rsid w:val="34D86B6F"/>
    <w:rsid w:val="351A46E3"/>
    <w:rsid w:val="352217B2"/>
    <w:rsid w:val="352443D9"/>
    <w:rsid w:val="354D5A45"/>
    <w:rsid w:val="35654E87"/>
    <w:rsid w:val="35A26038"/>
    <w:rsid w:val="35B648CD"/>
    <w:rsid w:val="35CD17DB"/>
    <w:rsid w:val="35DF1D74"/>
    <w:rsid w:val="35EF56A7"/>
    <w:rsid w:val="360241D0"/>
    <w:rsid w:val="360F4CE8"/>
    <w:rsid w:val="36334691"/>
    <w:rsid w:val="36407E87"/>
    <w:rsid w:val="365B6F4F"/>
    <w:rsid w:val="365E2A65"/>
    <w:rsid w:val="36620B4E"/>
    <w:rsid w:val="3673029B"/>
    <w:rsid w:val="367B308D"/>
    <w:rsid w:val="367F45F6"/>
    <w:rsid w:val="36891F5E"/>
    <w:rsid w:val="368D390B"/>
    <w:rsid w:val="369860BB"/>
    <w:rsid w:val="36BA2093"/>
    <w:rsid w:val="36BE0F18"/>
    <w:rsid w:val="36C866EF"/>
    <w:rsid w:val="36FA327F"/>
    <w:rsid w:val="37022F00"/>
    <w:rsid w:val="37125486"/>
    <w:rsid w:val="37197AEC"/>
    <w:rsid w:val="372E3495"/>
    <w:rsid w:val="3744398B"/>
    <w:rsid w:val="37482601"/>
    <w:rsid w:val="374952C1"/>
    <w:rsid w:val="37576857"/>
    <w:rsid w:val="37701980"/>
    <w:rsid w:val="37802DC5"/>
    <w:rsid w:val="379D6FCC"/>
    <w:rsid w:val="37A408A5"/>
    <w:rsid w:val="37B41E0D"/>
    <w:rsid w:val="37B46BF1"/>
    <w:rsid w:val="37C44B04"/>
    <w:rsid w:val="37C87E10"/>
    <w:rsid w:val="37D42B23"/>
    <w:rsid w:val="37F863E1"/>
    <w:rsid w:val="37FB2BE8"/>
    <w:rsid w:val="38353807"/>
    <w:rsid w:val="38356245"/>
    <w:rsid w:val="38704DA6"/>
    <w:rsid w:val="38725AAB"/>
    <w:rsid w:val="38777FB4"/>
    <w:rsid w:val="387B0503"/>
    <w:rsid w:val="387D1645"/>
    <w:rsid w:val="38A85B03"/>
    <w:rsid w:val="38DA69D3"/>
    <w:rsid w:val="38E8156C"/>
    <w:rsid w:val="392F1CE1"/>
    <w:rsid w:val="393124F3"/>
    <w:rsid w:val="39376BFA"/>
    <w:rsid w:val="39451DEF"/>
    <w:rsid w:val="39463B04"/>
    <w:rsid w:val="395E25D9"/>
    <w:rsid w:val="3998745F"/>
    <w:rsid w:val="39A66FFB"/>
    <w:rsid w:val="39B478E6"/>
    <w:rsid w:val="39B90520"/>
    <w:rsid w:val="39BA3CAC"/>
    <w:rsid w:val="39C80BDA"/>
    <w:rsid w:val="39CA310C"/>
    <w:rsid w:val="39EC2635"/>
    <w:rsid w:val="3A0C6125"/>
    <w:rsid w:val="3A1309C2"/>
    <w:rsid w:val="3A173B31"/>
    <w:rsid w:val="3A1741DD"/>
    <w:rsid w:val="3A35598B"/>
    <w:rsid w:val="3A46626E"/>
    <w:rsid w:val="3A5B6580"/>
    <w:rsid w:val="3A5D24A2"/>
    <w:rsid w:val="3A5E6B4F"/>
    <w:rsid w:val="3A6C4287"/>
    <w:rsid w:val="3A6F280E"/>
    <w:rsid w:val="3A717D6E"/>
    <w:rsid w:val="3A753140"/>
    <w:rsid w:val="3A7E3187"/>
    <w:rsid w:val="3A925BB5"/>
    <w:rsid w:val="3AA7642C"/>
    <w:rsid w:val="3AC455FA"/>
    <w:rsid w:val="3AE94535"/>
    <w:rsid w:val="3AEC50AC"/>
    <w:rsid w:val="3AED5139"/>
    <w:rsid w:val="3B0405E2"/>
    <w:rsid w:val="3B11244F"/>
    <w:rsid w:val="3B297A57"/>
    <w:rsid w:val="3B3D1A41"/>
    <w:rsid w:val="3B425EC8"/>
    <w:rsid w:val="3B471D02"/>
    <w:rsid w:val="3B485A9D"/>
    <w:rsid w:val="3B4C2642"/>
    <w:rsid w:val="3B5E49D2"/>
    <w:rsid w:val="3B605EC0"/>
    <w:rsid w:val="3B7148B6"/>
    <w:rsid w:val="3B747E44"/>
    <w:rsid w:val="3B764418"/>
    <w:rsid w:val="3B963CA8"/>
    <w:rsid w:val="3BA851E3"/>
    <w:rsid w:val="3BD479B6"/>
    <w:rsid w:val="3BF74C54"/>
    <w:rsid w:val="3BFB3002"/>
    <w:rsid w:val="3C137C96"/>
    <w:rsid w:val="3C144D18"/>
    <w:rsid w:val="3C1926A8"/>
    <w:rsid w:val="3C3022CE"/>
    <w:rsid w:val="3C362D74"/>
    <w:rsid w:val="3C587C0F"/>
    <w:rsid w:val="3C5B369D"/>
    <w:rsid w:val="3C5D1DD9"/>
    <w:rsid w:val="3C7F58D0"/>
    <w:rsid w:val="3C9C32CE"/>
    <w:rsid w:val="3CD60BE5"/>
    <w:rsid w:val="3CE54EBA"/>
    <w:rsid w:val="3CEB0E28"/>
    <w:rsid w:val="3CF25B59"/>
    <w:rsid w:val="3D011321"/>
    <w:rsid w:val="3D09328D"/>
    <w:rsid w:val="3D347108"/>
    <w:rsid w:val="3D432DCD"/>
    <w:rsid w:val="3D4338CB"/>
    <w:rsid w:val="3D4C3540"/>
    <w:rsid w:val="3D6E255B"/>
    <w:rsid w:val="3D8B1285"/>
    <w:rsid w:val="3D9060D6"/>
    <w:rsid w:val="3DAB1C72"/>
    <w:rsid w:val="3DB67B4B"/>
    <w:rsid w:val="3DBD54FE"/>
    <w:rsid w:val="3DC50166"/>
    <w:rsid w:val="3DFB0640"/>
    <w:rsid w:val="3DFF1244"/>
    <w:rsid w:val="3E104D62"/>
    <w:rsid w:val="3E2F3C47"/>
    <w:rsid w:val="3E343C9D"/>
    <w:rsid w:val="3E3826A3"/>
    <w:rsid w:val="3E3E34AB"/>
    <w:rsid w:val="3E4E45BF"/>
    <w:rsid w:val="3E5C7D67"/>
    <w:rsid w:val="3E725D00"/>
    <w:rsid w:val="3E781559"/>
    <w:rsid w:val="3EA038EF"/>
    <w:rsid w:val="3EAC4F9B"/>
    <w:rsid w:val="3EBD3CCB"/>
    <w:rsid w:val="3ED731F7"/>
    <w:rsid w:val="3F0B01FB"/>
    <w:rsid w:val="3F144206"/>
    <w:rsid w:val="3F2C09B1"/>
    <w:rsid w:val="3F5C23E9"/>
    <w:rsid w:val="3F605988"/>
    <w:rsid w:val="3F663C97"/>
    <w:rsid w:val="3F7410E3"/>
    <w:rsid w:val="3FA25898"/>
    <w:rsid w:val="3FB3410E"/>
    <w:rsid w:val="3FBA151A"/>
    <w:rsid w:val="3FE05A88"/>
    <w:rsid w:val="3FE334A2"/>
    <w:rsid w:val="3FE727C0"/>
    <w:rsid w:val="3FF9512D"/>
    <w:rsid w:val="400D5119"/>
    <w:rsid w:val="40107DC4"/>
    <w:rsid w:val="401A4DB7"/>
    <w:rsid w:val="401D5D3B"/>
    <w:rsid w:val="402257BC"/>
    <w:rsid w:val="40272C5B"/>
    <w:rsid w:val="403027DE"/>
    <w:rsid w:val="40321280"/>
    <w:rsid w:val="40343568"/>
    <w:rsid w:val="404B47FE"/>
    <w:rsid w:val="406571D2"/>
    <w:rsid w:val="40A07467"/>
    <w:rsid w:val="40AD7A0F"/>
    <w:rsid w:val="40B53D3D"/>
    <w:rsid w:val="40B6083B"/>
    <w:rsid w:val="40D57DED"/>
    <w:rsid w:val="40F45D9F"/>
    <w:rsid w:val="40F92E32"/>
    <w:rsid w:val="40FC0CF2"/>
    <w:rsid w:val="41060E52"/>
    <w:rsid w:val="412906DA"/>
    <w:rsid w:val="41674009"/>
    <w:rsid w:val="41694A56"/>
    <w:rsid w:val="41774C8D"/>
    <w:rsid w:val="4185761F"/>
    <w:rsid w:val="419868AD"/>
    <w:rsid w:val="419B4CF5"/>
    <w:rsid w:val="41A05EB7"/>
    <w:rsid w:val="41B53340"/>
    <w:rsid w:val="41B75F61"/>
    <w:rsid w:val="41C9127A"/>
    <w:rsid w:val="41D43789"/>
    <w:rsid w:val="41EB1305"/>
    <w:rsid w:val="42336445"/>
    <w:rsid w:val="423B7316"/>
    <w:rsid w:val="425F0874"/>
    <w:rsid w:val="42640CC5"/>
    <w:rsid w:val="426C1EA8"/>
    <w:rsid w:val="42760499"/>
    <w:rsid w:val="429B73D4"/>
    <w:rsid w:val="42C1415E"/>
    <w:rsid w:val="42CB2122"/>
    <w:rsid w:val="42CF65A9"/>
    <w:rsid w:val="42D40833"/>
    <w:rsid w:val="42E353D5"/>
    <w:rsid w:val="42F75C15"/>
    <w:rsid w:val="42F9196C"/>
    <w:rsid w:val="42FF5989"/>
    <w:rsid w:val="43017703"/>
    <w:rsid w:val="4324765C"/>
    <w:rsid w:val="433E6B71"/>
    <w:rsid w:val="433F593A"/>
    <w:rsid w:val="434268E8"/>
    <w:rsid w:val="43465A4C"/>
    <w:rsid w:val="435566DC"/>
    <w:rsid w:val="4362139B"/>
    <w:rsid w:val="43621CD6"/>
    <w:rsid w:val="43982048"/>
    <w:rsid w:val="43AC657B"/>
    <w:rsid w:val="43D64D48"/>
    <w:rsid w:val="43DB36F4"/>
    <w:rsid w:val="43E87D2C"/>
    <w:rsid w:val="440E40C0"/>
    <w:rsid w:val="443142E4"/>
    <w:rsid w:val="4442648B"/>
    <w:rsid w:val="444663DC"/>
    <w:rsid w:val="44771FB2"/>
    <w:rsid w:val="44866C90"/>
    <w:rsid w:val="4496231D"/>
    <w:rsid w:val="449E7F2F"/>
    <w:rsid w:val="44BA6822"/>
    <w:rsid w:val="44D66CFF"/>
    <w:rsid w:val="44FA6A22"/>
    <w:rsid w:val="44FB313C"/>
    <w:rsid w:val="451A1577"/>
    <w:rsid w:val="451F3201"/>
    <w:rsid w:val="452C1C8C"/>
    <w:rsid w:val="45330876"/>
    <w:rsid w:val="45396036"/>
    <w:rsid w:val="454F1D48"/>
    <w:rsid w:val="455B1156"/>
    <w:rsid w:val="45616A75"/>
    <w:rsid w:val="457903B4"/>
    <w:rsid w:val="45825893"/>
    <w:rsid w:val="459508FA"/>
    <w:rsid w:val="45E74D31"/>
    <w:rsid w:val="46267925"/>
    <w:rsid w:val="4629110B"/>
    <w:rsid w:val="465159CC"/>
    <w:rsid w:val="46603AD2"/>
    <w:rsid w:val="467354EE"/>
    <w:rsid w:val="467F5A35"/>
    <w:rsid w:val="46945684"/>
    <w:rsid w:val="46A54D20"/>
    <w:rsid w:val="46CE1038"/>
    <w:rsid w:val="46D17C44"/>
    <w:rsid w:val="47107740"/>
    <w:rsid w:val="47327E1C"/>
    <w:rsid w:val="47394A4E"/>
    <w:rsid w:val="4741387D"/>
    <w:rsid w:val="47421CEB"/>
    <w:rsid w:val="47496783"/>
    <w:rsid w:val="474B1C86"/>
    <w:rsid w:val="476E56BE"/>
    <w:rsid w:val="478552E3"/>
    <w:rsid w:val="47912CAD"/>
    <w:rsid w:val="479C1380"/>
    <w:rsid w:val="47DF46F8"/>
    <w:rsid w:val="47F75622"/>
    <w:rsid w:val="480F3C80"/>
    <w:rsid w:val="48226466"/>
    <w:rsid w:val="486149D1"/>
    <w:rsid w:val="48710218"/>
    <w:rsid w:val="4879708B"/>
    <w:rsid w:val="487E214D"/>
    <w:rsid w:val="4882192A"/>
    <w:rsid w:val="48880343"/>
    <w:rsid w:val="48AC1250"/>
    <w:rsid w:val="48DB6907"/>
    <w:rsid w:val="48E076C9"/>
    <w:rsid w:val="48E155A0"/>
    <w:rsid w:val="48E40723"/>
    <w:rsid w:val="48EB53A0"/>
    <w:rsid w:val="48FB3BCB"/>
    <w:rsid w:val="48FD27CD"/>
    <w:rsid w:val="49015AD4"/>
    <w:rsid w:val="4917550E"/>
    <w:rsid w:val="494A71CD"/>
    <w:rsid w:val="49726F4F"/>
    <w:rsid w:val="497A4F52"/>
    <w:rsid w:val="497D2E9F"/>
    <w:rsid w:val="4989523E"/>
    <w:rsid w:val="499814CB"/>
    <w:rsid w:val="4999531C"/>
    <w:rsid w:val="49AD3738"/>
    <w:rsid w:val="49C73A27"/>
    <w:rsid w:val="49CD639A"/>
    <w:rsid w:val="49EA0EE9"/>
    <w:rsid w:val="49EB5173"/>
    <w:rsid w:val="49FE24F4"/>
    <w:rsid w:val="4A0253E3"/>
    <w:rsid w:val="4A096307"/>
    <w:rsid w:val="4A167610"/>
    <w:rsid w:val="4A1A034A"/>
    <w:rsid w:val="4A2758B7"/>
    <w:rsid w:val="4A4731BF"/>
    <w:rsid w:val="4A631BA6"/>
    <w:rsid w:val="4A6A177C"/>
    <w:rsid w:val="4A6D27A8"/>
    <w:rsid w:val="4A706FB0"/>
    <w:rsid w:val="4AAB008E"/>
    <w:rsid w:val="4AC32C47"/>
    <w:rsid w:val="4ACC2010"/>
    <w:rsid w:val="4AE228A1"/>
    <w:rsid w:val="4AF403AA"/>
    <w:rsid w:val="4AF92A09"/>
    <w:rsid w:val="4AF96D7B"/>
    <w:rsid w:val="4B2A63DE"/>
    <w:rsid w:val="4B2D6177"/>
    <w:rsid w:val="4B34077F"/>
    <w:rsid w:val="4B4834B2"/>
    <w:rsid w:val="4B6068B8"/>
    <w:rsid w:val="4B637BDF"/>
    <w:rsid w:val="4B8F3B84"/>
    <w:rsid w:val="4BA22AF7"/>
    <w:rsid w:val="4BA402A6"/>
    <w:rsid w:val="4BB61845"/>
    <w:rsid w:val="4BD63E74"/>
    <w:rsid w:val="4BD76EF4"/>
    <w:rsid w:val="4BEA737D"/>
    <w:rsid w:val="4BF0215C"/>
    <w:rsid w:val="4BF327E2"/>
    <w:rsid w:val="4C0E1539"/>
    <w:rsid w:val="4C0F1752"/>
    <w:rsid w:val="4C147660"/>
    <w:rsid w:val="4C303A2A"/>
    <w:rsid w:val="4C3679AD"/>
    <w:rsid w:val="4C455C43"/>
    <w:rsid w:val="4C4D37E0"/>
    <w:rsid w:val="4C524C2F"/>
    <w:rsid w:val="4C803267"/>
    <w:rsid w:val="4C8E3AA7"/>
    <w:rsid w:val="4CAF644E"/>
    <w:rsid w:val="4CBC32F1"/>
    <w:rsid w:val="4CCC6E0F"/>
    <w:rsid w:val="4CF37F08"/>
    <w:rsid w:val="4D0D0410"/>
    <w:rsid w:val="4D2C6548"/>
    <w:rsid w:val="4D2F6B38"/>
    <w:rsid w:val="4D472ED5"/>
    <w:rsid w:val="4D476508"/>
    <w:rsid w:val="4D9877DD"/>
    <w:rsid w:val="4D9A4717"/>
    <w:rsid w:val="4D9A6EC4"/>
    <w:rsid w:val="4DBD1158"/>
    <w:rsid w:val="4DCA28A4"/>
    <w:rsid w:val="4DCC25F1"/>
    <w:rsid w:val="4DCF2FAE"/>
    <w:rsid w:val="4DE72DDF"/>
    <w:rsid w:val="4DF52DA3"/>
    <w:rsid w:val="4DF61D74"/>
    <w:rsid w:val="4DFC16FF"/>
    <w:rsid w:val="4E0B1D1A"/>
    <w:rsid w:val="4E0F5EDC"/>
    <w:rsid w:val="4E202BB9"/>
    <w:rsid w:val="4E593A09"/>
    <w:rsid w:val="4E87050B"/>
    <w:rsid w:val="4E8D0FEE"/>
    <w:rsid w:val="4E9C0BC5"/>
    <w:rsid w:val="4EAE2AF7"/>
    <w:rsid w:val="4ECD1DD8"/>
    <w:rsid w:val="4EF84E1A"/>
    <w:rsid w:val="4EF9611F"/>
    <w:rsid w:val="4F0C554D"/>
    <w:rsid w:val="4F243965"/>
    <w:rsid w:val="4F2A7645"/>
    <w:rsid w:val="4F2D6C3E"/>
    <w:rsid w:val="4F2F1620"/>
    <w:rsid w:val="4F317D35"/>
    <w:rsid w:val="4F3A498A"/>
    <w:rsid w:val="4F4A131D"/>
    <w:rsid w:val="4F5D74BC"/>
    <w:rsid w:val="4F691C56"/>
    <w:rsid w:val="4F810626"/>
    <w:rsid w:val="4F847B89"/>
    <w:rsid w:val="4F92089C"/>
    <w:rsid w:val="4FC17652"/>
    <w:rsid w:val="4FE0099B"/>
    <w:rsid w:val="4FFB7551"/>
    <w:rsid w:val="501A73E7"/>
    <w:rsid w:val="50225A3D"/>
    <w:rsid w:val="50280D8F"/>
    <w:rsid w:val="50303C1D"/>
    <w:rsid w:val="50342842"/>
    <w:rsid w:val="5051614E"/>
    <w:rsid w:val="50564A6E"/>
    <w:rsid w:val="506378EF"/>
    <w:rsid w:val="50776590"/>
    <w:rsid w:val="50861C6B"/>
    <w:rsid w:val="508D10CE"/>
    <w:rsid w:val="508D19BD"/>
    <w:rsid w:val="508F539B"/>
    <w:rsid w:val="50916A5B"/>
    <w:rsid w:val="50972234"/>
    <w:rsid w:val="50C541CF"/>
    <w:rsid w:val="50CE6F9F"/>
    <w:rsid w:val="50D11434"/>
    <w:rsid w:val="50E73672"/>
    <w:rsid w:val="511030CC"/>
    <w:rsid w:val="511F408A"/>
    <w:rsid w:val="5134341B"/>
    <w:rsid w:val="513C1084"/>
    <w:rsid w:val="514F70CF"/>
    <w:rsid w:val="51635294"/>
    <w:rsid w:val="51652390"/>
    <w:rsid w:val="51656440"/>
    <w:rsid w:val="51726460"/>
    <w:rsid w:val="51933865"/>
    <w:rsid w:val="51A22282"/>
    <w:rsid w:val="51B8499E"/>
    <w:rsid w:val="51C37D85"/>
    <w:rsid w:val="51C54122"/>
    <w:rsid w:val="51D82CD4"/>
    <w:rsid w:val="51E91D98"/>
    <w:rsid w:val="52016097"/>
    <w:rsid w:val="52083889"/>
    <w:rsid w:val="523B502D"/>
    <w:rsid w:val="523D0C8A"/>
    <w:rsid w:val="52440CB0"/>
    <w:rsid w:val="52481D3D"/>
    <w:rsid w:val="52630513"/>
    <w:rsid w:val="528F4A01"/>
    <w:rsid w:val="529C282C"/>
    <w:rsid w:val="529C7DFC"/>
    <w:rsid w:val="529E1798"/>
    <w:rsid w:val="52A56BA5"/>
    <w:rsid w:val="52AB0AAE"/>
    <w:rsid w:val="52B87DC4"/>
    <w:rsid w:val="52E2054F"/>
    <w:rsid w:val="52EC506B"/>
    <w:rsid w:val="52EC74FB"/>
    <w:rsid w:val="52F3554A"/>
    <w:rsid w:val="52F421A7"/>
    <w:rsid w:val="5310069C"/>
    <w:rsid w:val="53101579"/>
    <w:rsid w:val="531F686F"/>
    <w:rsid w:val="532042F0"/>
    <w:rsid w:val="53434506"/>
    <w:rsid w:val="53446786"/>
    <w:rsid w:val="5347445F"/>
    <w:rsid w:val="537E6888"/>
    <w:rsid w:val="538A5297"/>
    <w:rsid w:val="538C5511"/>
    <w:rsid w:val="53934916"/>
    <w:rsid w:val="53A56748"/>
    <w:rsid w:val="53AB0651"/>
    <w:rsid w:val="53AF28DA"/>
    <w:rsid w:val="53BC636D"/>
    <w:rsid w:val="53C863F2"/>
    <w:rsid w:val="53EE4E13"/>
    <w:rsid w:val="53F342C8"/>
    <w:rsid w:val="53F41520"/>
    <w:rsid w:val="53FF00DB"/>
    <w:rsid w:val="544508EC"/>
    <w:rsid w:val="544D14DF"/>
    <w:rsid w:val="544E01F0"/>
    <w:rsid w:val="54595F7A"/>
    <w:rsid w:val="54643811"/>
    <w:rsid w:val="54723C7D"/>
    <w:rsid w:val="549A60AE"/>
    <w:rsid w:val="54A6749B"/>
    <w:rsid w:val="54AA48B9"/>
    <w:rsid w:val="54C379E3"/>
    <w:rsid w:val="54F326AE"/>
    <w:rsid w:val="54F41600"/>
    <w:rsid w:val="55052AD1"/>
    <w:rsid w:val="550A5C7C"/>
    <w:rsid w:val="55100ADD"/>
    <w:rsid w:val="552859D4"/>
    <w:rsid w:val="553A1575"/>
    <w:rsid w:val="554A487A"/>
    <w:rsid w:val="554F6B7B"/>
    <w:rsid w:val="5553766F"/>
    <w:rsid w:val="557D6795"/>
    <w:rsid w:val="558318CB"/>
    <w:rsid w:val="55BD5384"/>
    <w:rsid w:val="55EE2EA8"/>
    <w:rsid w:val="55FC5E1B"/>
    <w:rsid w:val="560C1FF7"/>
    <w:rsid w:val="56144228"/>
    <w:rsid w:val="56241FDF"/>
    <w:rsid w:val="562E4D5B"/>
    <w:rsid w:val="565902BA"/>
    <w:rsid w:val="565F3DA6"/>
    <w:rsid w:val="56635347"/>
    <w:rsid w:val="56723AD9"/>
    <w:rsid w:val="56731A93"/>
    <w:rsid w:val="568F294C"/>
    <w:rsid w:val="56955A19"/>
    <w:rsid w:val="569C67A5"/>
    <w:rsid w:val="56AD2973"/>
    <w:rsid w:val="56B011F9"/>
    <w:rsid w:val="56E6209D"/>
    <w:rsid w:val="56E733A1"/>
    <w:rsid w:val="56EA7B13"/>
    <w:rsid w:val="56F14DBD"/>
    <w:rsid w:val="570A485B"/>
    <w:rsid w:val="57111D6F"/>
    <w:rsid w:val="571C7097"/>
    <w:rsid w:val="573619C6"/>
    <w:rsid w:val="57492455"/>
    <w:rsid w:val="57560A8B"/>
    <w:rsid w:val="576B0496"/>
    <w:rsid w:val="576F4DA5"/>
    <w:rsid w:val="577D2735"/>
    <w:rsid w:val="578A6974"/>
    <w:rsid w:val="57A31556"/>
    <w:rsid w:val="57B936FA"/>
    <w:rsid w:val="57BF5FD4"/>
    <w:rsid w:val="57C31A8B"/>
    <w:rsid w:val="57D93826"/>
    <w:rsid w:val="57E4547F"/>
    <w:rsid w:val="58083479"/>
    <w:rsid w:val="58160494"/>
    <w:rsid w:val="58242DA9"/>
    <w:rsid w:val="583439C3"/>
    <w:rsid w:val="58392D3C"/>
    <w:rsid w:val="58495567"/>
    <w:rsid w:val="584C4158"/>
    <w:rsid w:val="5854203E"/>
    <w:rsid w:val="585E3E88"/>
    <w:rsid w:val="58661886"/>
    <w:rsid w:val="58761A4F"/>
    <w:rsid w:val="587B1239"/>
    <w:rsid w:val="589866DF"/>
    <w:rsid w:val="58A67D4C"/>
    <w:rsid w:val="58A91C4D"/>
    <w:rsid w:val="58AE4F0C"/>
    <w:rsid w:val="58BB67A0"/>
    <w:rsid w:val="58DE44BF"/>
    <w:rsid w:val="58F05975"/>
    <w:rsid w:val="590B144F"/>
    <w:rsid w:val="590D65AA"/>
    <w:rsid w:val="59163865"/>
    <w:rsid w:val="592B2698"/>
    <w:rsid w:val="59473FB6"/>
    <w:rsid w:val="594B1696"/>
    <w:rsid w:val="595A56A0"/>
    <w:rsid w:val="59685F8C"/>
    <w:rsid w:val="59723DF0"/>
    <w:rsid w:val="598439D7"/>
    <w:rsid w:val="599F5B19"/>
    <w:rsid w:val="59A97480"/>
    <w:rsid w:val="59B9352D"/>
    <w:rsid w:val="59C21C97"/>
    <w:rsid w:val="59D61F0E"/>
    <w:rsid w:val="59E2024B"/>
    <w:rsid w:val="59F3528E"/>
    <w:rsid w:val="5A02058E"/>
    <w:rsid w:val="5A04583D"/>
    <w:rsid w:val="5A4E5CBD"/>
    <w:rsid w:val="5A5508D7"/>
    <w:rsid w:val="5A6F6621"/>
    <w:rsid w:val="5A76409B"/>
    <w:rsid w:val="5A82610B"/>
    <w:rsid w:val="5A972107"/>
    <w:rsid w:val="5AC67AF9"/>
    <w:rsid w:val="5ACF50C8"/>
    <w:rsid w:val="5AE81333"/>
    <w:rsid w:val="5AF95C18"/>
    <w:rsid w:val="5AFC1BC3"/>
    <w:rsid w:val="5B081542"/>
    <w:rsid w:val="5B096777"/>
    <w:rsid w:val="5B14010B"/>
    <w:rsid w:val="5B1F2BC6"/>
    <w:rsid w:val="5B212792"/>
    <w:rsid w:val="5B3B6561"/>
    <w:rsid w:val="5B4724D7"/>
    <w:rsid w:val="5B49484F"/>
    <w:rsid w:val="5B5B054B"/>
    <w:rsid w:val="5B6B2007"/>
    <w:rsid w:val="5B761E9C"/>
    <w:rsid w:val="5B77791D"/>
    <w:rsid w:val="5B7F1D2C"/>
    <w:rsid w:val="5B926F50"/>
    <w:rsid w:val="5B93080E"/>
    <w:rsid w:val="5BF71D4A"/>
    <w:rsid w:val="5C114298"/>
    <w:rsid w:val="5C14521D"/>
    <w:rsid w:val="5C216AB1"/>
    <w:rsid w:val="5C2C0286"/>
    <w:rsid w:val="5C2F70CC"/>
    <w:rsid w:val="5C3D06E5"/>
    <w:rsid w:val="5C3F1DF9"/>
    <w:rsid w:val="5C472574"/>
    <w:rsid w:val="5C675762"/>
    <w:rsid w:val="5C8D5EBD"/>
    <w:rsid w:val="5C983278"/>
    <w:rsid w:val="5CA33EE6"/>
    <w:rsid w:val="5CA81314"/>
    <w:rsid w:val="5CB3547B"/>
    <w:rsid w:val="5CC21EBE"/>
    <w:rsid w:val="5CE7687A"/>
    <w:rsid w:val="5CFD44CE"/>
    <w:rsid w:val="5D120A4A"/>
    <w:rsid w:val="5D141819"/>
    <w:rsid w:val="5D3A07F2"/>
    <w:rsid w:val="5D4C371E"/>
    <w:rsid w:val="5D4C4020"/>
    <w:rsid w:val="5D5C1689"/>
    <w:rsid w:val="5D614AA8"/>
    <w:rsid w:val="5D727FC7"/>
    <w:rsid w:val="5D790367"/>
    <w:rsid w:val="5D8B54B1"/>
    <w:rsid w:val="5D975D0D"/>
    <w:rsid w:val="5DA546AF"/>
    <w:rsid w:val="5DAE04A1"/>
    <w:rsid w:val="5DB14F7B"/>
    <w:rsid w:val="5DB67DBF"/>
    <w:rsid w:val="5DBC03E8"/>
    <w:rsid w:val="5DC333E6"/>
    <w:rsid w:val="5DD54ACD"/>
    <w:rsid w:val="5DD63F84"/>
    <w:rsid w:val="5DE046B7"/>
    <w:rsid w:val="5E17116A"/>
    <w:rsid w:val="5E32585B"/>
    <w:rsid w:val="5E6721EE"/>
    <w:rsid w:val="5E7B340D"/>
    <w:rsid w:val="5E8C404D"/>
    <w:rsid w:val="5E9268B6"/>
    <w:rsid w:val="5E98780D"/>
    <w:rsid w:val="5E9C324C"/>
    <w:rsid w:val="5EAB79F2"/>
    <w:rsid w:val="5EB21369"/>
    <w:rsid w:val="5EBF067F"/>
    <w:rsid w:val="5EC72ACE"/>
    <w:rsid w:val="5ECF54EF"/>
    <w:rsid w:val="5ED14B56"/>
    <w:rsid w:val="5EE60976"/>
    <w:rsid w:val="5F014CC3"/>
    <w:rsid w:val="5F015EC1"/>
    <w:rsid w:val="5F02451D"/>
    <w:rsid w:val="5F2D1061"/>
    <w:rsid w:val="5F561E77"/>
    <w:rsid w:val="5F7858AF"/>
    <w:rsid w:val="5F813E31"/>
    <w:rsid w:val="5F9E5602"/>
    <w:rsid w:val="5FBB33CB"/>
    <w:rsid w:val="5FD6750E"/>
    <w:rsid w:val="5FE054D2"/>
    <w:rsid w:val="5FF97ADA"/>
    <w:rsid w:val="60037A11"/>
    <w:rsid w:val="60196D73"/>
    <w:rsid w:val="602821CF"/>
    <w:rsid w:val="60370FC0"/>
    <w:rsid w:val="604D26C1"/>
    <w:rsid w:val="60523013"/>
    <w:rsid w:val="606751B5"/>
    <w:rsid w:val="607B41D8"/>
    <w:rsid w:val="60901CC8"/>
    <w:rsid w:val="60AA20C1"/>
    <w:rsid w:val="60B17D23"/>
    <w:rsid w:val="60C35827"/>
    <w:rsid w:val="60E3534B"/>
    <w:rsid w:val="61063DBC"/>
    <w:rsid w:val="610F24CD"/>
    <w:rsid w:val="6124336C"/>
    <w:rsid w:val="6148180F"/>
    <w:rsid w:val="6161547F"/>
    <w:rsid w:val="61640AD8"/>
    <w:rsid w:val="616C5D00"/>
    <w:rsid w:val="618A6593"/>
    <w:rsid w:val="618D7518"/>
    <w:rsid w:val="61B31E2C"/>
    <w:rsid w:val="61D04B09"/>
    <w:rsid w:val="61D5318F"/>
    <w:rsid w:val="620B3669"/>
    <w:rsid w:val="620F67EC"/>
    <w:rsid w:val="621619FB"/>
    <w:rsid w:val="622B4180"/>
    <w:rsid w:val="622E68B7"/>
    <w:rsid w:val="62416092"/>
    <w:rsid w:val="62441245"/>
    <w:rsid w:val="62467FCB"/>
    <w:rsid w:val="625C0DF6"/>
    <w:rsid w:val="627001BA"/>
    <w:rsid w:val="62704A45"/>
    <w:rsid w:val="627B71A0"/>
    <w:rsid w:val="629531A7"/>
    <w:rsid w:val="62A115DE"/>
    <w:rsid w:val="62B11376"/>
    <w:rsid w:val="62B56ACB"/>
    <w:rsid w:val="62C21944"/>
    <w:rsid w:val="62CA25A7"/>
    <w:rsid w:val="62CD4107"/>
    <w:rsid w:val="62CE7985"/>
    <w:rsid w:val="62D83CB7"/>
    <w:rsid w:val="62D92B5D"/>
    <w:rsid w:val="62E15649"/>
    <w:rsid w:val="62FB6CDD"/>
    <w:rsid w:val="63053144"/>
    <w:rsid w:val="63495565"/>
    <w:rsid w:val="635165CB"/>
    <w:rsid w:val="63615A0A"/>
    <w:rsid w:val="6387542A"/>
    <w:rsid w:val="63B84F56"/>
    <w:rsid w:val="63C24F39"/>
    <w:rsid w:val="63FD0DA3"/>
    <w:rsid w:val="64263A1C"/>
    <w:rsid w:val="64374EF8"/>
    <w:rsid w:val="6444420E"/>
    <w:rsid w:val="64444DDF"/>
    <w:rsid w:val="645B56F0"/>
    <w:rsid w:val="646F08D5"/>
    <w:rsid w:val="64827BC4"/>
    <w:rsid w:val="648C4EA5"/>
    <w:rsid w:val="64974244"/>
    <w:rsid w:val="64A27E2A"/>
    <w:rsid w:val="64AA3C02"/>
    <w:rsid w:val="64AF5DE8"/>
    <w:rsid w:val="64B31CAF"/>
    <w:rsid w:val="64B97A50"/>
    <w:rsid w:val="64C21846"/>
    <w:rsid w:val="64C2705A"/>
    <w:rsid w:val="64D427F8"/>
    <w:rsid w:val="64DA3F5C"/>
    <w:rsid w:val="64DF4D76"/>
    <w:rsid w:val="64E04304"/>
    <w:rsid w:val="64F30EAE"/>
    <w:rsid w:val="650B7121"/>
    <w:rsid w:val="65182BA1"/>
    <w:rsid w:val="65196796"/>
    <w:rsid w:val="652E1C0D"/>
    <w:rsid w:val="65434131"/>
    <w:rsid w:val="654B5E5B"/>
    <w:rsid w:val="6571289C"/>
    <w:rsid w:val="657D3011"/>
    <w:rsid w:val="6587291F"/>
    <w:rsid w:val="658B5E1D"/>
    <w:rsid w:val="659C3CF0"/>
    <w:rsid w:val="65A84285"/>
    <w:rsid w:val="65A84457"/>
    <w:rsid w:val="65B81595"/>
    <w:rsid w:val="65E511F4"/>
    <w:rsid w:val="65E83187"/>
    <w:rsid w:val="65F251CE"/>
    <w:rsid w:val="65FF333C"/>
    <w:rsid w:val="660D267B"/>
    <w:rsid w:val="660D37F9"/>
    <w:rsid w:val="660F3594"/>
    <w:rsid w:val="66283F14"/>
    <w:rsid w:val="662C2DFD"/>
    <w:rsid w:val="662E75B1"/>
    <w:rsid w:val="663C4348"/>
    <w:rsid w:val="66616B07"/>
    <w:rsid w:val="666E039B"/>
    <w:rsid w:val="66747D26"/>
    <w:rsid w:val="668B5A16"/>
    <w:rsid w:val="668E08CF"/>
    <w:rsid w:val="66A94529"/>
    <w:rsid w:val="66B429C1"/>
    <w:rsid w:val="66BE141F"/>
    <w:rsid w:val="66CB3779"/>
    <w:rsid w:val="66CF48EF"/>
    <w:rsid w:val="66D16DBA"/>
    <w:rsid w:val="66F940CB"/>
    <w:rsid w:val="66FE4406"/>
    <w:rsid w:val="67336E5F"/>
    <w:rsid w:val="67367DE4"/>
    <w:rsid w:val="676166A9"/>
    <w:rsid w:val="676F2F5B"/>
    <w:rsid w:val="67706CC4"/>
    <w:rsid w:val="67737C48"/>
    <w:rsid w:val="67841F6B"/>
    <w:rsid w:val="67A55102"/>
    <w:rsid w:val="67AA3F4A"/>
    <w:rsid w:val="67BE346E"/>
    <w:rsid w:val="67D046E3"/>
    <w:rsid w:val="67FA12F7"/>
    <w:rsid w:val="680107B1"/>
    <w:rsid w:val="68153BCE"/>
    <w:rsid w:val="682543C3"/>
    <w:rsid w:val="68351218"/>
    <w:rsid w:val="68403334"/>
    <w:rsid w:val="68511D03"/>
    <w:rsid w:val="685C51A4"/>
    <w:rsid w:val="6862581B"/>
    <w:rsid w:val="687761F1"/>
    <w:rsid w:val="687D1CB4"/>
    <w:rsid w:val="6887648C"/>
    <w:rsid w:val="689457A1"/>
    <w:rsid w:val="68A66D41"/>
    <w:rsid w:val="68DA4C11"/>
    <w:rsid w:val="68EC09BF"/>
    <w:rsid w:val="6916656D"/>
    <w:rsid w:val="69205385"/>
    <w:rsid w:val="692A321E"/>
    <w:rsid w:val="693862AF"/>
    <w:rsid w:val="69407E39"/>
    <w:rsid w:val="69414BC3"/>
    <w:rsid w:val="697002F0"/>
    <w:rsid w:val="69761AA3"/>
    <w:rsid w:val="6983542A"/>
    <w:rsid w:val="698B7EDA"/>
    <w:rsid w:val="6991693E"/>
    <w:rsid w:val="6999782E"/>
    <w:rsid w:val="69AB2326"/>
    <w:rsid w:val="69B37189"/>
    <w:rsid w:val="69D1501E"/>
    <w:rsid w:val="69D17FDB"/>
    <w:rsid w:val="69E64D5D"/>
    <w:rsid w:val="6A3916D5"/>
    <w:rsid w:val="6A441C65"/>
    <w:rsid w:val="6A502E5C"/>
    <w:rsid w:val="6A7420CF"/>
    <w:rsid w:val="6AB50D72"/>
    <w:rsid w:val="6AD959B9"/>
    <w:rsid w:val="6B016D82"/>
    <w:rsid w:val="6B47278C"/>
    <w:rsid w:val="6B4C2497"/>
    <w:rsid w:val="6B531E22"/>
    <w:rsid w:val="6B844E5D"/>
    <w:rsid w:val="6BA37623"/>
    <w:rsid w:val="6BBD1220"/>
    <w:rsid w:val="6BC35959"/>
    <w:rsid w:val="6BC905D3"/>
    <w:rsid w:val="6BCE1BC9"/>
    <w:rsid w:val="6BE73516"/>
    <w:rsid w:val="6BF749E6"/>
    <w:rsid w:val="6C13781A"/>
    <w:rsid w:val="6C2211F6"/>
    <w:rsid w:val="6C2E1DA3"/>
    <w:rsid w:val="6C4A6B37"/>
    <w:rsid w:val="6C6A379A"/>
    <w:rsid w:val="6C7531FE"/>
    <w:rsid w:val="6C75536B"/>
    <w:rsid w:val="6C786381"/>
    <w:rsid w:val="6CD741E8"/>
    <w:rsid w:val="6CEE4BEB"/>
    <w:rsid w:val="6CF21078"/>
    <w:rsid w:val="6CFC695A"/>
    <w:rsid w:val="6D031098"/>
    <w:rsid w:val="6D0625EB"/>
    <w:rsid w:val="6D131E03"/>
    <w:rsid w:val="6D21195D"/>
    <w:rsid w:val="6D366369"/>
    <w:rsid w:val="6D372F2F"/>
    <w:rsid w:val="6D4425D2"/>
    <w:rsid w:val="6D5463E3"/>
    <w:rsid w:val="6D56199F"/>
    <w:rsid w:val="6D612359"/>
    <w:rsid w:val="6D643B74"/>
    <w:rsid w:val="6D6D5995"/>
    <w:rsid w:val="6DA55AEF"/>
    <w:rsid w:val="6DB870C2"/>
    <w:rsid w:val="6DD67943"/>
    <w:rsid w:val="6DE11A7D"/>
    <w:rsid w:val="6DEE4FE9"/>
    <w:rsid w:val="6DF758F9"/>
    <w:rsid w:val="6E0E1B48"/>
    <w:rsid w:val="6E0E1FA0"/>
    <w:rsid w:val="6E1B123D"/>
    <w:rsid w:val="6E4C2E04"/>
    <w:rsid w:val="6E800F31"/>
    <w:rsid w:val="6EAA11A5"/>
    <w:rsid w:val="6ED06E86"/>
    <w:rsid w:val="6EDD48F2"/>
    <w:rsid w:val="6EFE4E26"/>
    <w:rsid w:val="6F08269A"/>
    <w:rsid w:val="6F0D2D96"/>
    <w:rsid w:val="6F134DCC"/>
    <w:rsid w:val="6F2701E9"/>
    <w:rsid w:val="6F3D238D"/>
    <w:rsid w:val="6F4A22C9"/>
    <w:rsid w:val="6F5867BA"/>
    <w:rsid w:val="6F783FDF"/>
    <w:rsid w:val="6F7B7C73"/>
    <w:rsid w:val="6F7D2CA1"/>
    <w:rsid w:val="6F846384"/>
    <w:rsid w:val="6FB767FB"/>
    <w:rsid w:val="6FCC6779"/>
    <w:rsid w:val="6FD36103"/>
    <w:rsid w:val="6FF03D41"/>
    <w:rsid w:val="6FFF2863"/>
    <w:rsid w:val="700916EF"/>
    <w:rsid w:val="700A7EA9"/>
    <w:rsid w:val="701C5306"/>
    <w:rsid w:val="703025A8"/>
    <w:rsid w:val="704509C1"/>
    <w:rsid w:val="704F155E"/>
    <w:rsid w:val="704F6E48"/>
    <w:rsid w:val="70642C7D"/>
    <w:rsid w:val="707E79EA"/>
    <w:rsid w:val="70946786"/>
    <w:rsid w:val="70B11F5D"/>
    <w:rsid w:val="70CA3BF3"/>
    <w:rsid w:val="70D05911"/>
    <w:rsid w:val="70D31FDB"/>
    <w:rsid w:val="71033854"/>
    <w:rsid w:val="71083777"/>
    <w:rsid w:val="710F6395"/>
    <w:rsid w:val="71155D16"/>
    <w:rsid w:val="712F2C30"/>
    <w:rsid w:val="713A4D9B"/>
    <w:rsid w:val="713C664E"/>
    <w:rsid w:val="71726BC2"/>
    <w:rsid w:val="717A29A8"/>
    <w:rsid w:val="717F7444"/>
    <w:rsid w:val="71943B66"/>
    <w:rsid w:val="71995F66"/>
    <w:rsid w:val="71DA42DA"/>
    <w:rsid w:val="72512EF2"/>
    <w:rsid w:val="72587455"/>
    <w:rsid w:val="725A33F9"/>
    <w:rsid w:val="72636FD7"/>
    <w:rsid w:val="72637C66"/>
    <w:rsid w:val="72941D3D"/>
    <w:rsid w:val="72950305"/>
    <w:rsid w:val="72985992"/>
    <w:rsid w:val="729C0B15"/>
    <w:rsid w:val="72A64CA8"/>
    <w:rsid w:val="72CF47E7"/>
    <w:rsid w:val="72D46393"/>
    <w:rsid w:val="72DC7380"/>
    <w:rsid w:val="72F97729"/>
    <w:rsid w:val="72FD19A6"/>
    <w:rsid w:val="73006427"/>
    <w:rsid w:val="73026629"/>
    <w:rsid w:val="730A0FDA"/>
    <w:rsid w:val="733E7D2A"/>
    <w:rsid w:val="73784525"/>
    <w:rsid w:val="73AF6654"/>
    <w:rsid w:val="73CD7F8D"/>
    <w:rsid w:val="73E11809"/>
    <w:rsid w:val="73E17075"/>
    <w:rsid w:val="73FC77D8"/>
    <w:rsid w:val="74112337"/>
    <w:rsid w:val="74314E96"/>
    <w:rsid w:val="74385A05"/>
    <w:rsid w:val="743E1546"/>
    <w:rsid w:val="744101B6"/>
    <w:rsid w:val="744530CF"/>
    <w:rsid w:val="744F6DB0"/>
    <w:rsid w:val="74547E66"/>
    <w:rsid w:val="745F4D60"/>
    <w:rsid w:val="74606D75"/>
    <w:rsid w:val="74750913"/>
    <w:rsid w:val="74D77E17"/>
    <w:rsid w:val="74DE7DCA"/>
    <w:rsid w:val="74EA16B5"/>
    <w:rsid w:val="74EC1F29"/>
    <w:rsid w:val="74F1655B"/>
    <w:rsid w:val="74F23B8E"/>
    <w:rsid w:val="75120E16"/>
    <w:rsid w:val="752949C6"/>
    <w:rsid w:val="7534466A"/>
    <w:rsid w:val="753529D7"/>
    <w:rsid w:val="75437824"/>
    <w:rsid w:val="75506997"/>
    <w:rsid w:val="75514C4B"/>
    <w:rsid w:val="75557D8B"/>
    <w:rsid w:val="7556678F"/>
    <w:rsid w:val="75603230"/>
    <w:rsid w:val="756B0CB3"/>
    <w:rsid w:val="756F34FD"/>
    <w:rsid w:val="75982A7C"/>
    <w:rsid w:val="75A335A6"/>
    <w:rsid w:val="75B3511C"/>
    <w:rsid w:val="75B90A32"/>
    <w:rsid w:val="75B9739F"/>
    <w:rsid w:val="75CC7A53"/>
    <w:rsid w:val="75D27A87"/>
    <w:rsid w:val="76075C35"/>
    <w:rsid w:val="762B56CB"/>
    <w:rsid w:val="762E4274"/>
    <w:rsid w:val="763C54DD"/>
    <w:rsid w:val="7647739D"/>
    <w:rsid w:val="76677D20"/>
    <w:rsid w:val="768676A8"/>
    <w:rsid w:val="7696711C"/>
    <w:rsid w:val="76B834E6"/>
    <w:rsid w:val="76B850D2"/>
    <w:rsid w:val="76DD5674"/>
    <w:rsid w:val="76ED456A"/>
    <w:rsid w:val="771173B8"/>
    <w:rsid w:val="77275DC2"/>
    <w:rsid w:val="77276A0B"/>
    <w:rsid w:val="772F59C1"/>
    <w:rsid w:val="77371C1F"/>
    <w:rsid w:val="77380EA3"/>
    <w:rsid w:val="774F2792"/>
    <w:rsid w:val="77513D79"/>
    <w:rsid w:val="77637460"/>
    <w:rsid w:val="77694EF6"/>
    <w:rsid w:val="77974740"/>
    <w:rsid w:val="77A26354"/>
    <w:rsid w:val="77C94169"/>
    <w:rsid w:val="77D45F4A"/>
    <w:rsid w:val="77F064C5"/>
    <w:rsid w:val="7804209D"/>
    <w:rsid w:val="78096FFD"/>
    <w:rsid w:val="78232A2D"/>
    <w:rsid w:val="78505A11"/>
    <w:rsid w:val="785C257D"/>
    <w:rsid w:val="786F69A2"/>
    <w:rsid w:val="789101DB"/>
    <w:rsid w:val="78975968"/>
    <w:rsid w:val="78B6167E"/>
    <w:rsid w:val="78CC6D3B"/>
    <w:rsid w:val="78CD25BE"/>
    <w:rsid w:val="78DC699B"/>
    <w:rsid w:val="78E310F6"/>
    <w:rsid w:val="78E656E7"/>
    <w:rsid w:val="78F7499B"/>
    <w:rsid w:val="79074111"/>
    <w:rsid w:val="79292CB7"/>
    <w:rsid w:val="79305A30"/>
    <w:rsid w:val="7936673D"/>
    <w:rsid w:val="793765BF"/>
    <w:rsid w:val="79494365"/>
    <w:rsid w:val="795456E5"/>
    <w:rsid w:val="795D1EAD"/>
    <w:rsid w:val="79653A37"/>
    <w:rsid w:val="79996828"/>
    <w:rsid w:val="79AF2BB1"/>
    <w:rsid w:val="79D62A71"/>
    <w:rsid w:val="79DE7E7D"/>
    <w:rsid w:val="79F458A4"/>
    <w:rsid w:val="7A2E6A50"/>
    <w:rsid w:val="7A377612"/>
    <w:rsid w:val="7A435623"/>
    <w:rsid w:val="7A542A9A"/>
    <w:rsid w:val="7A6300D6"/>
    <w:rsid w:val="7A645B58"/>
    <w:rsid w:val="7A6F61AA"/>
    <w:rsid w:val="7A6F7B00"/>
    <w:rsid w:val="7A943D7D"/>
    <w:rsid w:val="7AAB0646"/>
    <w:rsid w:val="7AEF6BF7"/>
    <w:rsid w:val="7AF43248"/>
    <w:rsid w:val="7B261499"/>
    <w:rsid w:val="7B36052E"/>
    <w:rsid w:val="7BA10DE3"/>
    <w:rsid w:val="7BD03DEF"/>
    <w:rsid w:val="7BFA6EF3"/>
    <w:rsid w:val="7C186D38"/>
    <w:rsid w:val="7C214BB4"/>
    <w:rsid w:val="7C341A17"/>
    <w:rsid w:val="7C602580"/>
    <w:rsid w:val="7C8932DF"/>
    <w:rsid w:val="7CA4518D"/>
    <w:rsid w:val="7CAE5A9D"/>
    <w:rsid w:val="7CB8666E"/>
    <w:rsid w:val="7CD84406"/>
    <w:rsid w:val="7CF42F0C"/>
    <w:rsid w:val="7CF433EE"/>
    <w:rsid w:val="7D0C0A6E"/>
    <w:rsid w:val="7D25327D"/>
    <w:rsid w:val="7D607ABF"/>
    <w:rsid w:val="7D713C3B"/>
    <w:rsid w:val="7D9E75A3"/>
    <w:rsid w:val="7DB904C2"/>
    <w:rsid w:val="7DBB2757"/>
    <w:rsid w:val="7DCD5EF4"/>
    <w:rsid w:val="7DD52CF4"/>
    <w:rsid w:val="7DDB07C0"/>
    <w:rsid w:val="7DF6502E"/>
    <w:rsid w:val="7DF807BA"/>
    <w:rsid w:val="7E0665A6"/>
    <w:rsid w:val="7E087D35"/>
    <w:rsid w:val="7E142C45"/>
    <w:rsid w:val="7E163D6A"/>
    <w:rsid w:val="7E32369A"/>
    <w:rsid w:val="7E372D8F"/>
    <w:rsid w:val="7E381D20"/>
    <w:rsid w:val="7E4F2895"/>
    <w:rsid w:val="7E6F5FE6"/>
    <w:rsid w:val="7E7053A1"/>
    <w:rsid w:val="7E70658D"/>
    <w:rsid w:val="7E7277E2"/>
    <w:rsid w:val="7E756207"/>
    <w:rsid w:val="7E7B6FE3"/>
    <w:rsid w:val="7E7C5608"/>
    <w:rsid w:val="7E7E034F"/>
    <w:rsid w:val="7E8A512D"/>
    <w:rsid w:val="7E903A34"/>
    <w:rsid w:val="7E9237EB"/>
    <w:rsid w:val="7EB95220"/>
    <w:rsid w:val="7EC3492C"/>
    <w:rsid w:val="7EC90C5E"/>
    <w:rsid w:val="7EE37EAA"/>
    <w:rsid w:val="7EF740F1"/>
    <w:rsid w:val="7EFA7860"/>
    <w:rsid w:val="7F05482D"/>
    <w:rsid w:val="7F1B7D95"/>
    <w:rsid w:val="7F2464A6"/>
    <w:rsid w:val="7F2647E5"/>
    <w:rsid w:val="7F29292E"/>
    <w:rsid w:val="7F5814E4"/>
    <w:rsid w:val="7F5F5006"/>
    <w:rsid w:val="7F660214"/>
    <w:rsid w:val="7F683717"/>
    <w:rsid w:val="7F8F589D"/>
    <w:rsid w:val="7FC5392C"/>
    <w:rsid w:val="7FCD6AA8"/>
    <w:rsid w:val="7FCF696C"/>
    <w:rsid w:val="7FDD17D7"/>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iPriority="0" w:name="footnote text"/>
    <w:lsdException w:qFormat="1" w:uiPriority="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qFormat="1" w:uiPriority="0" w:name="footnote reference"/>
    <w:lsdException w:qFormat="1"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iPriority="0" w:semiHidden="0" w:name="Body Text First Indent 2"/>
    <w:lsdException w:uiPriority="99" w:name="Note Heading"/>
    <w:lsdException w:qFormat="1" w:uiPriority="0" w:semiHidden="0"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20" w:semiHidden="0" w:name="Strong"/>
    <w:lsdException w:qFormat="1" w:unhideWhenUsed="0" w:uiPriority="20" w:semiHidden="0" w:name="Emphasis"/>
    <w:lsdException w:qFormat="1" w:uiPriority="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qFormat="1"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2">
    <w:name w:val="heading 1"/>
    <w:basedOn w:val="1"/>
    <w:next w:val="1"/>
    <w:autoRedefine/>
    <w:qFormat/>
    <w:uiPriority w:val="7"/>
    <w:pPr>
      <w:spacing w:before="0" w:after="330" w:line="576" w:lineRule="auto"/>
      <w:outlineLvl w:val="0"/>
    </w:pPr>
    <w:rPr>
      <w:b/>
      <w:sz w:val="44"/>
      <w:szCs w:val="44"/>
    </w:rPr>
  </w:style>
  <w:style w:type="paragraph" w:styleId="3">
    <w:name w:val="heading 2"/>
    <w:basedOn w:val="1"/>
    <w:next w:val="1"/>
    <w:autoRedefine/>
    <w:qFormat/>
    <w:uiPriority w:val="8"/>
    <w:pPr>
      <w:spacing w:before="0" w:after="260" w:line="415" w:lineRule="auto"/>
      <w:outlineLvl w:val="1"/>
    </w:pPr>
    <w:rPr>
      <w:rFonts w:ascii="Arial" w:hAnsi="Arial" w:eastAsia="黑体"/>
      <w:b/>
      <w:sz w:val="32"/>
      <w:szCs w:val="32"/>
    </w:rPr>
  </w:style>
  <w:style w:type="paragraph" w:styleId="4">
    <w:name w:val="heading 3"/>
    <w:basedOn w:val="1"/>
    <w:next w:val="5"/>
    <w:autoRedefine/>
    <w:qFormat/>
    <w:uiPriority w:val="9"/>
    <w:pPr>
      <w:outlineLvl w:val="2"/>
    </w:pPr>
    <w:rPr>
      <w:b/>
      <w:sz w:val="24"/>
      <w:szCs w:val="24"/>
    </w:rPr>
  </w:style>
  <w:style w:type="paragraph" w:styleId="6">
    <w:name w:val="heading 4"/>
    <w:basedOn w:val="1"/>
    <w:next w:val="1"/>
    <w:autoRedefine/>
    <w:qFormat/>
    <w:uiPriority w:val="0"/>
    <w:pPr>
      <w:keepNext/>
      <w:keepLines/>
      <w:spacing w:line="374" w:lineRule="auto"/>
      <w:outlineLvl w:val="3"/>
    </w:pPr>
    <w:rPr>
      <w:rFonts w:ascii="Cambria" w:hAnsi="Cambria"/>
      <w:b/>
      <w:bCs/>
      <w:sz w:val="28"/>
      <w:szCs w:val="28"/>
    </w:rPr>
  </w:style>
  <w:style w:type="character" w:default="1" w:styleId="37">
    <w:name w:val="Default Paragraph Font"/>
    <w:autoRedefine/>
    <w:semiHidden/>
    <w:unhideWhenUsed/>
    <w:qFormat/>
    <w:uiPriority w:val="1"/>
  </w:style>
  <w:style w:type="table" w:default="1" w:styleId="35">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autoRedefine/>
    <w:qFormat/>
    <w:uiPriority w:val="0"/>
    <w:pPr>
      <w:ind w:firstLine="420" w:firstLineChars="200"/>
    </w:pPr>
  </w:style>
  <w:style w:type="paragraph" w:styleId="7">
    <w:name w:val="toc 7"/>
    <w:basedOn w:val="1"/>
    <w:next w:val="1"/>
    <w:autoRedefine/>
    <w:unhideWhenUsed/>
    <w:qFormat/>
    <w:uiPriority w:val="39"/>
    <w:pPr>
      <w:widowControl w:val="0"/>
      <w:spacing w:before="0" w:after="0" w:afterAutospacing="0" w:line="240" w:lineRule="auto"/>
      <w:ind w:left="2520" w:leftChars="1200" w:right="0" w:firstLine="0"/>
    </w:pPr>
    <w:rPr>
      <w:rFonts w:asciiTheme="minorHAnsi" w:hAnsiTheme="minorHAnsi" w:eastAsiaTheme="minorEastAsia" w:cstheme="minorBidi"/>
      <w:kern w:val="2"/>
      <w:szCs w:val="22"/>
    </w:rPr>
  </w:style>
  <w:style w:type="paragraph" w:styleId="8">
    <w:name w:val="caption"/>
    <w:basedOn w:val="1"/>
    <w:next w:val="1"/>
    <w:autoRedefine/>
    <w:qFormat/>
    <w:uiPriority w:val="99"/>
    <w:pPr>
      <w:widowControl w:val="0"/>
      <w:spacing w:before="152" w:after="160" w:afterAutospacing="0" w:line="240" w:lineRule="auto"/>
      <w:ind w:left="0" w:right="0" w:firstLine="0"/>
    </w:pPr>
    <w:rPr>
      <w:rFonts w:ascii="Arial" w:hAnsi="Arial" w:eastAsia="黑体" w:cs="Arial"/>
      <w:kern w:val="2"/>
      <w:sz w:val="20"/>
      <w:szCs w:val="20"/>
    </w:rPr>
  </w:style>
  <w:style w:type="paragraph" w:styleId="9">
    <w:name w:val="Document Map"/>
    <w:basedOn w:val="1"/>
    <w:autoRedefine/>
    <w:semiHidden/>
    <w:unhideWhenUsed/>
    <w:qFormat/>
    <w:uiPriority w:val="0"/>
    <w:rPr>
      <w:rFonts w:ascii="宋体"/>
      <w:sz w:val="18"/>
      <w:szCs w:val="18"/>
    </w:rPr>
  </w:style>
  <w:style w:type="paragraph" w:styleId="10">
    <w:name w:val="annotation text"/>
    <w:basedOn w:val="1"/>
    <w:autoRedefine/>
    <w:semiHidden/>
    <w:unhideWhenUsed/>
    <w:qFormat/>
    <w:uiPriority w:val="0"/>
    <w:pPr>
      <w:jc w:val="left"/>
    </w:pPr>
  </w:style>
  <w:style w:type="paragraph" w:styleId="11">
    <w:name w:val="Body Text"/>
    <w:basedOn w:val="1"/>
    <w:link w:val="63"/>
    <w:autoRedefine/>
    <w:unhideWhenUsed/>
    <w:qFormat/>
    <w:uiPriority w:val="99"/>
    <w:pPr>
      <w:spacing w:after="120"/>
    </w:pPr>
  </w:style>
  <w:style w:type="paragraph" w:styleId="12">
    <w:name w:val="Body Text Indent"/>
    <w:basedOn w:val="1"/>
    <w:next w:val="1"/>
    <w:link w:val="70"/>
    <w:autoRedefine/>
    <w:qFormat/>
    <w:uiPriority w:val="99"/>
    <w:pPr>
      <w:spacing w:line="480" w:lineRule="exact"/>
      <w:ind w:firstLine="560" w:firstLineChars="200"/>
    </w:pPr>
    <w:rPr>
      <w:sz w:val="24"/>
    </w:rPr>
  </w:style>
  <w:style w:type="paragraph" w:styleId="13">
    <w:name w:val="toc 5"/>
    <w:basedOn w:val="1"/>
    <w:next w:val="1"/>
    <w:autoRedefine/>
    <w:unhideWhenUsed/>
    <w:qFormat/>
    <w:uiPriority w:val="39"/>
    <w:pPr>
      <w:widowControl w:val="0"/>
      <w:spacing w:before="0" w:after="0" w:afterAutospacing="0" w:line="240" w:lineRule="auto"/>
      <w:ind w:left="1680" w:leftChars="800" w:right="0" w:firstLine="0"/>
    </w:pPr>
    <w:rPr>
      <w:rFonts w:asciiTheme="minorHAnsi" w:hAnsiTheme="minorHAnsi" w:eastAsiaTheme="minorEastAsia" w:cstheme="minorBidi"/>
      <w:kern w:val="2"/>
      <w:szCs w:val="22"/>
    </w:rPr>
  </w:style>
  <w:style w:type="paragraph" w:styleId="14">
    <w:name w:val="toc 3"/>
    <w:basedOn w:val="1"/>
    <w:next w:val="1"/>
    <w:autoRedefine/>
    <w:unhideWhenUsed/>
    <w:qFormat/>
    <w:uiPriority w:val="39"/>
    <w:pPr>
      <w:ind w:left="840" w:firstLine="0"/>
    </w:pPr>
  </w:style>
  <w:style w:type="paragraph" w:styleId="15">
    <w:name w:val="Plain Text"/>
    <w:basedOn w:val="1"/>
    <w:next w:val="6"/>
    <w:link w:val="61"/>
    <w:autoRedefine/>
    <w:unhideWhenUsed/>
    <w:qFormat/>
    <w:uiPriority w:val="99"/>
    <w:rPr>
      <w:rFonts w:ascii="宋体" w:hAnsi="Courier New" w:cs="宋体"/>
      <w:sz w:val="20"/>
      <w:szCs w:val="20"/>
    </w:rPr>
  </w:style>
  <w:style w:type="paragraph" w:styleId="16">
    <w:name w:val="toc 8"/>
    <w:basedOn w:val="1"/>
    <w:next w:val="1"/>
    <w:autoRedefine/>
    <w:unhideWhenUsed/>
    <w:qFormat/>
    <w:uiPriority w:val="39"/>
    <w:pPr>
      <w:widowControl w:val="0"/>
      <w:spacing w:before="0" w:after="0" w:afterAutospacing="0" w:line="240" w:lineRule="auto"/>
      <w:ind w:left="2940" w:leftChars="1400" w:right="0" w:firstLine="0"/>
    </w:pPr>
    <w:rPr>
      <w:rFonts w:asciiTheme="minorHAnsi" w:hAnsiTheme="minorHAnsi" w:eastAsiaTheme="minorEastAsia" w:cstheme="minorBidi"/>
      <w:kern w:val="2"/>
      <w:szCs w:val="22"/>
    </w:rPr>
  </w:style>
  <w:style w:type="paragraph" w:styleId="17">
    <w:name w:val="Date"/>
    <w:basedOn w:val="1"/>
    <w:next w:val="1"/>
    <w:link w:val="65"/>
    <w:autoRedefine/>
    <w:semiHidden/>
    <w:unhideWhenUsed/>
    <w:qFormat/>
    <w:uiPriority w:val="99"/>
    <w:pPr>
      <w:ind w:left="100" w:leftChars="2500"/>
    </w:pPr>
  </w:style>
  <w:style w:type="paragraph" w:styleId="18">
    <w:name w:val="Balloon Text"/>
    <w:basedOn w:val="1"/>
    <w:autoRedefine/>
    <w:semiHidden/>
    <w:unhideWhenUsed/>
    <w:qFormat/>
    <w:uiPriority w:val="0"/>
    <w:pPr>
      <w:spacing w:after="0" w:line="240" w:lineRule="auto"/>
    </w:pPr>
    <w:rPr>
      <w:sz w:val="18"/>
      <w:szCs w:val="18"/>
    </w:rPr>
  </w:style>
  <w:style w:type="paragraph" w:styleId="19">
    <w:name w:val="footer"/>
    <w:basedOn w:val="1"/>
    <w:autoRedefine/>
    <w:qFormat/>
    <w:uiPriority w:val="99"/>
    <w:pPr>
      <w:tabs>
        <w:tab w:val="center" w:pos="4153"/>
        <w:tab w:val="right" w:pos="8306"/>
      </w:tabs>
      <w:snapToGrid w:val="0"/>
      <w:jc w:val="left"/>
    </w:pPr>
    <w:rPr>
      <w:sz w:val="18"/>
      <w:szCs w:val="18"/>
    </w:rPr>
  </w:style>
  <w:style w:type="paragraph" w:styleId="20">
    <w:name w:val="header"/>
    <w:basedOn w:val="1"/>
    <w:link w:val="72"/>
    <w:autoRedefine/>
    <w:qFormat/>
    <w:uiPriority w:val="99"/>
    <w:pPr>
      <w:pBdr>
        <w:bottom w:val="single" w:color="000000" w:sz="6" w:space="1"/>
      </w:pBdr>
      <w:tabs>
        <w:tab w:val="center" w:pos="4153"/>
        <w:tab w:val="right" w:pos="8306"/>
      </w:tabs>
      <w:snapToGrid w:val="0"/>
      <w:jc w:val="center"/>
    </w:pPr>
    <w:rPr>
      <w:sz w:val="18"/>
      <w:szCs w:val="18"/>
    </w:rPr>
  </w:style>
  <w:style w:type="paragraph" w:styleId="21">
    <w:name w:val="toc 1"/>
    <w:basedOn w:val="1"/>
    <w:next w:val="1"/>
    <w:autoRedefine/>
    <w:unhideWhenUsed/>
    <w:qFormat/>
    <w:uiPriority w:val="39"/>
  </w:style>
  <w:style w:type="paragraph" w:styleId="22">
    <w:name w:val="toc 4"/>
    <w:basedOn w:val="1"/>
    <w:next w:val="1"/>
    <w:autoRedefine/>
    <w:unhideWhenUsed/>
    <w:qFormat/>
    <w:uiPriority w:val="39"/>
    <w:pPr>
      <w:widowControl w:val="0"/>
      <w:spacing w:before="0" w:after="0" w:afterAutospacing="0" w:line="240" w:lineRule="auto"/>
      <w:ind w:left="1260" w:leftChars="600" w:right="0" w:firstLine="0"/>
    </w:pPr>
    <w:rPr>
      <w:rFonts w:asciiTheme="minorHAnsi" w:hAnsiTheme="minorHAnsi" w:eastAsiaTheme="minorEastAsia" w:cstheme="minorBidi"/>
      <w:kern w:val="2"/>
      <w:szCs w:val="22"/>
    </w:rPr>
  </w:style>
  <w:style w:type="paragraph" w:styleId="23">
    <w:name w:val="footnote text"/>
    <w:basedOn w:val="1"/>
    <w:autoRedefine/>
    <w:semiHidden/>
    <w:unhideWhenUsed/>
    <w:qFormat/>
    <w:uiPriority w:val="0"/>
    <w:pPr>
      <w:snapToGrid w:val="0"/>
      <w:jc w:val="left"/>
    </w:pPr>
    <w:rPr>
      <w:sz w:val="18"/>
      <w:szCs w:val="18"/>
    </w:rPr>
  </w:style>
  <w:style w:type="paragraph" w:styleId="24">
    <w:name w:val="toc 6"/>
    <w:basedOn w:val="1"/>
    <w:next w:val="1"/>
    <w:autoRedefine/>
    <w:unhideWhenUsed/>
    <w:qFormat/>
    <w:uiPriority w:val="39"/>
    <w:pPr>
      <w:widowControl w:val="0"/>
      <w:spacing w:before="0" w:after="0" w:afterAutospacing="0" w:line="240" w:lineRule="auto"/>
      <w:ind w:left="2100" w:leftChars="1000" w:right="0" w:firstLine="0"/>
    </w:pPr>
    <w:rPr>
      <w:rFonts w:asciiTheme="minorHAnsi" w:hAnsiTheme="minorHAnsi" w:eastAsiaTheme="minorEastAsia" w:cstheme="minorBidi"/>
      <w:kern w:val="2"/>
      <w:szCs w:val="22"/>
    </w:rPr>
  </w:style>
  <w:style w:type="paragraph" w:styleId="25">
    <w:name w:val="Body Text Indent 3"/>
    <w:basedOn w:val="1"/>
    <w:autoRedefine/>
    <w:qFormat/>
    <w:uiPriority w:val="0"/>
    <w:pPr>
      <w:spacing w:after="120"/>
      <w:ind w:left="420" w:firstLine="0"/>
    </w:pPr>
    <w:rPr>
      <w:sz w:val="16"/>
      <w:szCs w:val="16"/>
    </w:rPr>
  </w:style>
  <w:style w:type="paragraph" w:styleId="26">
    <w:name w:val="toc 2"/>
    <w:basedOn w:val="1"/>
    <w:next w:val="1"/>
    <w:autoRedefine/>
    <w:unhideWhenUsed/>
    <w:qFormat/>
    <w:uiPriority w:val="39"/>
    <w:pPr>
      <w:ind w:left="420" w:firstLine="0"/>
    </w:pPr>
  </w:style>
  <w:style w:type="paragraph" w:styleId="27">
    <w:name w:val="toc 9"/>
    <w:basedOn w:val="1"/>
    <w:next w:val="1"/>
    <w:autoRedefine/>
    <w:unhideWhenUsed/>
    <w:qFormat/>
    <w:uiPriority w:val="39"/>
    <w:pPr>
      <w:widowControl w:val="0"/>
      <w:spacing w:before="0" w:after="0" w:afterAutospacing="0" w:line="240" w:lineRule="auto"/>
      <w:ind w:left="3360" w:leftChars="1600" w:right="0" w:firstLine="0"/>
    </w:pPr>
    <w:rPr>
      <w:rFonts w:asciiTheme="minorHAnsi" w:hAnsiTheme="minorHAnsi" w:eastAsiaTheme="minorEastAsia" w:cstheme="minorBidi"/>
      <w:kern w:val="2"/>
      <w:szCs w:val="22"/>
    </w:rPr>
  </w:style>
  <w:style w:type="paragraph" w:styleId="28">
    <w:name w:val="Body Text 2"/>
    <w:basedOn w:val="1"/>
    <w:autoRedefine/>
    <w:unhideWhenUsed/>
    <w:qFormat/>
    <w:uiPriority w:val="0"/>
    <w:pPr>
      <w:spacing w:after="120" w:line="480" w:lineRule="auto"/>
    </w:pPr>
  </w:style>
  <w:style w:type="paragraph" w:styleId="29">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30">
    <w:name w:val="Normal (Web)"/>
    <w:basedOn w:val="1"/>
    <w:autoRedefine/>
    <w:unhideWhenUsed/>
    <w:qFormat/>
    <w:uiPriority w:val="99"/>
    <w:pPr>
      <w:spacing w:before="100" w:beforeAutospacing="1" w:line="240" w:lineRule="auto"/>
      <w:ind w:left="0" w:right="0" w:firstLine="0"/>
      <w:jc w:val="left"/>
    </w:pPr>
    <w:rPr>
      <w:rFonts w:ascii="Arial Unicode MS" w:hAnsi="Arial Unicode MS" w:eastAsia="Arial Unicode MS" w:cs="Arial Unicode MS"/>
      <w:sz w:val="24"/>
      <w:szCs w:val="24"/>
    </w:rPr>
  </w:style>
  <w:style w:type="paragraph" w:styleId="31">
    <w:name w:val="annotation subject"/>
    <w:basedOn w:val="10"/>
    <w:next w:val="10"/>
    <w:autoRedefine/>
    <w:semiHidden/>
    <w:unhideWhenUsed/>
    <w:qFormat/>
    <w:uiPriority w:val="0"/>
    <w:rPr>
      <w:b/>
    </w:rPr>
  </w:style>
  <w:style w:type="paragraph" w:styleId="32">
    <w:name w:val="Body Text First Indent 2"/>
    <w:basedOn w:val="12"/>
    <w:next w:val="33"/>
    <w:link w:val="71"/>
    <w:autoRedefine/>
    <w:unhideWhenUsed/>
    <w:qFormat/>
    <w:uiPriority w:val="0"/>
    <w:pPr>
      <w:spacing w:after="120" w:line="240" w:lineRule="auto"/>
      <w:ind w:left="420" w:leftChars="200" w:firstLine="420"/>
    </w:pPr>
    <w:rPr>
      <w:rFonts w:ascii="Calibri" w:hAnsi="Calibri" w:eastAsia="Times New Roman"/>
    </w:rPr>
  </w:style>
  <w:style w:type="paragraph" w:customStyle="1" w:styleId="33">
    <w:name w:val="Intense Quote"/>
    <w:basedOn w:val="34"/>
    <w:next w:val="34"/>
    <w:autoRedefine/>
    <w:qFormat/>
    <w:uiPriority w:val="0"/>
    <w:pPr>
      <w:pBdr>
        <w:bottom w:val="single" w:color="4F81BD" w:sz="4" w:space="4"/>
      </w:pBdr>
      <w:spacing w:before="200" w:after="280"/>
      <w:ind w:left="936" w:right="936"/>
    </w:pPr>
    <w:rPr>
      <w:b/>
      <w:bCs/>
      <w:i/>
      <w:iCs/>
      <w:color w:val="4F81BD"/>
      <w:kern w:val="0"/>
      <w:sz w:val="20"/>
      <w:szCs w:val="20"/>
    </w:rPr>
  </w:style>
  <w:style w:type="paragraph" w:customStyle="1" w:styleId="34">
    <w:name w:val="Normal_1"/>
    <w:next w:val="32"/>
    <w:autoRedefine/>
    <w:qFormat/>
    <w:uiPriority w:val="0"/>
    <w:pPr>
      <w:widowControl w:val="0"/>
      <w:jc w:val="both"/>
    </w:pPr>
    <w:rPr>
      <w:rFonts w:ascii="Calibri" w:hAnsi="Calibri" w:eastAsia="宋体" w:cs="Times New Roman"/>
      <w:lang w:val="en-US" w:eastAsia="zh-CN" w:bidi="ar-SA"/>
    </w:rPr>
  </w:style>
  <w:style w:type="table" w:styleId="36">
    <w:name w:val="Table Grid"/>
    <w:basedOn w:val="35"/>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autoRedefine/>
    <w:qFormat/>
    <w:uiPriority w:val="20"/>
    <w:rPr>
      <w:rFonts w:cs="Times New Roman"/>
      <w:b/>
    </w:rPr>
  </w:style>
  <w:style w:type="character" w:styleId="39">
    <w:name w:val="page number"/>
    <w:basedOn w:val="37"/>
    <w:autoRedefine/>
    <w:qFormat/>
    <w:uiPriority w:val="0"/>
  </w:style>
  <w:style w:type="character" w:styleId="40">
    <w:name w:val="FollowedHyperlink"/>
    <w:basedOn w:val="37"/>
    <w:autoRedefine/>
    <w:semiHidden/>
    <w:unhideWhenUsed/>
    <w:qFormat/>
    <w:uiPriority w:val="99"/>
    <w:rPr>
      <w:color w:val="666666"/>
      <w:u w:val="none"/>
    </w:rPr>
  </w:style>
  <w:style w:type="character" w:styleId="41">
    <w:name w:val="HTML Definition"/>
    <w:basedOn w:val="37"/>
    <w:autoRedefine/>
    <w:semiHidden/>
    <w:unhideWhenUsed/>
    <w:qFormat/>
    <w:uiPriority w:val="99"/>
    <w:rPr>
      <w:i/>
      <w:iCs/>
    </w:rPr>
  </w:style>
  <w:style w:type="character" w:styleId="42">
    <w:name w:val="Hyperlink"/>
    <w:basedOn w:val="37"/>
    <w:autoRedefine/>
    <w:unhideWhenUsed/>
    <w:qFormat/>
    <w:uiPriority w:val="99"/>
    <w:rPr>
      <w:color w:val="0000FF"/>
      <w:u w:val="single"/>
    </w:rPr>
  </w:style>
  <w:style w:type="character" w:styleId="43">
    <w:name w:val="HTML Code"/>
    <w:basedOn w:val="37"/>
    <w:autoRedefine/>
    <w:semiHidden/>
    <w:unhideWhenUsed/>
    <w:qFormat/>
    <w:uiPriority w:val="99"/>
    <w:rPr>
      <w:rFonts w:ascii="Consolas" w:hAnsi="Consolas" w:eastAsia="Consolas" w:cs="Consolas"/>
      <w:color w:val="C7254E"/>
      <w:sz w:val="21"/>
      <w:szCs w:val="21"/>
      <w:shd w:val="clear" w:color="auto" w:fill="F9F2F4"/>
    </w:rPr>
  </w:style>
  <w:style w:type="character" w:styleId="44">
    <w:name w:val="annotation reference"/>
    <w:basedOn w:val="37"/>
    <w:autoRedefine/>
    <w:semiHidden/>
    <w:unhideWhenUsed/>
    <w:qFormat/>
    <w:uiPriority w:val="0"/>
    <w:rPr>
      <w:sz w:val="21"/>
      <w:szCs w:val="21"/>
    </w:rPr>
  </w:style>
  <w:style w:type="character" w:styleId="45">
    <w:name w:val="footnote reference"/>
    <w:basedOn w:val="37"/>
    <w:autoRedefine/>
    <w:semiHidden/>
    <w:unhideWhenUsed/>
    <w:qFormat/>
    <w:uiPriority w:val="0"/>
    <w:rPr>
      <w:vertAlign w:val="superscript"/>
    </w:rPr>
  </w:style>
  <w:style w:type="character" w:styleId="46">
    <w:name w:val="HTML Keyboard"/>
    <w:basedOn w:val="37"/>
    <w:autoRedefine/>
    <w:semiHidden/>
    <w:unhideWhenUsed/>
    <w:qFormat/>
    <w:uiPriority w:val="99"/>
    <w:rPr>
      <w:rFonts w:hint="default" w:ascii="Consolas" w:hAnsi="Consolas" w:eastAsia="Consolas" w:cs="Consolas"/>
      <w:color w:val="FFFFFF"/>
      <w:sz w:val="21"/>
      <w:szCs w:val="21"/>
      <w:shd w:val="clear" w:color="auto" w:fill="333333"/>
    </w:rPr>
  </w:style>
  <w:style w:type="character" w:styleId="47">
    <w:name w:val="HTML Sample"/>
    <w:basedOn w:val="37"/>
    <w:autoRedefine/>
    <w:semiHidden/>
    <w:unhideWhenUsed/>
    <w:qFormat/>
    <w:uiPriority w:val="99"/>
    <w:rPr>
      <w:rFonts w:hint="default" w:ascii="Consolas" w:hAnsi="Consolas" w:eastAsia="Consolas" w:cs="Consolas"/>
      <w:sz w:val="21"/>
      <w:szCs w:val="21"/>
    </w:rPr>
  </w:style>
  <w:style w:type="paragraph" w:styleId="48">
    <w:name w:val="List Paragraph"/>
    <w:basedOn w:val="1"/>
    <w:autoRedefine/>
    <w:qFormat/>
    <w:uiPriority w:val="34"/>
    <w:pPr>
      <w:ind w:firstLine="200"/>
    </w:pPr>
    <w:rPr>
      <w:rFonts w:ascii="Calibri" w:hAnsi="Calibri"/>
    </w:rPr>
  </w:style>
  <w:style w:type="character" w:customStyle="1" w:styleId="49">
    <w:name w:val="正文文本 2 Char"/>
    <w:basedOn w:val="37"/>
    <w:autoRedefine/>
    <w:qFormat/>
    <w:uiPriority w:val="0"/>
    <w:rPr>
      <w:rFonts w:ascii="Times New Roman" w:hAnsi="Times New Roman" w:eastAsia="宋体" w:cs="Times New Roman"/>
    </w:rPr>
  </w:style>
  <w:style w:type="character" w:customStyle="1" w:styleId="50">
    <w:name w:val="16"/>
    <w:basedOn w:val="37"/>
    <w:autoRedefine/>
    <w:qFormat/>
    <w:uiPriority w:val="0"/>
    <w:rPr>
      <w:rFonts w:hint="default" w:ascii="Times New Roman" w:hAnsi="Times New Roman" w:cs="Times New Roman"/>
      <w:color w:val="0000FF"/>
      <w:u w:val="single"/>
    </w:rPr>
  </w:style>
  <w:style w:type="character" w:customStyle="1" w:styleId="51">
    <w:name w:val="15"/>
    <w:basedOn w:val="37"/>
    <w:autoRedefine/>
    <w:qFormat/>
    <w:uiPriority w:val="0"/>
    <w:rPr>
      <w:rFonts w:hint="default" w:ascii="Times New Roman" w:hAnsi="Times New Roman" w:cs="Times New Roman"/>
      <w:color w:val="0000FF"/>
      <w:u w:val="single"/>
    </w:rPr>
  </w:style>
  <w:style w:type="character" w:customStyle="1" w:styleId="52">
    <w:name w:val="标题 3 Char"/>
    <w:autoRedefine/>
    <w:qFormat/>
    <w:uiPriority w:val="0"/>
    <w:rPr>
      <w:b/>
      <w:sz w:val="24"/>
      <w:szCs w:val="24"/>
    </w:rPr>
  </w:style>
  <w:style w:type="character" w:customStyle="1" w:styleId="53">
    <w:name w:val="标题 2 Char"/>
    <w:autoRedefine/>
    <w:qFormat/>
    <w:uiPriority w:val="0"/>
    <w:rPr>
      <w:rFonts w:ascii="Arial" w:hAnsi="Arial" w:eastAsia="黑体"/>
      <w:b/>
      <w:sz w:val="32"/>
      <w:szCs w:val="32"/>
    </w:rPr>
  </w:style>
  <w:style w:type="character" w:customStyle="1" w:styleId="54">
    <w:name w:val="批注框文本 Char"/>
    <w:basedOn w:val="37"/>
    <w:autoRedefine/>
    <w:semiHidden/>
    <w:qFormat/>
    <w:uiPriority w:val="0"/>
    <w:rPr>
      <w:sz w:val="18"/>
      <w:szCs w:val="18"/>
    </w:rPr>
  </w:style>
  <w:style w:type="character" w:customStyle="1" w:styleId="55">
    <w:name w:val="批注文字 Char"/>
    <w:basedOn w:val="37"/>
    <w:autoRedefine/>
    <w:semiHidden/>
    <w:qFormat/>
    <w:uiPriority w:val="0"/>
    <w:rPr>
      <w:sz w:val="21"/>
      <w:szCs w:val="21"/>
    </w:rPr>
  </w:style>
  <w:style w:type="character" w:customStyle="1" w:styleId="56">
    <w:name w:val="批注主题 Char"/>
    <w:basedOn w:val="55"/>
    <w:autoRedefine/>
    <w:semiHidden/>
    <w:qFormat/>
    <w:uiPriority w:val="0"/>
    <w:rPr>
      <w:b/>
      <w:sz w:val="21"/>
      <w:szCs w:val="21"/>
    </w:rPr>
  </w:style>
  <w:style w:type="character" w:customStyle="1" w:styleId="57">
    <w:name w:val="文档结构图 Char"/>
    <w:basedOn w:val="37"/>
    <w:autoRedefine/>
    <w:semiHidden/>
    <w:qFormat/>
    <w:uiPriority w:val="0"/>
    <w:rPr>
      <w:rFonts w:ascii="宋体"/>
      <w:sz w:val="18"/>
      <w:szCs w:val="18"/>
    </w:rPr>
  </w:style>
  <w:style w:type="character" w:customStyle="1" w:styleId="58">
    <w:name w:val="页脚 Char"/>
    <w:autoRedefine/>
    <w:qFormat/>
    <w:uiPriority w:val="99"/>
    <w:rPr>
      <w:sz w:val="18"/>
      <w:szCs w:val="18"/>
    </w:rPr>
  </w:style>
  <w:style w:type="character" w:customStyle="1" w:styleId="59">
    <w:name w:val="脚注文本 Char"/>
    <w:basedOn w:val="37"/>
    <w:autoRedefine/>
    <w:semiHidden/>
    <w:qFormat/>
    <w:uiPriority w:val="0"/>
    <w:rPr>
      <w:sz w:val="18"/>
      <w:szCs w:val="18"/>
    </w:rPr>
  </w:style>
  <w:style w:type="paragraph" w:customStyle="1" w:styleId="60">
    <w:name w:val="TOC 标题1"/>
    <w:basedOn w:val="2"/>
    <w:next w:val="1"/>
    <w:autoRedefine/>
    <w:unhideWhenUsed/>
    <w:qFormat/>
    <w:uiPriority w:val="39"/>
    <w:pPr>
      <w:keepNext/>
      <w:keepLines/>
      <w:spacing w:before="480" w:after="0" w:afterAutospacing="0" w:line="276" w:lineRule="auto"/>
      <w:ind w:left="0" w:right="0" w:firstLine="0"/>
      <w:jc w:val="left"/>
      <w:outlineLvl w:val="9"/>
    </w:pPr>
    <w:rPr>
      <w:rFonts w:asciiTheme="majorHAnsi" w:hAnsiTheme="majorHAnsi" w:eastAsiaTheme="majorEastAsia" w:cstheme="majorBidi"/>
      <w:bCs/>
      <w:color w:val="376092" w:themeColor="accent1" w:themeShade="BF"/>
      <w:sz w:val="28"/>
      <w:szCs w:val="28"/>
    </w:rPr>
  </w:style>
  <w:style w:type="character" w:customStyle="1" w:styleId="61">
    <w:name w:val="纯文本 字符"/>
    <w:link w:val="15"/>
    <w:autoRedefine/>
    <w:qFormat/>
    <w:locked/>
    <w:uiPriority w:val="99"/>
    <w:rPr>
      <w:rFonts w:ascii="宋体" w:hAnsi="Courier New" w:cs="宋体"/>
    </w:rPr>
  </w:style>
  <w:style w:type="paragraph" w:customStyle="1" w:styleId="62">
    <w:name w:val="修订1"/>
    <w:autoRedefine/>
    <w:hidden/>
    <w:semiHidden/>
    <w:qFormat/>
    <w:uiPriority w:val="99"/>
    <w:rPr>
      <w:rFonts w:ascii="Times New Roman" w:hAnsi="Times New Roman" w:eastAsia="宋体" w:cs="Times New Roman"/>
      <w:sz w:val="21"/>
      <w:szCs w:val="21"/>
      <w:lang w:val="en-US" w:eastAsia="zh-CN" w:bidi="ar-SA"/>
    </w:rPr>
  </w:style>
  <w:style w:type="character" w:customStyle="1" w:styleId="63">
    <w:name w:val="正文文本 字符"/>
    <w:basedOn w:val="37"/>
    <w:link w:val="11"/>
    <w:autoRedefine/>
    <w:qFormat/>
    <w:uiPriority w:val="99"/>
    <w:rPr>
      <w:sz w:val="21"/>
      <w:szCs w:val="21"/>
    </w:rPr>
  </w:style>
  <w:style w:type="paragraph" w:customStyle="1" w:styleId="64">
    <w:name w:val="修订2"/>
    <w:autoRedefine/>
    <w:hidden/>
    <w:unhideWhenUsed/>
    <w:qFormat/>
    <w:uiPriority w:val="99"/>
    <w:rPr>
      <w:rFonts w:ascii="Times New Roman" w:hAnsi="Times New Roman" w:eastAsia="宋体" w:cs="Times New Roman"/>
      <w:sz w:val="21"/>
      <w:szCs w:val="21"/>
      <w:lang w:val="en-US" w:eastAsia="zh-CN" w:bidi="ar-SA"/>
    </w:rPr>
  </w:style>
  <w:style w:type="character" w:customStyle="1" w:styleId="65">
    <w:name w:val="日期 字符"/>
    <w:basedOn w:val="37"/>
    <w:link w:val="17"/>
    <w:autoRedefine/>
    <w:semiHidden/>
    <w:qFormat/>
    <w:uiPriority w:val="99"/>
    <w:rPr>
      <w:sz w:val="21"/>
      <w:szCs w:val="21"/>
    </w:rPr>
  </w:style>
  <w:style w:type="paragraph" w:customStyle="1" w:styleId="66">
    <w:name w:val="正文1"/>
    <w:autoRedefine/>
    <w:qFormat/>
    <w:uiPriority w:val="0"/>
    <w:pPr>
      <w:jc w:val="both"/>
    </w:pPr>
    <w:rPr>
      <w:rFonts w:ascii="Times New Roman" w:hAnsi="Times New Roman" w:eastAsia="宋体" w:cs="Times New Roman"/>
      <w:kern w:val="2"/>
      <w:sz w:val="21"/>
      <w:szCs w:val="21"/>
      <w:lang w:val="en-US" w:eastAsia="zh-CN" w:bidi="ar-SA"/>
    </w:rPr>
  </w:style>
  <w:style w:type="character" w:customStyle="1" w:styleId="67">
    <w:name w:val="disabled1"/>
    <w:basedOn w:val="37"/>
    <w:autoRedefine/>
    <w:qFormat/>
    <w:uiPriority w:val="0"/>
  </w:style>
  <w:style w:type="character" w:customStyle="1" w:styleId="68">
    <w:name w:val="layui-layer-tabnow"/>
    <w:basedOn w:val="37"/>
    <w:autoRedefine/>
    <w:qFormat/>
    <w:uiPriority w:val="0"/>
    <w:rPr>
      <w:bdr w:val="single" w:color="CCCCCC" w:sz="4" w:space="0"/>
      <w:shd w:val="clear" w:color="auto" w:fill="FFFFFF"/>
    </w:rPr>
  </w:style>
  <w:style w:type="character" w:customStyle="1" w:styleId="69">
    <w:name w:val="first-child"/>
    <w:basedOn w:val="37"/>
    <w:autoRedefine/>
    <w:qFormat/>
    <w:uiPriority w:val="0"/>
  </w:style>
  <w:style w:type="character" w:customStyle="1" w:styleId="70">
    <w:name w:val="正文文本缩进 字符"/>
    <w:basedOn w:val="37"/>
    <w:link w:val="12"/>
    <w:autoRedefine/>
    <w:qFormat/>
    <w:uiPriority w:val="99"/>
    <w:rPr>
      <w:sz w:val="24"/>
      <w:szCs w:val="21"/>
    </w:rPr>
  </w:style>
  <w:style w:type="character" w:customStyle="1" w:styleId="71">
    <w:name w:val="正文文本首行缩进 2 字符"/>
    <w:basedOn w:val="70"/>
    <w:link w:val="32"/>
    <w:autoRedefine/>
    <w:qFormat/>
    <w:uiPriority w:val="99"/>
    <w:rPr>
      <w:rFonts w:ascii="Calibri" w:hAnsi="Calibri" w:eastAsia="Times New Roman"/>
      <w:sz w:val="24"/>
      <w:szCs w:val="21"/>
    </w:rPr>
  </w:style>
  <w:style w:type="character" w:customStyle="1" w:styleId="72">
    <w:name w:val="页眉 字符"/>
    <w:basedOn w:val="37"/>
    <w:link w:val="20"/>
    <w:autoRedefine/>
    <w:qFormat/>
    <w:uiPriority w:val="99"/>
    <w:rPr>
      <w:sz w:val="18"/>
      <w:szCs w:val="18"/>
    </w:rPr>
  </w:style>
  <w:style w:type="paragraph" w:customStyle="1" w:styleId="73">
    <w:name w:val="样式 行距: 1.5 倍行距 首行缩进:  2 字符"/>
    <w:basedOn w:val="1"/>
    <w:autoRedefine/>
    <w:qFormat/>
    <w:uiPriority w:val="0"/>
    <w:pPr>
      <w:snapToGrid w:val="0"/>
      <w:spacing w:line="460" w:lineRule="exact"/>
    </w:pPr>
    <w:rPr>
      <w:sz w:val="24"/>
      <w:szCs w:val="24"/>
    </w:rPr>
  </w:style>
  <w:style w:type="paragraph" w:customStyle="1" w:styleId="74">
    <w:name w:val="Default"/>
    <w:autoRedefine/>
    <w:qFormat/>
    <w:uiPriority w:val="0"/>
    <w:pPr>
      <w:widowControl w:val="0"/>
      <w:autoSpaceDE w:val="0"/>
      <w:autoSpaceDN w:val="0"/>
      <w:adjustRightInd w:val="0"/>
    </w:pPr>
    <w:rPr>
      <w:rFonts w:hint="eastAsia" w:ascii="宋体" w:hAnsi="Calibri" w:eastAsia="宋体" w:cs="Times New Roman"/>
      <w:color w:val="000000"/>
      <w:sz w:val="24"/>
      <w:lang w:val="en-US" w:eastAsia="zh-CN" w:bidi="ar-SA"/>
    </w:rPr>
  </w:style>
  <w:style w:type="paragraph" w:customStyle="1" w:styleId="75">
    <w:name w:val="列出段落3"/>
    <w:basedOn w:val="1"/>
    <w:autoRedefine/>
    <w:qFormat/>
    <w:uiPriority w:val="99"/>
    <w:pPr>
      <w:widowControl w:val="0"/>
      <w:adjustRightInd w:val="0"/>
      <w:spacing w:before="0" w:after="0" w:afterAutospacing="0" w:line="312" w:lineRule="atLeast"/>
      <w:ind w:left="0" w:right="0" w:firstLine="420" w:firstLineChars="200"/>
      <w:textAlignment w:val="baseline"/>
    </w:pPr>
    <w:rPr>
      <w:szCs w:val="20"/>
    </w:rPr>
  </w:style>
  <w:style w:type="paragraph" w:customStyle="1" w:styleId="76">
    <w:name w:val="正文_3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7">
    <w:name w:val="修订3"/>
    <w:autoRedefine/>
    <w:hidden/>
    <w:semiHidden/>
    <w:qFormat/>
    <w:uiPriority w:val="99"/>
    <w:rPr>
      <w:rFonts w:ascii="Times New Roman" w:hAnsi="Times New Roman" w:eastAsia="宋体" w:cs="Times New Roman"/>
      <w:sz w:val="21"/>
      <w:szCs w:val="21"/>
      <w:lang w:val="en-US" w:eastAsia="zh-CN" w:bidi="ar-SA"/>
    </w:rPr>
  </w:style>
  <w:style w:type="paragraph" w:customStyle="1" w:styleId="78">
    <w:name w:val="Blockquote"/>
    <w:basedOn w:val="1"/>
    <w:autoRedefine/>
    <w:qFormat/>
    <w:uiPriority w:val="0"/>
    <w:pPr>
      <w:autoSpaceDE w:val="0"/>
      <w:autoSpaceDN w:val="0"/>
      <w:spacing w:before="100" w:line="240" w:lineRule="auto"/>
      <w:ind w:left="360" w:right="360"/>
      <w:jc w:val="left"/>
    </w:pPr>
    <w:rPr>
      <w:sz w:val="24"/>
    </w:rPr>
  </w:style>
  <w:style w:type="paragraph" w:customStyle="1" w:styleId="79">
    <w:name w:val="正文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80">
    <w:name w:val="正文_4"/>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81">
    <w:name w:val="List Paragraph1"/>
    <w:basedOn w:val="1"/>
    <w:autoRedefine/>
    <w:qFormat/>
    <w:uiPriority w:val="99"/>
    <w:pPr>
      <w:ind w:firstLine="420" w:firstLineChars="200"/>
    </w:pPr>
  </w:style>
  <w:style w:type="paragraph" w:customStyle="1" w:styleId="82">
    <w:name w:val="列出段落1"/>
    <w:basedOn w:val="1"/>
    <w:autoRedefine/>
    <w:qFormat/>
    <w:uiPriority w:val="34"/>
    <w:pPr>
      <w:ind w:firstLine="420" w:firstLineChars="200"/>
    </w:pPr>
    <w:rPr>
      <w:rFonts w:ascii="Calibri" w:hAnsi="Calibri"/>
      <w:szCs w:val="22"/>
    </w:rPr>
  </w:style>
  <w:style w:type="paragraph" w:customStyle="1" w:styleId="83">
    <w:name w:val="小标"/>
    <w:basedOn w:val="1"/>
    <w:autoRedefine/>
    <w:qFormat/>
    <w:uiPriority w:val="0"/>
    <w:pPr>
      <w:autoSpaceDE w:val="0"/>
      <w:autoSpaceDN w:val="0"/>
      <w:adjustRightInd w:val="0"/>
      <w:spacing w:line="288" w:lineRule="auto"/>
      <w:ind w:firstLine="480"/>
      <w:jc w:val="left"/>
      <w:textAlignment w:val="baseline"/>
    </w:pPr>
    <w:rPr>
      <w:rFonts w:ascii="黑体" w:eastAsia="黑体"/>
      <w:sz w:val="28"/>
      <w:szCs w:val="20"/>
    </w:rPr>
  </w:style>
  <w:style w:type="paragraph" w:customStyle="1" w:styleId="84">
    <w:name w:val="大分"/>
    <w:basedOn w:val="1"/>
    <w:autoRedefine/>
    <w:qFormat/>
    <w:uiPriority w:val="0"/>
    <w:pPr>
      <w:autoSpaceDE w:val="0"/>
      <w:autoSpaceDN w:val="0"/>
      <w:adjustRightInd w:val="0"/>
      <w:spacing w:line="288" w:lineRule="auto"/>
      <w:ind w:firstLine="480"/>
      <w:jc w:val="left"/>
      <w:textAlignment w:val="baseline"/>
    </w:pPr>
    <w:rPr>
      <w:rFonts w:ascii="宋体"/>
      <w:sz w:val="24"/>
      <w:szCs w:val="20"/>
    </w:rPr>
  </w:style>
  <w:style w:type="paragraph" w:customStyle="1" w:styleId="85">
    <w:name w:val="小分点"/>
    <w:basedOn w:val="66"/>
    <w:autoRedefine/>
    <w:qFormat/>
    <w:uiPriority w:val="0"/>
    <w:pPr>
      <w:ind w:left="1680" w:hanging="603"/>
    </w:pPr>
  </w:style>
  <w:style w:type="paragraph" w:customStyle="1" w:styleId="86">
    <w:name w:val="正文 New New New New New New New New New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7">
    <w:name w:val="Table Text"/>
    <w:basedOn w:val="1"/>
    <w:semiHidden/>
    <w:qFormat/>
    <w:uiPriority w:val="0"/>
    <w:rPr>
      <w:rFonts w:ascii="宋体" w:hAnsi="宋体" w:eastAsia="宋体" w:cs="宋体"/>
      <w:sz w:val="18"/>
      <w:szCs w:val="18"/>
      <w:lang w:val="en-US" w:eastAsia="en-US" w:bidi="ar-SA"/>
    </w:rPr>
  </w:style>
  <w:style w:type="table" w:customStyle="1" w:styleId="8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header" Target="header4.xml"/><Relationship Id="rId18" Type="http://schemas.openxmlformats.org/officeDocument/2006/relationships/footer" Target="footer11.xml"/><Relationship Id="rId17" Type="http://schemas.openxmlformats.org/officeDocument/2006/relationships/header" Target="header3.xml"/><Relationship Id="rId16" Type="http://schemas.openxmlformats.org/officeDocument/2006/relationships/header" Target="header2.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597FC0-CBF2-4294-8332-34214648AF03}">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71</Pages>
  <Words>34849</Words>
  <Characters>36549</Characters>
  <Lines>216</Lines>
  <Paragraphs>60</Paragraphs>
  <TotalTime>5</TotalTime>
  <ScaleCrop>false</ScaleCrop>
  <LinksUpToDate>false</LinksUpToDate>
  <CharactersWithSpaces>39582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2020-06-14T10:47:00Z</dcterms:created>
  <dc:creator>NTKO</dc:creator>
  <cp:lastModifiedBy>会思考的羊</cp:lastModifiedBy>
  <cp:lastPrinted>2022-09-13T09:35:00Z</cp:lastPrinted>
  <dcterms:modified xsi:type="dcterms:W3CDTF">2024-06-14T14:10:22Z</dcterms:modified>
  <cp:revision>643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3AA134A76487423593A776717439CDFA</vt:lpwstr>
  </property>
</Properties>
</file>